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1230C">
      <w:pPr>
        <w:pStyle w:val="3"/>
        <w:numPr>
          <w:ilvl w:val="1"/>
          <w:numId w:val="0"/>
        </w:numPr>
        <w:bidi w:val="0"/>
        <w:ind w:leftChars="0"/>
        <w:rPr>
          <w:color w:val="auto"/>
        </w:rPr>
      </w:pPr>
    </w:p>
    <w:p w14:paraId="2268B42D">
      <w:pPr>
        <w:widowControl/>
        <w:spacing w:line="240" w:lineRule="auto"/>
        <w:rPr>
          <w:rFonts w:ascii="宋体" w:hAnsi="宋体"/>
          <w:color w:val="auto"/>
          <w:sz w:val="72"/>
          <w:szCs w:val="72"/>
        </w:rPr>
      </w:pPr>
      <w:r>
        <w:rPr>
          <w:rFonts w:hint="eastAsia" w:ascii="宋体" w:hAnsi="宋体"/>
          <w:color w:val="auto"/>
          <w:sz w:val="72"/>
          <w:szCs w:val="72"/>
        </w:rPr>
        <w:t>建设项目环境影响报告表</w:t>
      </w:r>
    </w:p>
    <w:p w14:paraId="629CFA54">
      <w:pPr>
        <w:widowControl/>
        <w:spacing w:line="240" w:lineRule="auto"/>
        <w:rPr>
          <w:rFonts w:ascii="宋体" w:hAnsi="宋体"/>
          <w:color w:val="auto"/>
          <w:sz w:val="48"/>
          <w:szCs w:val="48"/>
        </w:rPr>
      </w:pPr>
    </w:p>
    <w:p w14:paraId="170818D9">
      <w:pPr>
        <w:widowControl/>
        <w:spacing w:line="240" w:lineRule="auto"/>
        <w:rPr>
          <w:rFonts w:ascii="宋体" w:hAnsi="宋体"/>
          <w:color w:val="auto"/>
          <w:sz w:val="48"/>
          <w:szCs w:val="48"/>
        </w:rPr>
      </w:pPr>
      <w:r>
        <w:rPr>
          <w:rFonts w:hint="eastAsia" w:ascii="宋体" w:hAnsi="宋体"/>
          <w:color w:val="auto"/>
          <w:sz w:val="48"/>
          <w:szCs w:val="48"/>
        </w:rPr>
        <w:t>（生态影响类）</w:t>
      </w:r>
    </w:p>
    <w:p w14:paraId="359DD54B">
      <w:pPr>
        <w:widowControl/>
        <w:spacing w:line="240" w:lineRule="auto"/>
        <w:jc w:val="left"/>
        <w:rPr>
          <w:rFonts w:ascii="宋体" w:hAnsi="宋体"/>
          <w:color w:val="auto"/>
        </w:rPr>
      </w:pPr>
    </w:p>
    <w:p w14:paraId="21B7F0B1">
      <w:pPr>
        <w:widowControl/>
        <w:spacing w:line="240" w:lineRule="auto"/>
        <w:jc w:val="left"/>
        <w:rPr>
          <w:rFonts w:ascii="宋体" w:hAnsi="宋体"/>
          <w:color w:val="auto"/>
        </w:rPr>
      </w:pPr>
    </w:p>
    <w:p w14:paraId="12504542">
      <w:pPr>
        <w:widowControl/>
        <w:spacing w:line="240" w:lineRule="auto"/>
        <w:jc w:val="left"/>
        <w:rPr>
          <w:rFonts w:ascii="宋体" w:hAnsi="宋体"/>
          <w:color w:val="auto"/>
        </w:rPr>
      </w:pPr>
    </w:p>
    <w:p w14:paraId="3C6D2CEA">
      <w:pPr>
        <w:widowControl/>
        <w:spacing w:line="240" w:lineRule="auto"/>
        <w:jc w:val="left"/>
        <w:rPr>
          <w:rFonts w:ascii="宋体" w:hAnsi="宋体"/>
          <w:color w:val="auto"/>
        </w:rPr>
      </w:pPr>
    </w:p>
    <w:p w14:paraId="4033795A">
      <w:pPr>
        <w:widowControl/>
        <w:spacing w:line="240" w:lineRule="auto"/>
        <w:jc w:val="left"/>
        <w:rPr>
          <w:rFonts w:ascii="宋体" w:hAnsi="宋体"/>
          <w:color w:val="auto"/>
        </w:rPr>
      </w:pPr>
    </w:p>
    <w:p w14:paraId="364AE1AC">
      <w:pPr>
        <w:widowControl/>
        <w:spacing w:line="240" w:lineRule="auto"/>
        <w:jc w:val="left"/>
        <w:rPr>
          <w:rFonts w:ascii="宋体" w:hAnsi="宋体"/>
          <w:color w:val="auto"/>
        </w:rPr>
      </w:pPr>
    </w:p>
    <w:p w14:paraId="24D5F5F1">
      <w:pPr>
        <w:widowControl/>
        <w:spacing w:line="240" w:lineRule="auto"/>
        <w:jc w:val="left"/>
        <w:rPr>
          <w:rFonts w:ascii="宋体" w:hAnsi="宋体"/>
          <w:color w:val="auto"/>
        </w:rPr>
      </w:pPr>
    </w:p>
    <w:p w14:paraId="0D7EA4DF">
      <w:pPr>
        <w:widowControl/>
        <w:spacing w:line="240" w:lineRule="auto"/>
        <w:jc w:val="left"/>
        <w:rPr>
          <w:rFonts w:ascii="宋体" w:hAnsi="宋体"/>
          <w:color w:val="auto"/>
        </w:rPr>
      </w:pPr>
    </w:p>
    <w:p w14:paraId="1EE942FB">
      <w:pPr>
        <w:widowControl/>
        <w:spacing w:line="240" w:lineRule="auto"/>
        <w:jc w:val="left"/>
        <w:rPr>
          <w:rFonts w:ascii="宋体" w:hAnsi="宋体"/>
          <w:color w:val="auto"/>
        </w:rPr>
      </w:pPr>
    </w:p>
    <w:p w14:paraId="3807ED27">
      <w:pPr>
        <w:widowControl/>
        <w:spacing w:line="240" w:lineRule="auto"/>
        <w:jc w:val="left"/>
        <w:rPr>
          <w:rFonts w:ascii="宋体" w:hAnsi="宋体"/>
          <w:color w:val="auto"/>
        </w:rPr>
      </w:pPr>
    </w:p>
    <w:p w14:paraId="086D59D1">
      <w:pPr>
        <w:widowControl/>
        <w:spacing w:line="240" w:lineRule="auto"/>
        <w:jc w:val="left"/>
        <w:rPr>
          <w:rFonts w:ascii="宋体" w:hAnsi="宋体"/>
          <w:color w:val="auto"/>
        </w:rPr>
      </w:pPr>
    </w:p>
    <w:p w14:paraId="18532F42">
      <w:pPr>
        <w:widowControl/>
        <w:spacing w:line="240" w:lineRule="auto"/>
        <w:jc w:val="left"/>
        <w:rPr>
          <w:rFonts w:ascii="宋体" w:hAnsi="宋体"/>
          <w:color w:val="auto"/>
        </w:rPr>
      </w:pPr>
    </w:p>
    <w:p w14:paraId="6261DE1C">
      <w:pPr>
        <w:widowControl/>
        <w:spacing w:line="240" w:lineRule="auto"/>
        <w:jc w:val="left"/>
        <w:rPr>
          <w:rFonts w:ascii="宋体" w:hAnsi="宋体"/>
          <w:color w:val="auto"/>
        </w:rPr>
      </w:pPr>
    </w:p>
    <w:p w14:paraId="5F59BEFA">
      <w:pPr>
        <w:widowControl/>
        <w:spacing w:line="240" w:lineRule="auto"/>
        <w:jc w:val="left"/>
        <w:rPr>
          <w:rFonts w:ascii="宋体" w:hAnsi="宋体"/>
          <w:color w:val="auto"/>
        </w:rPr>
      </w:pPr>
    </w:p>
    <w:p w14:paraId="4A939176">
      <w:pPr>
        <w:widowControl/>
        <w:spacing w:line="240" w:lineRule="auto"/>
        <w:jc w:val="left"/>
        <w:rPr>
          <w:rFonts w:ascii="宋体" w:hAnsi="宋体"/>
          <w:color w:val="auto"/>
        </w:rPr>
      </w:pPr>
    </w:p>
    <w:p w14:paraId="3FC45D0D">
      <w:pPr>
        <w:widowControl/>
        <w:spacing w:line="240" w:lineRule="auto"/>
        <w:jc w:val="left"/>
        <w:rPr>
          <w:rFonts w:ascii="宋体" w:hAnsi="宋体"/>
          <w:color w:val="auto"/>
        </w:rPr>
      </w:pPr>
    </w:p>
    <w:p w14:paraId="5489E988">
      <w:pPr>
        <w:widowControl/>
        <w:spacing w:line="240" w:lineRule="auto"/>
        <w:jc w:val="left"/>
        <w:rPr>
          <w:rFonts w:ascii="宋体" w:hAnsi="宋体"/>
          <w:color w:val="auto"/>
        </w:rPr>
      </w:pPr>
    </w:p>
    <w:p w14:paraId="77D4674A">
      <w:pPr>
        <w:widowControl/>
        <w:spacing w:line="240" w:lineRule="auto"/>
        <w:jc w:val="left"/>
        <w:rPr>
          <w:rFonts w:ascii="宋体" w:hAnsi="宋体"/>
          <w:color w:val="auto"/>
        </w:rPr>
      </w:pPr>
    </w:p>
    <w:p w14:paraId="066C1DC5">
      <w:pPr>
        <w:widowControl/>
        <w:spacing w:line="240" w:lineRule="auto"/>
        <w:jc w:val="left"/>
        <w:rPr>
          <w:rFonts w:ascii="宋体" w:hAnsi="宋体"/>
          <w:color w:val="auto"/>
        </w:rPr>
      </w:pPr>
    </w:p>
    <w:p w14:paraId="13C374A0">
      <w:pPr>
        <w:widowControl/>
        <w:spacing w:line="240" w:lineRule="auto"/>
        <w:jc w:val="left"/>
        <w:rPr>
          <w:rFonts w:ascii="宋体" w:hAnsi="宋体"/>
          <w:color w:val="auto"/>
        </w:rPr>
      </w:pPr>
    </w:p>
    <w:p w14:paraId="7A3D1ED1">
      <w:pPr>
        <w:widowControl/>
        <w:spacing w:line="360" w:lineRule="auto"/>
        <w:ind w:left="2080" w:leftChars="200" w:hanging="1600" w:hangingChars="500"/>
        <w:jc w:val="left"/>
        <w:rPr>
          <w:rFonts w:ascii="宋体" w:hAnsi="宋体"/>
          <w:color w:val="auto"/>
          <w:sz w:val="32"/>
          <w:szCs w:val="32"/>
          <w:u w:val="single"/>
        </w:rPr>
      </w:pPr>
      <w:r>
        <w:rPr>
          <w:rFonts w:hint="eastAsia" w:ascii="宋体" w:hAnsi="宋体"/>
          <w:color w:val="auto"/>
          <w:sz w:val="32"/>
          <w:szCs w:val="32"/>
        </w:rPr>
        <w:t>项目名称：</w:t>
      </w:r>
      <w:r>
        <w:rPr>
          <w:rFonts w:ascii="宋体" w:hAnsi="宋体"/>
          <w:color w:val="auto"/>
          <w:sz w:val="32"/>
          <w:szCs w:val="32"/>
          <w:u w:val="single"/>
        </w:rPr>
        <w:t>奉节</w:t>
      </w:r>
      <w:r>
        <w:rPr>
          <w:rFonts w:hint="eastAsia" w:ascii="宋体" w:hAnsi="宋体"/>
          <w:color w:val="auto"/>
          <w:sz w:val="32"/>
          <w:szCs w:val="32"/>
          <w:u w:val="single"/>
          <w:lang w:val="en-US" w:eastAsia="zh-CN"/>
        </w:rPr>
        <w:t>高铁生态纵三路以东路网完善工程—</w:t>
      </w:r>
      <w:r>
        <w:rPr>
          <w:rFonts w:hint="eastAsia" w:ascii="宋体" w:hAnsi="宋体"/>
          <w:color w:val="auto"/>
          <w:sz w:val="32"/>
          <w:szCs w:val="32"/>
          <w:u w:val="single"/>
        </w:rPr>
        <w:t>奉节县夔州街道魏家社区移民安置区人居环境改善工程（周边配套项目）</w:t>
      </w:r>
      <w:r>
        <w:rPr>
          <w:rFonts w:ascii="宋体" w:hAnsi="宋体"/>
          <w:color w:val="auto"/>
          <w:sz w:val="32"/>
          <w:szCs w:val="32"/>
          <w:u w:val="single"/>
        </w:rPr>
        <w:t xml:space="preserve"> </w:t>
      </w:r>
      <w:r>
        <w:rPr>
          <w:rFonts w:hint="eastAsia" w:ascii="宋体" w:hAnsi="宋体"/>
          <w:color w:val="auto"/>
          <w:sz w:val="32"/>
          <w:szCs w:val="32"/>
          <w:u w:val="single"/>
        </w:rPr>
        <w:t xml:space="preserve">    </w:t>
      </w:r>
      <w:r>
        <w:rPr>
          <w:rFonts w:hint="eastAsia" w:ascii="宋体" w:hAnsi="宋体"/>
          <w:color w:val="auto"/>
          <w:sz w:val="32"/>
          <w:szCs w:val="32"/>
          <w:u w:val="single"/>
          <w:lang w:val="en-US" w:eastAsia="zh-CN"/>
        </w:rPr>
        <w:t xml:space="preserve">          </w:t>
      </w:r>
      <w:r>
        <w:rPr>
          <w:rFonts w:hint="eastAsia" w:ascii="宋体" w:hAnsi="宋体"/>
          <w:color w:val="auto"/>
          <w:sz w:val="32"/>
          <w:szCs w:val="32"/>
          <w:u w:val="single"/>
        </w:rPr>
        <w:t xml:space="preserve">  </w:t>
      </w:r>
      <w:r>
        <w:rPr>
          <w:rFonts w:ascii="宋体" w:hAnsi="宋体"/>
          <w:color w:val="auto"/>
          <w:sz w:val="32"/>
          <w:szCs w:val="32"/>
          <w:u w:val="single"/>
        </w:rPr>
        <w:t xml:space="preserve">    </w:t>
      </w:r>
    </w:p>
    <w:p w14:paraId="5AAAAB8D">
      <w:pPr>
        <w:widowControl/>
        <w:spacing w:line="360" w:lineRule="auto"/>
        <w:ind w:left="480" w:leftChars="200"/>
        <w:jc w:val="left"/>
        <w:rPr>
          <w:rFonts w:ascii="宋体" w:hAnsi="宋体"/>
          <w:color w:val="auto"/>
          <w:sz w:val="32"/>
          <w:szCs w:val="32"/>
        </w:rPr>
      </w:pPr>
      <w:r>
        <w:rPr>
          <w:rFonts w:hint="eastAsia" w:ascii="宋体" w:hAnsi="宋体"/>
          <w:color w:val="auto"/>
          <w:sz w:val="32"/>
          <w:szCs w:val="32"/>
        </w:rPr>
        <w:t>建设单位</w:t>
      </w:r>
      <w:r>
        <w:rPr>
          <w:rFonts w:hint="eastAsia" w:ascii="宋体" w:hAnsi="宋体"/>
          <w:color w:val="auto"/>
          <w:sz w:val="32"/>
          <w:szCs w:val="32"/>
          <w:lang w:eastAsia="zh-CN"/>
        </w:rPr>
        <w:t>（</w:t>
      </w:r>
      <w:r>
        <w:rPr>
          <w:rFonts w:hint="eastAsia" w:ascii="宋体" w:hAnsi="宋体"/>
          <w:color w:val="auto"/>
          <w:sz w:val="32"/>
          <w:szCs w:val="32"/>
          <w:lang w:val="en-US" w:eastAsia="zh-CN"/>
        </w:rPr>
        <w:t>盖章</w:t>
      </w:r>
      <w:r>
        <w:rPr>
          <w:rFonts w:hint="eastAsia" w:ascii="宋体" w:hAnsi="宋体"/>
          <w:color w:val="auto"/>
          <w:sz w:val="32"/>
          <w:szCs w:val="32"/>
          <w:lang w:eastAsia="zh-CN"/>
        </w:rPr>
        <w:t>）</w:t>
      </w:r>
      <w:r>
        <w:rPr>
          <w:rFonts w:hint="eastAsia" w:ascii="宋体" w:hAnsi="宋体"/>
          <w:color w:val="auto"/>
          <w:sz w:val="32"/>
          <w:szCs w:val="32"/>
        </w:rPr>
        <w:t>：</w:t>
      </w:r>
      <w:r>
        <w:rPr>
          <w:rFonts w:ascii="宋体" w:hAnsi="宋体"/>
          <w:color w:val="auto"/>
          <w:sz w:val="32"/>
          <w:szCs w:val="32"/>
          <w:u w:val="single"/>
        </w:rPr>
        <w:t xml:space="preserve"> </w:t>
      </w:r>
      <w:r>
        <w:rPr>
          <w:rFonts w:hint="eastAsia" w:ascii="宋体" w:hAnsi="宋体"/>
          <w:color w:val="auto"/>
          <w:sz w:val="32"/>
          <w:szCs w:val="32"/>
          <w:u w:val="single"/>
        </w:rPr>
        <w:t>中交一公局重庆奉节建设有限公司</w:t>
      </w:r>
      <w:r>
        <w:rPr>
          <w:rFonts w:ascii="宋体" w:hAnsi="宋体"/>
          <w:color w:val="auto"/>
          <w:sz w:val="32"/>
          <w:szCs w:val="32"/>
          <w:u w:val="single"/>
        </w:rPr>
        <w:t xml:space="preserve"> </w:t>
      </w:r>
      <w:r>
        <w:rPr>
          <w:rFonts w:hint="eastAsia" w:ascii="宋体" w:hAnsi="宋体"/>
          <w:color w:val="auto"/>
          <w:sz w:val="32"/>
          <w:szCs w:val="32"/>
          <w:u w:val="single"/>
        </w:rPr>
        <w:t xml:space="preserve">   </w:t>
      </w:r>
      <w:r>
        <w:rPr>
          <w:rFonts w:ascii="宋体" w:hAnsi="宋体"/>
          <w:color w:val="auto"/>
          <w:sz w:val="32"/>
          <w:szCs w:val="32"/>
          <w:u w:val="single"/>
        </w:rPr>
        <w:t xml:space="preserve"> </w:t>
      </w:r>
    </w:p>
    <w:p w14:paraId="3ECD01CB">
      <w:pPr>
        <w:widowControl/>
        <w:spacing w:line="360" w:lineRule="auto"/>
        <w:ind w:left="480" w:leftChars="200"/>
        <w:jc w:val="left"/>
        <w:rPr>
          <w:rFonts w:ascii="宋体" w:hAnsi="宋体"/>
          <w:color w:val="auto"/>
          <w:sz w:val="32"/>
          <w:szCs w:val="32"/>
        </w:rPr>
      </w:pPr>
      <w:r>
        <w:rPr>
          <w:rFonts w:hint="eastAsia" w:ascii="宋体" w:hAnsi="宋体"/>
          <w:color w:val="auto"/>
          <w:sz w:val="32"/>
          <w:szCs w:val="32"/>
        </w:rPr>
        <w:t>编制日期：</w:t>
      </w:r>
      <w:r>
        <w:rPr>
          <w:rFonts w:ascii="宋体" w:hAnsi="宋体"/>
          <w:color w:val="auto"/>
          <w:sz w:val="32"/>
          <w:szCs w:val="32"/>
          <w:u w:val="single"/>
        </w:rPr>
        <w:t xml:space="preserve">          二〇二四年</w:t>
      </w:r>
      <w:r>
        <w:rPr>
          <w:rFonts w:hint="eastAsia" w:ascii="宋体" w:hAnsi="宋体"/>
          <w:color w:val="auto"/>
          <w:sz w:val="32"/>
          <w:szCs w:val="32"/>
          <w:u w:val="single"/>
          <w:lang w:val="en-US" w:eastAsia="zh-CN"/>
        </w:rPr>
        <w:t>八</w:t>
      </w:r>
      <w:r>
        <w:rPr>
          <w:rFonts w:ascii="宋体" w:hAnsi="宋体"/>
          <w:color w:val="auto"/>
          <w:sz w:val="32"/>
          <w:szCs w:val="32"/>
          <w:u w:val="single"/>
        </w:rPr>
        <w:t xml:space="preserve">月   </w:t>
      </w:r>
      <w:r>
        <w:rPr>
          <w:rFonts w:hint="eastAsia" w:ascii="宋体" w:hAnsi="宋体"/>
          <w:color w:val="auto"/>
          <w:sz w:val="32"/>
          <w:szCs w:val="32"/>
          <w:u w:val="single"/>
          <w:lang w:val="en-US" w:eastAsia="zh-CN"/>
        </w:rPr>
        <w:t xml:space="preserve">     </w:t>
      </w:r>
      <w:r>
        <w:rPr>
          <w:rFonts w:ascii="宋体" w:hAnsi="宋体"/>
          <w:color w:val="auto"/>
          <w:sz w:val="32"/>
          <w:szCs w:val="32"/>
          <w:u w:val="single"/>
        </w:rPr>
        <w:t xml:space="preserve">     </w:t>
      </w:r>
      <w:r>
        <w:rPr>
          <w:rFonts w:hint="eastAsia" w:ascii="宋体" w:hAnsi="宋体"/>
          <w:color w:val="auto"/>
          <w:sz w:val="32"/>
          <w:szCs w:val="32"/>
          <w:u w:val="single"/>
          <w:lang w:val="en-US" w:eastAsia="zh-CN"/>
        </w:rPr>
        <w:t xml:space="preserve">  </w:t>
      </w:r>
      <w:r>
        <w:rPr>
          <w:rFonts w:ascii="宋体" w:hAnsi="宋体"/>
          <w:color w:val="auto"/>
          <w:sz w:val="32"/>
          <w:szCs w:val="32"/>
          <w:u w:val="single"/>
        </w:rPr>
        <w:t xml:space="preserve">     </w:t>
      </w:r>
    </w:p>
    <w:p w14:paraId="1F502D6E">
      <w:pPr>
        <w:widowControl/>
        <w:spacing w:line="240" w:lineRule="auto"/>
        <w:jc w:val="left"/>
        <w:rPr>
          <w:rFonts w:ascii="宋体" w:hAnsi="宋体"/>
          <w:color w:val="auto"/>
          <w:sz w:val="32"/>
          <w:szCs w:val="32"/>
        </w:rPr>
      </w:pPr>
    </w:p>
    <w:p w14:paraId="07ABD397">
      <w:pPr>
        <w:widowControl/>
        <w:spacing w:line="240" w:lineRule="auto"/>
        <w:jc w:val="left"/>
        <w:rPr>
          <w:rFonts w:ascii="宋体" w:hAnsi="宋体"/>
          <w:color w:val="auto"/>
          <w:sz w:val="32"/>
          <w:szCs w:val="32"/>
        </w:rPr>
      </w:pPr>
    </w:p>
    <w:p w14:paraId="1BBFAF95">
      <w:pPr>
        <w:widowControl/>
        <w:spacing w:line="240" w:lineRule="auto"/>
        <w:rPr>
          <w:rFonts w:ascii="宋体" w:hAnsi="宋体"/>
          <w:color w:val="auto"/>
        </w:rPr>
        <w:sectPr>
          <w:headerReference r:id="rId5" w:type="default"/>
          <w:pgSz w:w="11906" w:h="16838"/>
          <w:pgMar w:top="1134" w:right="1418" w:bottom="1134"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color w:val="auto"/>
          <w:sz w:val="32"/>
          <w:szCs w:val="32"/>
        </w:rPr>
        <w:t>中华人民共和国生态环境部制</w:t>
      </w:r>
    </w:p>
    <w:p w14:paraId="4EAA2596">
      <w:pPr>
        <w:pStyle w:val="2"/>
        <w:spacing w:after="312"/>
        <w:rPr>
          <w:color w:val="auto"/>
        </w:rPr>
      </w:pPr>
      <w:r>
        <w:rPr>
          <w:color w:val="auto"/>
        </w:rPr>
        <w:t>建设项目基本情况</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655"/>
        <w:gridCol w:w="2593"/>
        <w:gridCol w:w="1701"/>
        <w:gridCol w:w="3111"/>
      </w:tblGrid>
      <w:tr w14:paraId="071D99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5D7DEF60">
            <w:pPr>
              <w:rPr>
                <w:color w:val="auto"/>
              </w:rPr>
            </w:pPr>
            <w:r>
              <w:rPr>
                <w:rFonts w:hint="eastAsia"/>
                <w:color w:val="auto"/>
              </w:rPr>
              <w:t>建设项目名称</w:t>
            </w:r>
          </w:p>
        </w:tc>
        <w:tc>
          <w:tcPr>
            <w:tcW w:w="7405" w:type="dxa"/>
            <w:gridSpan w:val="3"/>
            <w:vAlign w:val="center"/>
          </w:tcPr>
          <w:p w14:paraId="0B24AB8B">
            <w:pPr>
              <w:jc w:val="both"/>
              <w:rPr>
                <w:color w:val="auto"/>
              </w:rPr>
            </w:pPr>
            <w:r>
              <w:rPr>
                <w:rFonts w:hint="eastAsia"/>
                <w:color w:val="auto"/>
              </w:rPr>
              <w:t>奉节</w:t>
            </w:r>
            <w:r>
              <w:rPr>
                <w:rFonts w:hint="eastAsia"/>
                <w:color w:val="auto"/>
                <w:lang w:val="en-US" w:eastAsia="zh-CN"/>
              </w:rPr>
              <w:t>高铁生态纵三路以东路网完善工程—</w:t>
            </w:r>
            <w:r>
              <w:rPr>
                <w:rFonts w:hint="eastAsia"/>
                <w:color w:val="auto"/>
              </w:rPr>
              <w:t>奉节县夔州街道魏家社区移民安置区人居环境改善工程（周边配套项目）</w:t>
            </w:r>
          </w:p>
        </w:tc>
      </w:tr>
      <w:tr w14:paraId="57AB9A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6E874FB6">
            <w:pPr>
              <w:rPr>
                <w:color w:val="auto"/>
              </w:rPr>
            </w:pPr>
            <w:r>
              <w:rPr>
                <w:rFonts w:hint="eastAsia"/>
                <w:color w:val="auto"/>
              </w:rPr>
              <w:t>项目代码</w:t>
            </w:r>
          </w:p>
        </w:tc>
        <w:tc>
          <w:tcPr>
            <w:tcW w:w="7405" w:type="dxa"/>
            <w:gridSpan w:val="3"/>
            <w:vAlign w:val="center"/>
          </w:tcPr>
          <w:p w14:paraId="64706116">
            <w:pPr>
              <w:rPr>
                <w:color w:val="auto"/>
              </w:rPr>
            </w:pPr>
            <w:r>
              <w:rPr>
                <w:rFonts w:hint="eastAsia"/>
                <w:color w:val="auto"/>
              </w:rPr>
              <w:t>2</w:t>
            </w:r>
            <w:r>
              <w:rPr>
                <w:color w:val="auto"/>
              </w:rPr>
              <w:t>212-500236-04-01-106860</w:t>
            </w:r>
          </w:p>
        </w:tc>
      </w:tr>
      <w:tr w14:paraId="006D21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0262B1D3">
            <w:pPr>
              <w:rPr>
                <w:color w:val="auto"/>
              </w:rPr>
            </w:pPr>
            <w:r>
              <w:rPr>
                <w:rFonts w:hint="eastAsia"/>
                <w:color w:val="auto"/>
              </w:rPr>
              <w:t>建设单位联系人</w:t>
            </w:r>
          </w:p>
        </w:tc>
        <w:tc>
          <w:tcPr>
            <w:tcW w:w="2593" w:type="dxa"/>
            <w:vAlign w:val="center"/>
          </w:tcPr>
          <w:p w14:paraId="79CEA4CB">
            <w:pPr>
              <w:rPr>
                <w:color w:val="auto"/>
              </w:rPr>
            </w:pPr>
            <w:r>
              <w:rPr>
                <w:rFonts w:hint="eastAsia"/>
                <w:color w:val="auto"/>
              </w:rPr>
              <w:t>何</w:t>
            </w:r>
            <w:r>
              <w:rPr>
                <w:rFonts w:hint="eastAsia"/>
                <w:color w:val="auto"/>
                <w:lang w:val="en-US" w:eastAsia="zh-CN"/>
              </w:rPr>
              <w:t>*</w:t>
            </w:r>
            <w:bookmarkStart w:id="5" w:name="_GoBack"/>
            <w:bookmarkEnd w:id="5"/>
            <w:r>
              <w:rPr>
                <w:rFonts w:hint="eastAsia"/>
                <w:color w:val="auto"/>
              </w:rPr>
              <w:t>军</w:t>
            </w:r>
          </w:p>
        </w:tc>
        <w:tc>
          <w:tcPr>
            <w:tcW w:w="1701" w:type="dxa"/>
            <w:vAlign w:val="center"/>
          </w:tcPr>
          <w:p w14:paraId="387093D5">
            <w:pPr>
              <w:rPr>
                <w:color w:val="auto"/>
              </w:rPr>
            </w:pPr>
            <w:r>
              <w:rPr>
                <w:rFonts w:hint="eastAsia"/>
                <w:color w:val="auto"/>
              </w:rPr>
              <w:t>联系方式</w:t>
            </w:r>
          </w:p>
        </w:tc>
        <w:tc>
          <w:tcPr>
            <w:tcW w:w="3111" w:type="dxa"/>
            <w:vAlign w:val="center"/>
          </w:tcPr>
          <w:p w14:paraId="37DF791C">
            <w:pPr>
              <w:rPr>
                <w:color w:val="auto"/>
              </w:rPr>
            </w:pPr>
            <w:r>
              <w:rPr>
                <w:color w:val="auto"/>
              </w:rPr>
              <w:t>187</w:t>
            </w:r>
            <w:r>
              <w:rPr>
                <w:rFonts w:hint="eastAsia"/>
                <w:color w:val="auto"/>
                <w:lang w:val="en-US" w:eastAsia="zh-CN"/>
              </w:rPr>
              <w:t>****</w:t>
            </w:r>
            <w:r>
              <w:rPr>
                <w:color w:val="auto"/>
              </w:rPr>
              <w:t>555</w:t>
            </w:r>
          </w:p>
        </w:tc>
      </w:tr>
      <w:tr w14:paraId="2E030A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3B965BE8">
            <w:pPr>
              <w:rPr>
                <w:color w:val="auto"/>
              </w:rPr>
            </w:pPr>
            <w:r>
              <w:rPr>
                <w:rFonts w:hint="eastAsia"/>
                <w:color w:val="auto"/>
              </w:rPr>
              <w:t>建设地点</w:t>
            </w:r>
          </w:p>
        </w:tc>
        <w:tc>
          <w:tcPr>
            <w:tcW w:w="7405" w:type="dxa"/>
            <w:gridSpan w:val="3"/>
            <w:vAlign w:val="center"/>
          </w:tcPr>
          <w:p w14:paraId="2DE4D7AC">
            <w:pPr>
              <w:rPr>
                <w:color w:val="auto"/>
              </w:rPr>
            </w:pPr>
            <w:r>
              <w:rPr>
                <w:rFonts w:hint="eastAsia"/>
                <w:color w:val="auto"/>
              </w:rPr>
              <w:t>奉节县夔州街道胡家社区、冒峰社区</w:t>
            </w:r>
          </w:p>
        </w:tc>
      </w:tr>
      <w:tr w14:paraId="072DF5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7C3681AC">
            <w:pPr>
              <w:rPr>
                <w:color w:val="auto"/>
              </w:rPr>
            </w:pPr>
            <w:r>
              <w:rPr>
                <w:rFonts w:hint="eastAsia"/>
                <w:color w:val="auto"/>
              </w:rPr>
              <w:t>地理坐标</w:t>
            </w:r>
          </w:p>
        </w:tc>
        <w:tc>
          <w:tcPr>
            <w:tcW w:w="7405" w:type="dxa"/>
            <w:gridSpan w:val="3"/>
            <w:vAlign w:val="center"/>
          </w:tcPr>
          <w:p w14:paraId="39646CFA">
            <w:pPr>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1号桥</w:t>
            </w:r>
            <w:r>
              <w:rPr>
                <w:rFonts w:hint="default" w:ascii="Times New Roman" w:hAnsi="Times New Roman" w:eastAsia="宋体" w:cs="Times New Roman"/>
                <w:color w:val="auto"/>
              </w:rPr>
              <w:t>起点：</w:t>
            </w:r>
            <w:r>
              <w:rPr>
                <w:rFonts w:hint="default" w:ascii="Times New Roman" w:hAnsi="Times New Roman" w:eastAsia="宋体" w:cs="Times New Roman"/>
                <w:color w:val="auto"/>
                <w:u w:val="single"/>
              </w:rPr>
              <w:t>109</w:t>
            </w:r>
            <w:r>
              <w:rPr>
                <w:rFonts w:hint="default" w:ascii="Times New Roman" w:hAnsi="Times New Roman" w:eastAsia="宋体" w:cs="Times New Roman"/>
                <w:color w:val="auto"/>
              </w:rPr>
              <w:t>度</w:t>
            </w:r>
            <w:r>
              <w:rPr>
                <w:rFonts w:hint="default" w:ascii="Times New Roman" w:hAnsi="Times New Roman" w:eastAsia="宋体" w:cs="Times New Roman"/>
                <w:color w:val="auto"/>
                <w:u w:val="single"/>
                <w:lang w:val="en-US" w:eastAsia="zh-CN"/>
              </w:rPr>
              <w:t>23</w:t>
            </w:r>
            <w:r>
              <w:rPr>
                <w:rFonts w:hint="default" w:ascii="Times New Roman" w:hAnsi="Times New Roman" w:eastAsia="宋体" w:cs="Times New Roman"/>
                <w:color w:val="auto"/>
              </w:rPr>
              <w:t>分</w:t>
            </w:r>
            <w:r>
              <w:rPr>
                <w:rFonts w:hint="default" w:ascii="Times New Roman" w:hAnsi="Times New Roman" w:eastAsia="宋体" w:cs="Times New Roman"/>
                <w:color w:val="auto"/>
                <w:u w:val="single"/>
                <w:lang w:val="en-US" w:eastAsia="zh-CN"/>
              </w:rPr>
              <w:t>53.658</w:t>
            </w:r>
            <w:r>
              <w:rPr>
                <w:rFonts w:hint="default" w:ascii="Times New Roman" w:hAnsi="Times New Roman" w:eastAsia="宋体" w:cs="Times New Roman"/>
                <w:color w:val="auto"/>
              </w:rPr>
              <w:t>秒</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u w:val="single"/>
              </w:rPr>
              <w:t>31</w:t>
            </w:r>
            <w:r>
              <w:rPr>
                <w:rFonts w:hint="default" w:ascii="Times New Roman" w:hAnsi="Times New Roman" w:eastAsia="宋体" w:cs="Times New Roman"/>
                <w:color w:val="auto"/>
              </w:rPr>
              <w:t>度</w:t>
            </w:r>
            <w:r>
              <w:rPr>
                <w:rFonts w:hint="default" w:ascii="Times New Roman" w:hAnsi="Times New Roman" w:eastAsia="宋体" w:cs="Times New Roman"/>
                <w:color w:val="auto"/>
                <w:u w:val="single"/>
              </w:rPr>
              <w:t>1</w:t>
            </w:r>
            <w:r>
              <w:rPr>
                <w:rFonts w:hint="default" w:ascii="Times New Roman" w:hAnsi="Times New Roman" w:eastAsia="宋体" w:cs="Times New Roman"/>
                <w:color w:val="auto"/>
              </w:rPr>
              <w:t>分</w:t>
            </w:r>
            <w:r>
              <w:rPr>
                <w:rFonts w:hint="default" w:ascii="Times New Roman" w:hAnsi="Times New Roman" w:eastAsia="宋体" w:cs="Times New Roman"/>
                <w:color w:val="auto"/>
                <w:u w:val="single"/>
                <w:lang w:val="en-US" w:eastAsia="zh-CN"/>
              </w:rPr>
              <w:t>22.679</w:t>
            </w:r>
            <w:r>
              <w:rPr>
                <w:rFonts w:hint="default" w:ascii="Times New Roman" w:hAnsi="Times New Roman" w:eastAsia="宋体" w:cs="Times New Roman"/>
                <w:color w:val="auto"/>
              </w:rPr>
              <w:t>秒</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终点：</w:t>
            </w:r>
            <w:r>
              <w:rPr>
                <w:rFonts w:hint="default" w:ascii="Times New Roman" w:hAnsi="Times New Roman" w:eastAsia="宋体" w:cs="Times New Roman"/>
                <w:color w:val="auto"/>
                <w:u w:val="single"/>
              </w:rPr>
              <w:t>109</w:t>
            </w:r>
            <w:r>
              <w:rPr>
                <w:rFonts w:hint="default" w:ascii="Times New Roman" w:hAnsi="Times New Roman" w:eastAsia="宋体" w:cs="Times New Roman"/>
                <w:color w:val="auto"/>
              </w:rPr>
              <w:t>度</w:t>
            </w:r>
            <w:r>
              <w:rPr>
                <w:rFonts w:hint="default" w:ascii="Times New Roman" w:hAnsi="Times New Roman" w:eastAsia="宋体" w:cs="Times New Roman"/>
                <w:color w:val="auto"/>
                <w:u w:val="single"/>
                <w:lang w:val="en-US" w:eastAsia="zh-CN"/>
              </w:rPr>
              <w:t>23</w:t>
            </w:r>
            <w:r>
              <w:rPr>
                <w:rFonts w:hint="default" w:ascii="Times New Roman" w:hAnsi="Times New Roman" w:eastAsia="宋体" w:cs="Times New Roman"/>
                <w:color w:val="auto"/>
              </w:rPr>
              <w:t>分</w:t>
            </w:r>
            <w:r>
              <w:rPr>
                <w:rFonts w:hint="default" w:ascii="Times New Roman" w:hAnsi="Times New Roman" w:eastAsia="宋体" w:cs="Times New Roman"/>
                <w:color w:val="auto"/>
                <w:u w:val="single"/>
                <w:lang w:val="en-US" w:eastAsia="zh-CN"/>
              </w:rPr>
              <w:t>55.550</w:t>
            </w:r>
            <w:r>
              <w:rPr>
                <w:rFonts w:hint="default" w:ascii="Times New Roman" w:hAnsi="Times New Roman" w:eastAsia="宋体" w:cs="Times New Roman"/>
                <w:color w:val="auto"/>
              </w:rPr>
              <w:t>秒</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u w:val="single"/>
              </w:rPr>
              <w:t>31</w:t>
            </w:r>
            <w:r>
              <w:rPr>
                <w:rFonts w:hint="default" w:ascii="Times New Roman" w:hAnsi="Times New Roman" w:eastAsia="宋体" w:cs="Times New Roman"/>
                <w:color w:val="auto"/>
              </w:rPr>
              <w:t>度</w:t>
            </w:r>
            <w:r>
              <w:rPr>
                <w:rFonts w:hint="default" w:ascii="Times New Roman" w:hAnsi="Times New Roman" w:eastAsia="宋体" w:cs="Times New Roman"/>
                <w:color w:val="auto"/>
                <w:u w:val="single"/>
              </w:rPr>
              <w:t>1</w:t>
            </w:r>
            <w:r>
              <w:rPr>
                <w:rFonts w:hint="default" w:ascii="Times New Roman" w:hAnsi="Times New Roman" w:eastAsia="宋体" w:cs="Times New Roman"/>
                <w:color w:val="auto"/>
              </w:rPr>
              <w:t>分</w:t>
            </w:r>
            <w:r>
              <w:rPr>
                <w:rFonts w:hint="default" w:ascii="Times New Roman" w:hAnsi="Times New Roman" w:eastAsia="宋体" w:cs="Times New Roman"/>
                <w:color w:val="auto"/>
                <w:u w:val="single"/>
                <w:lang w:val="en-US" w:eastAsia="zh-CN"/>
              </w:rPr>
              <w:t>22.891</w:t>
            </w:r>
            <w:r>
              <w:rPr>
                <w:rFonts w:hint="default" w:ascii="Times New Roman" w:hAnsi="Times New Roman" w:eastAsia="宋体" w:cs="Times New Roman"/>
                <w:color w:val="auto"/>
              </w:rPr>
              <w:t>秒</w:t>
            </w:r>
            <w:r>
              <w:rPr>
                <w:rFonts w:hint="default" w:ascii="Times New Roman" w:hAnsi="Times New Roman" w:eastAsia="宋体" w:cs="Times New Roman"/>
                <w:color w:val="auto"/>
                <w:lang w:eastAsia="zh-CN"/>
              </w:rPr>
              <w:t>；</w:t>
            </w:r>
          </w:p>
          <w:p w14:paraId="2D744D21">
            <w:pPr>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2号桥起点：</w:t>
            </w:r>
            <w:r>
              <w:rPr>
                <w:rFonts w:hint="default" w:ascii="Times New Roman" w:hAnsi="Times New Roman" w:eastAsia="宋体" w:cs="Times New Roman"/>
                <w:color w:val="auto"/>
                <w:u w:val="single"/>
                <w:lang w:val="en-US" w:eastAsia="zh-CN"/>
              </w:rPr>
              <w:t>109</w:t>
            </w:r>
            <w:r>
              <w:rPr>
                <w:rFonts w:hint="default" w:ascii="Times New Roman" w:hAnsi="Times New Roman" w:eastAsia="宋体" w:cs="Times New Roman"/>
                <w:color w:val="auto"/>
                <w:lang w:val="en-US" w:eastAsia="zh-CN"/>
              </w:rPr>
              <w:t>度</w:t>
            </w:r>
            <w:r>
              <w:rPr>
                <w:rFonts w:hint="default" w:ascii="Times New Roman" w:hAnsi="Times New Roman" w:eastAsia="宋体" w:cs="Times New Roman"/>
                <w:color w:val="auto"/>
                <w:u w:val="single"/>
                <w:lang w:val="en-US" w:eastAsia="zh-CN"/>
              </w:rPr>
              <w:t>23</w:t>
            </w:r>
            <w:r>
              <w:rPr>
                <w:rFonts w:hint="default" w:ascii="Times New Roman" w:hAnsi="Times New Roman" w:eastAsia="宋体" w:cs="Times New Roman"/>
                <w:color w:val="auto"/>
                <w:lang w:val="en-US" w:eastAsia="zh-CN"/>
              </w:rPr>
              <w:t>分</w:t>
            </w:r>
            <w:r>
              <w:rPr>
                <w:rFonts w:hint="default" w:ascii="Times New Roman" w:hAnsi="Times New Roman" w:eastAsia="宋体" w:cs="Times New Roman"/>
                <w:color w:val="auto"/>
                <w:u w:val="single"/>
                <w:lang w:val="en-US" w:eastAsia="zh-CN"/>
              </w:rPr>
              <w:t>54.372</w:t>
            </w:r>
            <w:r>
              <w:rPr>
                <w:rFonts w:hint="default" w:ascii="Times New Roman" w:hAnsi="Times New Roman" w:eastAsia="宋体" w:cs="Times New Roman"/>
                <w:color w:val="auto"/>
                <w:lang w:val="en-US" w:eastAsia="zh-CN"/>
              </w:rPr>
              <w:t>秒、</w:t>
            </w:r>
            <w:r>
              <w:rPr>
                <w:rFonts w:hint="default" w:ascii="Times New Roman" w:hAnsi="Times New Roman" w:eastAsia="宋体" w:cs="Times New Roman"/>
                <w:color w:val="auto"/>
                <w:u w:val="single"/>
                <w:lang w:val="en-US" w:eastAsia="zh-CN"/>
              </w:rPr>
              <w:t>31</w:t>
            </w:r>
            <w:r>
              <w:rPr>
                <w:rFonts w:hint="default" w:ascii="Times New Roman" w:hAnsi="Times New Roman" w:eastAsia="宋体" w:cs="Times New Roman"/>
                <w:color w:val="auto"/>
                <w:lang w:val="en-US" w:eastAsia="zh-CN"/>
              </w:rPr>
              <w:t>度</w:t>
            </w:r>
            <w:r>
              <w:rPr>
                <w:rFonts w:hint="default" w:ascii="Times New Roman" w:hAnsi="Times New Roman" w:eastAsia="宋体" w:cs="Times New Roman"/>
                <w:color w:val="auto"/>
                <w:u w:val="single"/>
                <w:lang w:val="en-US" w:eastAsia="zh-CN"/>
              </w:rPr>
              <w:t>1</w:t>
            </w:r>
            <w:r>
              <w:rPr>
                <w:rFonts w:hint="default" w:ascii="Times New Roman" w:hAnsi="Times New Roman" w:eastAsia="宋体" w:cs="Times New Roman"/>
                <w:color w:val="auto"/>
                <w:lang w:val="en-US" w:eastAsia="zh-CN"/>
              </w:rPr>
              <w:t>分</w:t>
            </w:r>
            <w:r>
              <w:rPr>
                <w:rFonts w:hint="default" w:ascii="Times New Roman" w:hAnsi="Times New Roman" w:eastAsia="宋体" w:cs="Times New Roman"/>
                <w:color w:val="auto"/>
                <w:u w:val="single"/>
                <w:lang w:val="en-US" w:eastAsia="zh-CN"/>
              </w:rPr>
              <w:t>19.377</w:t>
            </w:r>
            <w:r>
              <w:rPr>
                <w:rFonts w:hint="default" w:ascii="Times New Roman" w:hAnsi="Times New Roman" w:eastAsia="宋体" w:cs="Times New Roman"/>
                <w:color w:val="auto"/>
                <w:lang w:val="en-US" w:eastAsia="zh-CN"/>
              </w:rPr>
              <w:t>秒、终点：</w:t>
            </w:r>
            <w:r>
              <w:rPr>
                <w:rFonts w:hint="default" w:ascii="Times New Roman" w:hAnsi="Times New Roman" w:eastAsia="宋体" w:cs="Times New Roman"/>
                <w:color w:val="auto"/>
                <w:u w:val="single"/>
                <w:lang w:val="en-US" w:eastAsia="zh-CN"/>
              </w:rPr>
              <w:t>109</w:t>
            </w:r>
            <w:r>
              <w:rPr>
                <w:rFonts w:hint="default" w:ascii="Times New Roman" w:hAnsi="Times New Roman" w:eastAsia="宋体" w:cs="Times New Roman"/>
                <w:color w:val="auto"/>
                <w:lang w:val="en-US" w:eastAsia="zh-CN"/>
              </w:rPr>
              <w:t>度</w:t>
            </w:r>
            <w:r>
              <w:rPr>
                <w:rFonts w:hint="default" w:ascii="Times New Roman" w:hAnsi="Times New Roman" w:eastAsia="宋体" w:cs="Times New Roman"/>
                <w:color w:val="auto"/>
                <w:u w:val="single"/>
                <w:lang w:val="en-US" w:eastAsia="zh-CN"/>
              </w:rPr>
              <w:t>23</w:t>
            </w:r>
            <w:r>
              <w:rPr>
                <w:rFonts w:hint="default" w:ascii="Times New Roman" w:hAnsi="Times New Roman" w:eastAsia="宋体" w:cs="Times New Roman"/>
                <w:color w:val="auto"/>
                <w:lang w:val="en-US" w:eastAsia="zh-CN"/>
              </w:rPr>
              <w:t>分</w:t>
            </w:r>
            <w:r>
              <w:rPr>
                <w:rFonts w:hint="default" w:ascii="Times New Roman" w:hAnsi="Times New Roman" w:eastAsia="宋体" w:cs="Times New Roman"/>
                <w:color w:val="auto"/>
                <w:u w:val="single"/>
                <w:lang w:val="en-US" w:eastAsia="zh-CN"/>
              </w:rPr>
              <w:t>56.207</w:t>
            </w:r>
            <w:r>
              <w:rPr>
                <w:rFonts w:hint="default" w:ascii="Times New Roman" w:hAnsi="Times New Roman" w:eastAsia="宋体" w:cs="Times New Roman"/>
                <w:color w:val="auto"/>
                <w:lang w:val="en-US" w:eastAsia="zh-CN"/>
              </w:rPr>
              <w:t>秒，</w:t>
            </w:r>
            <w:r>
              <w:rPr>
                <w:rFonts w:hint="default" w:ascii="Times New Roman" w:hAnsi="Times New Roman" w:eastAsia="宋体" w:cs="Times New Roman"/>
                <w:color w:val="auto"/>
                <w:u w:val="single"/>
                <w:lang w:val="en-US" w:eastAsia="zh-CN"/>
              </w:rPr>
              <w:t>31</w:t>
            </w:r>
            <w:r>
              <w:rPr>
                <w:rFonts w:hint="default" w:ascii="Times New Roman" w:hAnsi="Times New Roman" w:eastAsia="宋体" w:cs="Times New Roman"/>
                <w:color w:val="auto"/>
                <w:lang w:val="en-US" w:eastAsia="zh-CN"/>
              </w:rPr>
              <w:t>度</w:t>
            </w:r>
            <w:r>
              <w:rPr>
                <w:rFonts w:hint="default" w:ascii="Times New Roman" w:hAnsi="Times New Roman" w:eastAsia="宋体" w:cs="Times New Roman"/>
                <w:color w:val="auto"/>
                <w:u w:val="single"/>
                <w:lang w:val="en-US" w:eastAsia="zh-CN"/>
              </w:rPr>
              <w:t>1</w:t>
            </w:r>
            <w:r>
              <w:rPr>
                <w:rFonts w:hint="default" w:ascii="Times New Roman" w:hAnsi="Times New Roman" w:eastAsia="宋体" w:cs="Times New Roman"/>
                <w:color w:val="auto"/>
                <w:lang w:val="en-US" w:eastAsia="zh-CN"/>
              </w:rPr>
              <w:t>分</w:t>
            </w:r>
            <w:r>
              <w:rPr>
                <w:rFonts w:hint="default" w:ascii="Times New Roman" w:hAnsi="Times New Roman" w:eastAsia="宋体" w:cs="Times New Roman"/>
                <w:color w:val="auto"/>
                <w:u w:val="single"/>
                <w:lang w:val="en-US" w:eastAsia="zh-CN"/>
              </w:rPr>
              <w:t>19.299</w:t>
            </w:r>
            <w:r>
              <w:rPr>
                <w:rFonts w:hint="default" w:ascii="Times New Roman" w:hAnsi="Times New Roman" w:eastAsia="宋体" w:cs="Times New Roman"/>
                <w:color w:val="auto"/>
                <w:lang w:val="en-US" w:eastAsia="zh-CN"/>
              </w:rPr>
              <w:t>秒；</w:t>
            </w:r>
          </w:p>
          <w:p w14:paraId="06FD0515">
            <w:pPr>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连接道路起点：</w:t>
            </w:r>
            <w:r>
              <w:rPr>
                <w:rFonts w:hint="default" w:ascii="Times New Roman" w:hAnsi="Times New Roman" w:eastAsia="宋体" w:cs="Times New Roman"/>
                <w:color w:val="auto"/>
                <w:u w:val="single"/>
                <w:lang w:val="en-US" w:eastAsia="zh-CN"/>
              </w:rPr>
              <w:t>109</w:t>
            </w:r>
            <w:r>
              <w:rPr>
                <w:rFonts w:hint="default" w:ascii="Times New Roman" w:hAnsi="Times New Roman" w:eastAsia="宋体" w:cs="Times New Roman"/>
                <w:color w:val="auto"/>
                <w:lang w:val="en-US" w:eastAsia="zh-CN"/>
              </w:rPr>
              <w:t>度</w:t>
            </w:r>
            <w:r>
              <w:rPr>
                <w:rFonts w:hint="default" w:ascii="Times New Roman" w:hAnsi="Times New Roman" w:eastAsia="宋体" w:cs="Times New Roman"/>
                <w:color w:val="auto"/>
                <w:u w:val="single"/>
                <w:lang w:val="en-US" w:eastAsia="zh-CN"/>
              </w:rPr>
              <w:t>24</w:t>
            </w:r>
            <w:r>
              <w:rPr>
                <w:rFonts w:hint="default" w:ascii="Times New Roman" w:hAnsi="Times New Roman" w:eastAsia="宋体" w:cs="Times New Roman"/>
                <w:color w:val="auto"/>
                <w:lang w:val="en-US" w:eastAsia="zh-CN"/>
              </w:rPr>
              <w:t>分</w:t>
            </w:r>
            <w:r>
              <w:rPr>
                <w:rFonts w:hint="default" w:ascii="Times New Roman" w:hAnsi="Times New Roman" w:eastAsia="宋体" w:cs="Times New Roman"/>
                <w:color w:val="auto"/>
                <w:u w:val="single"/>
                <w:lang w:val="en-US" w:eastAsia="zh-CN"/>
              </w:rPr>
              <w:t>4.067</w:t>
            </w:r>
            <w:r>
              <w:rPr>
                <w:rFonts w:hint="default" w:ascii="Times New Roman" w:hAnsi="Times New Roman" w:eastAsia="宋体" w:cs="Times New Roman"/>
                <w:color w:val="auto"/>
                <w:lang w:val="en-US" w:eastAsia="zh-CN"/>
              </w:rPr>
              <w:t>秒，</w:t>
            </w:r>
            <w:r>
              <w:rPr>
                <w:rFonts w:hint="default" w:ascii="Times New Roman" w:hAnsi="Times New Roman" w:eastAsia="宋体" w:cs="Times New Roman"/>
                <w:color w:val="auto"/>
                <w:u w:val="single"/>
                <w:lang w:val="en-US" w:eastAsia="zh-CN"/>
              </w:rPr>
              <w:t>31</w:t>
            </w:r>
            <w:r>
              <w:rPr>
                <w:rFonts w:hint="default" w:ascii="Times New Roman" w:hAnsi="Times New Roman" w:eastAsia="宋体" w:cs="Times New Roman"/>
                <w:color w:val="auto"/>
                <w:lang w:val="en-US" w:eastAsia="zh-CN"/>
              </w:rPr>
              <w:t>度</w:t>
            </w:r>
            <w:r>
              <w:rPr>
                <w:rFonts w:hint="default" w:ascii="Times New Roman" w:hAnsi="Times New Roman" w:eastAsia="宋体" w:cs="Times New Roman"/>
                <w:color w:val="auto"/>
                <w:u w:val="single"/>
                <w:lang w:val="en-US" w:eastAsia="zh-CN"/>
              </w:rPr>
              <w:t>27</w:t>
            </w:r>
            <w:r>
              <w:rPr>
                <w:rFonts w:hint="default" w:ascii="Times New Roman" w:hAnsi="Times New Roman" w:eastAsia="宋体" w:cs="Times New Roman"/>
                <w:color w:val="auto"/>
                <w:lang w:val="en-US" w:eastAsia="zh-CN"/>
              </w:rPr>
              <w:t>分</w:t>
            </w:r>
            <w:r>
              <w:rPr>
                <w:rFonts w:hint="default" w:ascii="Times New Roman" w:hAnsi="Times New Roman" w:eastAsia="宋体" w:cs="Times New Roman"/>
                <w:color w:val="auto"/>
                <w:u w:val="single"/>
                <w:lang w:val="en-US" w:eastAsia="zh-CN"/>
              </w:rPr>
              <w:t>27.449</w:t>
            </w:r>
            <w:r>
              <w:rPr>
                <w:rFonts w:hint="default" w:ascii="Times New Roman" w:hAnsi="Times New Roman" w:eastAsia="宋体" w:cs="Times New Roman"/>
                <w:color w:val="auto"/>
                <w:lang w:val="en-US" w:eastAsia="zh-CN"/>
              </w:rPr>
              <w:t>秒、终点：</w:t>
            </w:r>
            <w:r>
              <w:rPr>
                <w:rFonts w:hint="default" w:ascii="Times New Roman" w:hAnsi="Times New Roman" w:eastAsia="宋体" w:cs="Times New Roman"/>
                <w:color w:val="auto"/>
                <w:u w:val="single"/>
                <w:lang w:val="en-US" w:eastAsia="zh-CN"/>
              </w:rPr>
              <w:t>109</w:t>
            </w:r>
            <w:r>
              <w:rPr>
                <w:rFonts w:hint="default" w:ascii="Times New Roman" w:hAnsi="Times New Roman" w:eastAsia="宋体" w:cs="Times New Roman"/>
                <w:color w:val="auto"/>
                <w:lang w:val="en-US" w:eastAsia="zh-CN"/>
              </w:rPr>
              <w:t>度</w:t>
            </w:r>
            <w:r>
              <w:rPr>
                <w:rFonts w:hint="default" w:ascii="Times New Roman" w:hAnsi="Times New Roman" w:eastAsia="宋体" w:cs="Times New Roman"/>
                <w:color w:val="auto"/>
                <w:u w:val="single"/>
                <w:lang w:val="en-US" w:eastAsia="zh-CN"/>
              </w:rPr>
              <w:t>24</w:t>
            </w:r>
            <w:r>
              <w:rPr>
                <w:rFonts w:hint="default" w:ascii="Times New Roman" w:hAnsi="Times New Roman" w:eastAsia="宋体" w:cs="Times New Roman"/>
                <w:color w:val="auto"/>
                <w:lang w:val="en-US" w:eastAsia="zh-CN"/>
              </w:rPr>
              <w:t>分</w:t>
            </w:r>
            <w:r>
              <w:rPr>
                <w:rFonts w:hint="default" w:ascii="Times New Roman" w:hAnsi="Times New Roman" w:eastAsia="宋体" w:cs="Times New Roman"/>
                <w:color w:val="auto"/>
                <w:u w:val="single"/>
                <w:lang w:val="en-US" w:eastAsia="zh-CN"/>
              </w:rPr>
              <w:t>5.708</w:t>
            </w:r>
            <w:r>
              <w:rPr>
                <w:rFonts w:hint="default" w:ascii="Times New Roman" w:hAnsi="Times New Roman" w:eastAsia="宋体" w:cs="Times New Roman"/>
                <w:color w:val="auto"/>
                <w:lang w:val="en-US" w:eastAsia="zh-CN"/>
              </w:rPr>
              <w:t>秒，</w:t>
            </w:r>
            <w:r>
              <w:rPr>
                <w:rFonts w:hint="default" w:ascii="Times New Roman" w:hAnsi="Times New Roman" w:eastAsia="宋体" w:cs="Times New Roman"/>
                <w:color w:val="auto"/>
                <w:u w:val="single"/>
                <w:lang w:val="en-US" w:eastAsia="zh-CN"/>
              </w:rPr>
              <w:t>31</w:t>
            </w:r>
            <w:r>
              <w:rPr>
                <w:rFonts w:hint="default" w:ascii="Times New Roman" w:hAnsi="Times New Roman" w:eastAsia="宋体" w:cs="Times New Roman"/>
                <w:color w:val="auto"/>
                <w:lang w:val="en-US" w:eastAsia="zh-CN"/>
              </w:rPr>
              <w:t>度</w:t>
            </w:r>
            <w:r>
              <w:rPr>
                <w:rFonts w:hint="default" w:ascii="Times New Roman" w:hAnsi="Times New Roman" w:eastAsia="宋体" w:cs="Times New Roman"/>
                <w:color w:val="auto"/>
                <w:u w:val="single"/>
                <w:lang w:val="en-US" w:eastAsia="zh-CN"/>
              </w:rPr>
              <w:t>1</w:t>
            </w:r>
            <w:r>
              <w:rPr>
                <w:rFonts w:hint="default" w:ascii="Times New Roman" w:hAnsi="Times New Roman" w:eastAsia="宋体" w:cs="Times New Roman"/>
                <w:color w:val="auto"/>
                <w:lang w:val="en-US" w:eastAsia="zh-CN"/>
              </w:rPr>
              <w:t>分</w:t>
            </w:r>
            <w:r>
              <w:rPr>
                <w:rFonts w:hint="default" w:ascii="Times New Roman" w:hAnsi="Times New Roman" w:eastAsia="宋体" w:cs="Times New Roman"/>
                <w:color w:val="auto"/>
                <w:u w:val="single"/>
                <w:lang w:val="en-US" w:eastAsia="zh-CN"/>
              </w:rPr>
              <w:t>18.527</w:t>
            </w:r>
            <w:r>
              <w:rPr>
                <w:rFonts w:hint="default" w:ascii="Times New Roman" w:hAnsi="Times New Roman" w:eastAsia="宋体" w:cs="Times New Roman"/>
                <w:color w:val="auto"/>
                <w:lang w:val="en-US" w:eastAsia="zh-CN"/>
              </w:rPr>
              <w:t>秒。</w:t>
            </w:r>
          </w:p>
        </w:tc>
      </w:tr>
      <w:tr w14:paraId="0215CE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3875C09F">
            <w:pPr>
              <w:rPr>
                <w:rFonts w:hint="eastAsia"/>
                <w:color w:val="auto"/>
              </w:rPr>
            </w:pPr>
            <w:r>
              <w:rPr>
                <w:rFonts w:hint="eastAsia"/>
                <w:color w:val="auto"/>
              </w:rPr>
              <w:t>建设项目</w:t>
            </w:r>
          </w:p>
          <w:p w14:paraId="676FFC4F">
            <w:pPr>
              <w:rPr>
                <w:rFonts w:hint="eastAsia"/>
                <w:color w:val="auto"/>
              </w:rPr>
            </w:pPr>
            <w:r>
              <w:rPr>
                <w:rFonts w:hint="eastAsia"/>
                <w:color w:val="auto"/>
              </w:rPr>
              <w:t>行业类别</w:t>
            </w:r>
          </w:p>
        </w:tc>
        <w:tc>
          <w:tcPr>
            <w:tcW w:w="2593" w:type="dxa"/>
            <w:vAlign w:val="center"/>
          </w:tcPr>
          <w:p w14:paraId="1B456B41">
            <w:pPr>
              <w:jc w:val="both"/>
              <w:rPr>
                <w:color w:val="auto"/>
              </w:rPr>
            </w:pPr>
            <w:r>
              <w:rPr>
                <w:color w:val="auto"/>
              </w:rPr>
              <w:t>131</w:t>
            </w:r>
            <w:r>
              <w:rPr>
                <w:rFonts w:hint="eastAsia"/>
                <w:color w:val="auto"/>
              </w:rPr>
              <w:t>城市道路（不含维护；不含支路、人行天桥、人行地道）</w:t>
            </w:r>
            <w:r>
              <w:rPr>
                <w:color w:val="auto"/>
              </w:rPr>
              <w:t>—</w:t>
            </w:r>
            <w:r>
              <w:rPr>
                <w:rFonts w:hint="eastAsia"/>
                <w:color w:val="auto"/>
              </w:rPr>
              <w:t>城市桥梁</w:t>
            </w:r>
          </w:p>
        </w:tc>
        <w:tc>
          <w:tcPr>
            <w:tcW w:w="1701" w:type="dxa"/>
            <w:vAlign w:val="center"/>
          </w:tcPr>
          <w:p w14:paraId="11C8F30F">
            <w:pPr>
              <w:rPr>
                <w:rFonts w:hint="eastAsia"/>
                <w:color w:val="auto"/>
              </w:rPr>
            </w:pPr>
            <w:r>
              <w:rPr>
                <w:rFonts w:hint="eastAsia"/>
                <w:color w:val="auto"/>
              </w:rPr>
              <w:t>用地（用海）面积（m</w:t>
            </w:r>
            <w:r>
              <w:rPr>
                <w:rFonts w:hint="eastAsia"/>
                <w:color w:val="auto"/>
                <w:vertAlign w:val="superscript"/>
              </w:rPr>
              <w:t>2</w:t>
            </w:r>
            <w:r>
              <w:rPr>
                <w:rFonts w:hint="eastAsia"/>
                <w:color w:val="auto"/>
              </w:rPr>
              <w:t>）/长度（km）</w:t>
            </w:r>
          </w:p>
        </w:tc>
        <w:tc>
          <w:tcPr>
            <w:tcW w:w="3111" w:type="dxa"/>
            <w:vAlign w:val="center"/>
          </w:tcPr>
          <w:p w14:paraId="29F86ECA">
            <w:pPr>
              <w:jc w:val="both"/>
              <w:rPr>
                <w:rFonts w:hint="eastAsia" w:eastAsia="宋体"/>
                <w:color w:val="auto"/>
                <w:vertAlign w:val="baseline"/>
                <w:lang w:eastAsia="zh-CN"/>
              </w:rPr>
            </w:pPr>
            <w:r>
              <w:rPr>
                <w:color w:val="auto"/>
              </w:rPr>
              <w:t>用地</w:t>
            </w:r>
            <w:r>
              <w:rPr>
                <w:rFonts w:hint="eastAsia"/>
                <w:color w:val="auto"/>
                <w:lang w:val="en-US" w:eastAsia="zh-CN"/>
              </w:rPr>
              <w:t>面积5964.56</w:t>
            </w:r>
            <w:r>
              <w:rPr>
                <w:color w:val="auto"/>
              </w:rPr>
              <w:t>m</w:t>
            </w:r>
            <w:r>
              <w:rPr>
                <w:color w:val="auto"/>
                <w:vertAlign w:val="superscript"/>
              </w:rPr>
              <w:t>2</w:t>
            </w:r>
            <w:r>
              <w:rPr>
                <w:rFonts w:hint="eastAsia"/>
                <w:color w:val="auto"/>
                <w:vertAlign w:val="baseline"/>
                <w:lang w:eastAsia="zh-CN"/>
              </w:rPr>
              <w:t>（</w:t>
            </w:r>
            <w:r>
              <w:rPr>
                <w:rFonts w:hint="eastAsia"/>
                <w:color w:val="auto"/>
                <w:vertAlign w:val="baseline"/>
                <w:lang w:val="en-US" w:eastAsia="zh-CN"/>
              </w:rPr>
              <w:t>其中1号桥和2号桥用地面积</w:t>
            </w:r>
            <w:r>
              <w:rPr>
                <w:rFonts w:hint="eastAsia" w:ascii="Times New Roman" w:eastAsia="宋体"/>
                <w:color w:val="auto"/>
                <w:lang w:val="en-US" w:eastAsia="zh-CN"/>
              </w:rPr>
              <w:t>2843</w:t>
            </w:r>
            <w:r>
              <w:rPr>
                <w:color w:val="auto"/>
              </w:rPr>
              <w:t>m</w:t>
            </w:r>
            <w:r>
              <w:rPr>
                <w:color w:val="auto"/>
                <w:vertAlign w:val="superscript"/>
              </w:rPr>
              <w:t>2</w:t>
            </w:r>
            <w:r>
              <w:rPr>
                <w:rFonts w:hint="eastAsia"/>
                <w:color w:val="auto"/>
                <w:vertAlign w:val="baseline"/>
                <w:lang w:eastAsia="zh-CN"/>
              </w:rPr>
              <w:t>，</w:t>
            </w:r>
            <w:r>
              <w:rPr>
                <w:rFonts w:hint="eastAsia"/>
                <w:color w:val="auto"/>
                <w:vertAlign w:val="baseline"/>
                <w:lang w:val="en-US" w:eastAsia="zh-CN"/>
              </w:rPr>
              <w:t>连接道路用地面积3121.56</w:t>
            </w:r>
            <w:r>
              <w:rPr>
                <w:color w:val="auto"/>
              </w:rPr>
              <w:t>m</w:t>
            </w:r>
            <w:r>
              <w:rPr>
                <w:color w:val="auto"/>
                <w:vertAlign w:val="superscript"/>
              </w:rPr>
              <w:t>2</w:t>
            </w:r>
            <w:r>
              <w:rPr>
                <w:rFonts w:hint="eastAsia"/>
                <w:color w:val="auto"/>
                <w:vertAlign w:val="baseline"/>
                <w:lang w:val="en-US" w:eastAsia="zh-CN"/>
              </w:rPr>
              <w:t>已出让给重庆飞洋控股（集团）有限公司</w:t>
            </w:r>
            <w:r>
              <w:rPr>
                <w:rFonts w:hint="eastAsia"/>
                <w:color w:val="auto"/>
                <w:vertAlign w:val="baseline"/>
                <w:lang w:eastAsia="zh-CN"/>
              </w:rPr>
              <w:t>）；</w:t>
            </w:r>
          </w:p>
          <w:p w14:paraId="43A025C6">
            <w:pPr>
              <w:jc w:val="both"/>
              <w:rPr>
                <w:rFonts w:hint="eastAsia" w:eastAsia="宋体"/>
                <w:color w:val="auto"/>
                <w:lang w:eastAsia="zh-CN"/>
              </w:rPr>
            </w:pPr>
            <w:r>
              <w:rPr>
                <w:rFonts w:hint="eastAsia"/>
                <w:color w:val="auto"/>
                <w:lang w:val="en-US" w:eastAsia="zh-CN"/>
              </w:rPr>
              <w:t>1号桥</w:t>
            </w:r>
            <w:r>
              <w:rPr>
                <w:color w:val="auto"/>
              </w:rPr>
              <w:t>长度</w:t>
            </w:r>
            <w:r>
              <w:rPr>
                <w:rFonts w:hint="eastAsia"/>
                <w:color w:val="auto"/>
                <w:lang w:val="en-US" w:eastAsia="zh-CN"/>
              </w:rPr>
              <w:t>52.009</w:t>
            </w:r>
            <w:r>
              <w:rPr>
                <w:color w:val="auto"/>
              </w:rPr>
              <w:t>m</w:t>
            </w:r>
            <w:r>
              <w:rPr>
                <w:rFonts w:hint="eastAsia"/>
                <w:color w:val="auto"/>
                <w:lang w:eastAsia="zh-CN"/>
              </w:rPr>
              <w:t>、</w:t>
            </w:r>
            <w:r>
              <w:rPr>
                <w:rFonts w:hint="eastAsia"/>
                <w:color w:val="auto"/>
                <w:lang w:val="en-US" w:eastAsia="zh-CN"/>
              </w:rPr>
              <w:t>2号桥长度27m、连接道路长度298.327m</w:t>
            </w:r>
          </w:p>
        </w:tc>
      </w:tr>
      <w:tr w14:paraId="382DB5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4A628801">
            <w:pPr>
              <w:rPr>
                <w:color w:val="auto"/>
              </w:rPr>
            </w:pPr>
            <w:r>
              <w:rPr>
                <w:rFonts w:hint="eastAsia"/>
                <w:color w:val="auto"/>
              </w:rPr>
              <w:t>建设性质</w:t>
            </w:r>
          </w:p>
        </w:tc>
        <w:tc>
          <w:tcPr>
            <w:tcW w:w="2593" w:type="dxa"/>
            <w:vAlign w:val="center"/>
          </w:tcPr>
          <w:p w14:paraId="75561C4E">
            <w:pPr>
              <w:jc w:val="left"/>
              <w:rPr>
                <w:color w:val="auto"/>
              </w:rPr>
            </w:pPr>
            <w:r>
              <w:rPr>
                <w:color w:val="auto"/>
              </w:rPr>
              <w:t>■</w:t>
            </w:r>
            <w:r>
              <w:rPr>
                <w:rFonts w:hint="eastAsia"/>
                <w:color w:val="auto"/>
              </w:rPr>
              <w:t>新建（迁建）</w:t>
            </w:r>
          </w:p>
          <w:p w14:paraId="39932A1D">
            <w:pPr>
              <w:jc w:val="left"/>
              <w:rPr>
                <w:color w:val="auto"/>
              </w:rPr>
            </w:pPr>
            <w:r>
              <w:rPr>
                <w:rFonts w:hint="eastAsia"/>
                <w:color w:val="auto"/>
                <w:lang w:eastAsia="zh-CN"/>
              </w:rPr>
              <w:t>□</w:t>
            </w:r>
            <w:r>
              <w:rPr>
                <w:rFonts w:hint="eastAsia"/>
                <w:color w:val="auto"/>
              </w:rPr>
              <w:t>改建</w:t>
            </w:r>
          </w:p>
          <w:p w14:paraId="1B1CA017">
            <w:pPr>
              <w:jc w:val="left"/>
              <w:rPr>
                <w:color w:val="auto"/>
              </w:rPr>
            </w:pPr>
            <w:r>
              <w:rPr>
                <w:rFonts w:hint="eastAsia"/>
                <w:color w:val="auto"/>
              </w:rPr>
              <w:t>□扩建</w:t>
            </w:r>
          </w:p>
          <w:p w14:paraId="60F43C7D">
            <w:pPr>
              <w:jc w:val="left"/>
              <w:rPr>
                <w:color w:val="auto"/>
              </w:rPr>
            </w:pPr>
            <w:r>
              <w:rPr>
                <w:rFonts w:hint="eastAsia"/>
                <w:color w:val="auto"/>
              </w:rPr>
              <w:t>□技术改造</w:t>
            </w:r>
          </w:p>
        </w:tc>
        <w:tc>
          <w:tcPr>
            <w:tcW w:w="1701" w:type="dxa"/>
            <w:vAlign w:val="center"/>
          </w:tcPr>
          <w:p w14:paraId="2DEC62B8">
            <w:pPr>
              <w:rPr>
                <w:color w:val="auto"/>
              </w:rPr>
            </w:pPr>
            <w:r>
              <w:rPr>
                <w:rFonts w:hint="eastAsia"/>
                <w:color w:val="auto"/>
              </w:rPr>
              <w:t>建设项目申报情形</w:t>
            </w:r>
          </w:p>
        </w:tc>
        <w:tc>
          <w:tcPr>
            <w:tcW w:w="3111" w:type="dxa"/>
            <w:vAlign w:val="center"/>
          </w:tcPr>
          <w:p w14:paraId="357A3A9C">
            <w:pPr>
              <w:jc w:val="left"/>
              <w:rPr>
                <w:color w:val="auto"/>
              </w:rPr>
            </w:pPr>
            <w:r>
              <w:rPr>
                <w:rFonts w:ascii="Segoe UI Symbol" w:hAnsi="Segoe UI Symbol"/>
                <w:color w:val="auto"/>
              </w:rPr>
              <w:t>☑</w:t>
            </w:r>
            <w:r>
              <w:rPr>
                <w:rFonts w:hint="eastAsia"/>
                <w:color w:val="auto"/>
              </w:rPr>
              <w:t>首次申报项目</w:t>
            </w:r>
            <w:r>
              <w:rPr>
                <w:color w:val="auto"/>
              </w:rPr>
              <w:t xml:space="preserve">             </w:t>
            </w:r>
          </w:p>
          <w:p w14:paraId="35A38354">
            <w:pPr>
              <w:jc w:val="left"/>
              <w:rPr>
                <w:color w:val="auto"/>
              </w:rPr>
            </w:pPr>
            <w:r>
              <w:rPr>
                <w:rFonts w:hint="eastAsia"/>
                <w:color w:val="auto"/>
              </w:rPr>
              <w:t>□不予批准后再次申报项目</w:t>
            </w:r>
          </w:p>
          <w:p w14:paraId="55234270">
            <w:pPr>
              <w:jc w:val="left"/>
              <w:rPr>
                <w:color w:val="auto"/>
              </w:rPr>
            </w:pPr>
            <w:r>
              <w:rPr>
                <w:rFonts w:hint="eastAsia"/>
                <w:color w:val="auto"/>
              </w:rPr>
              <w:t xml:space="preserve">□超五年重新审核项目     </w:t>
            </w:r>
          </w:p>
          <w:p w14:paraId="03B01067">
            <w:pPr>
              <w:jc w:val="left"/>
              <w:rPr>
                <w:color w:val="auto"/>
              </w:rPr>
            </w:pPr>
            <w:r>
              <w:rPr>
                <w:rFonts w:hint="eastAsia"/>
                <w:color w:val="auto"/>
              </w:rPr>
              <w:t>□重大变动重新报批项目</w:t>
            </w:r>
          </w:p>
        </w:tc>
      </w:tr>
      <w:tr w14:paraId="410FE7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30" w:hRule="atLeast"/>
        </w:trPr>
        <w:tc>
          <w:tcPr>
            <w:tcW w:w="1655" w:type="dxa"/>
            <w:vAlign w:val="center"/>
          </w:tcPr>
          <w:p w14:paraId="22F2A49A">
            <w:pPr>
              <w:rPr>
                <w:color w:val="auto"/>
              </w:rPr>
            </w:pPr>
            <w:r>
              <w:rPr>
                <w:rFonts w:hint="eastAsia"/>
                <w:color w:val="auto"/>
              </w:rPr>
              <w:t>项目审批（核准/备案）部门（选填）</w:t>
            </w:r>
          </w:p>
        </w:tc>
        <w:tc>
          <w:tcPr>
            <w:tcW w:w="2593" w:type="dxa"/>
            <w:vAlign w:val="center"/>
          </w:tcPr>
          <w:p w14:paraId="778E7050">
            <w:pPr>
              <w:rPr>
                <w:color w:val="auto"/>
              </w:rPr>
            </w:pPr>
            <w:r>
              <w:rPr>
                <w:rFonts w:hint="eastAsia"/>
                <w:color w:val="auto"/>
              </w:rPr>
              <w:t>奉节县发展和改革委员会</w:t>
            </w:r>
          </w:p>
        </w:tc>
        <w:tc>
          <w:tcPr>
            <w:tcW w:w="1701" w:type="dxa"/>
            <w:vAlign w:val="center"/>
          </w:tcPr>
          <w:p w14:paraId="5397C3B3">
            <w:pPr>
              <w:rPr>
                <w:color w:val="auto"/>
              </w:rPr>
            </w:pPr>
            <w:r>
              <w:rPr>
                <w:rFonts w:hint="eastAsia"/>
                <w:color w:val="auto"/>
              </w:rPr>
              <w:t>项目审批（核准/备案）文号（选填）</w:t>
            </w:r>
          </w:p>
        </w:tc>
        <w:tc>
          <w:tcPr>
            <w:tcW w:w="3111" w:type="dxa"/>
            <w:vAlign w:val="center"/>
          </w:tcPr>
          <w:p w14:paraId="53FF3EA9">
            <w:pPr>
              <w:rPr>
                <w:color w:val="auto"/>
              </w:rPr>
            </w:pPr>
            <w:r>
              <w:rPr>
                <w:rFonts w:hint="eastAsia"/>
                <w:color w:val="auto"/>
              </w:rPr>
              <w:t>奉节发改投〔</w:t>
            </w:r>
            <w:r>
              <w:rPr>
                <w:color w:val="auto"/>
              </w:rPr>
              <w:t>2022〕809</w:t>
            </w:r>
            <w:r>
              <w:rPr>
                <w:rFonts w:hint="eastAsia"/>
                <w:color w:val="auto"/>
              </w:rPr>
              <w:t>号</w:t>
            </w:r>
          </w:p>
        </w:tc>
      </w:tr>
      <w:tr w14:paraId="0D66EA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0" w:hRule="atLeast"/>
        </w:trPr>
        <w:tc>
          <w:tcPr>
            <w:tcW w:w="1655" w:type="dxa"/>
            <w:vAlign w:val="center"/>
          </w:tcPr>
          <w:p w14:paraId="6AFEFCEC">
            <w:pPr>
              <w:rPr>
                <w:color w:val="auto"/>
              </w:rPr>
            </w:pPr>
            <w:r>
              <w:rPr>
                <w:rFonts w:hint="eastAsia"/>
                <w:color w:val="auto"/>
              </w:rPr>
              <w:t>总投资（万元）</w:t>
            </w:r>
          </w:p>
        </w:tc>
        <w:tc>
          <w:tcPr>
            <w:tcW w:w="2593" w:type="dxa"/>
            <w:vAlign w:val="center"/>
          </w:tcPr>
          <w:p w14:paraId="58D5063B">
            <w:pPr>
              <w:rPr>
                <w:rFonts w:hint="default" w:eastAsia="宋体"/>
                <w:color w:val="auto"/>
                <w:lang w:val="en-US" w:eastAsia="zh-CN"/>
              </w:rPr>
            </w:pPr>
            <w:r>
              <w:rPr>
                <w:rFonts w:hint="eastAsia"/>
                <w:color w:val="auto"/>
                <w:lang w:val="en-US" w:eastAsia="zh-CN"/>
              </w:rPr>
              <w:t>3267.56</w:t>
            </w:r>
          </w:p>
        </w:tc>
        <w:tc>
          <w:tcPr>
            <w:tcW w:w="1701" w:type="dxa"/>
            <w:vAlign w:val="center"/>
          </w:tcPr>
          <w:p w14:paraId="59BAD318">
            <w:pPr>
              <w:rPr>
                <w:color w:val="auto"/>
              </w:rPr>
            </w:pPr>
            <w:r>
              <w:rPr>
                <w:rFonts w:hint="eastAsia"/>
                <w:color w:val="auto"/>
              </w:rPr>
              <w:t>环保投资（万元）</w:t>
            </w:r>
          </w:p>
        </w:tc>
        <w:tc>
          <w:tcPr>
            <w:tcW w:w="3111" w:type="dxa"/>
            <w:vAlign w:val="center"/>
          </w:tcPr>
          <w:p w14:paraId="6ABFBAB9">
            <w:pPr>
              <w:rPr>
                <w:color w:val="auto"/>
              </w:rPr>
            </w:pPr>
            <w:r>
              <w:rPr>
                <w:rFonts w:hint="eastAsia"/>
                <w:color w:val="auto"/>
              </w:rPr>
              <w:t>5</w:t>
            </w:r>
            <w:r>
              <w:rPr>
                <w:rFonts w:hint="eastAsia"/>
                <w:color w:val="auto"/>
                <w:lang w:val="en-US" w:eastAsia="zh-CN"/>
              </w:rPr>
              <w:t>2.0</w:t>
            </w:r>
          </w:p>
        </w:tc>
      </w:tr>
      <w:tr w14:paraId="006CE0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4B7A28DA">
            <w:pPr>
              <w:rPr>
                <w:color w:val="auto"/>
              </w:rPr>
            </w:pPr>
            <w:r>
              <w:rPr>
                <w:rFonts w:hint="eastAsia"/>
                <w:color w:val="auto"/>
              </w:rPr>
              <w:t>环保投资占比（%）</w:t>
            </w:r>
          </w:p>
        </w:tc>
        <w:tc>
          <w:tcPr>
            <w:tcW w:w="2593" w:type="dxa"/>
            <w:vAlign w:val="center"/>
          </w:tcPr>
          <w:p w14:paraId="518FFD4E">
            <w:pPr>
              <w:rPr>
                <w:rFonts w:hint="default"/>
                <w:color w:val="auto"/>
                <w:lang w:val="en-US"/>
              </w:rPr>
            </w:pPr>
            <w:r>
              <w:rPr>
                <w:rFonts w:hint="eastAsia"/>
                <w:color w:val="auto"/>
                <w:lang w:val="en-US" w:eastAsia="zh-CN"/>
              </w:rPr>
              <w:t>1.59</w:t>
            </w:r>
          </w:p>
        </w:tc>
        <w:tc>
          <w:tcPr>
            <w:tcW w:w="1701" w:type="dxa"/>
            <w:vAlign w:val="center"/>
          </w:tcPr>
          <w:p w14:paraId="25BCB85F">
            <w:pPr>
              <w:rPr>
                <w:color w:val="auto"/>
              </w:rPr>
            </w:pPr>
            <w:r>
              <w:rPr>
                <w:rFonts w:hint="eastAsia"/>
                <w:color w:val="auto"/>
              </w:rPr>
              <w:t>施工工期</w:t>
            </w:r>
          </w:p>
        </w:tc>
        <w:tc>
          <w:tcPr>
            <w:tcW w:w="3111" w:type="dxa"/>
            <w:vAlign w:val="center"/>
          </w:tcPr>
          <w:p w14:paraId="014E5E2E">
            <w:pPr>
              <w:rPr>
                <w:rFonts w:hint="default" w:eastAsia="宋体"/>
                <w:color w:val="auto"/>
                <w:lang w:val="en-US" w:eastAsia="zh-CN"/>
              </w:rPr>
            </w:pPr>
            <w:r>
              <w:rPr>
                <w:rFonts w:hint="eastAsia"/>
                <w:color w:val="auto"/>
                <w:lang w:val="en-US" w:eastAsia="zh-CN"/>
              </w:rPr>
              <w:t>12个月</w:t>
            </w:r>
          </w:p>
        </w:tc>
      </w:tr>
      <w:tr w14:paraId="5D426C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04375554">
            <w:pPr>
              <w:rPr>
                <w:color w:val="auto"/>
              </w:rPr>
            </w:pPr>
            <w:r>
              <w:rPr>
                <w:rFonts w:hint="eastAsia"/>
                <w:color w:val="auto"/>
              </w:rPr>
              <w:t>是否开工建设</w:t>
            </w:r>
          </w:p>
        </w:tc>
        <w:tc>
          <w:tcPr>
            <w:tcW w:w="7405" w:type="dxa"/>
            <w:gridSpan w:val="3"/>
            <w:vAlign w:val="center"/>
          </w:tcPr>
          <w:p w14:paraId="450DE269">
            <w:pPr>
              <w:jc w:val="both"/>
              <w:rPr>
                <w:color w:val="auto"/>
              </w:rPr>
            </w:pPr>
            <w:r>
              <w:rPr>
                <w:color w:val="auto"/>
              </w:rPr>
              <w:t>■否</w:t>
            </w:r>
          </w:p>
          <w:p w14:paraId="3DD966A8">
            <w:pPr>
              <w:jc w:val="both"/>
              <w:rPr>
                <w:color w:val="auto"/>
              </w:rPr>
            </w:pPr>
            <w:r>
              <w:rPr>
                <w:color w:val="auto"/>
              </w:rPr>
              <w:t>□是：</w:t>
            </w:r>
            <w:r>
              <w:rPr>
                <w:color w:val="auto"/>
                <w:u w:val="single"/>
              </w:rPr>
              <w:t xml:space="preserve">                             </w:t>
            </w:r>
          </w:p>
        </w:tc>
      </w:tr>
      <w:tr w14:paraId="23AAF1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7A07BA0E">
            <w:pPr>
              <w:rPr>
                <w:color w:val="auto"/>
              </w:rPr>
            </w:pPr>
            <w:r>
              <w:rPr>
                <w:rFonts w:hint="eastAsia"/>
                <w:color w:val="auto"/>
              </w:rPr>
              <w:t>专项评价设置情况</w:t>
            </w:r>
          </w:p>
        </w:tc>
        <w:tc>
          <w:tcPr>
            <w:tcW w:w="7405" w:type="dxa"/>
            <w:gridSpan w:val="3"/>
            <w:vAlign w:val="center"/>
          </w:tcPr>
          <w:p w14:paraId="7736F8A5">
            <w:pPr>
              <w:jc w:val="both"/>
              <w:rPr>
                <w:color w:val="auto"/>
              </w:rPr>
            </w:pPr>
            <w:r>
              <w:rPr>
                <w:color w:val="auto"/>
              </w:rPr>
              <w:t>根据《建设项目环境影响报告表编制技术指南》（生态影响类）（试行）表1，本项目属于</w:t>
            </w:r>
            <w:r>
              <w:rPr>
                <w:rFonts w:hint="eastAsia"/>
                <w:color w:val="auto"/>
              </w:rPr>
              <w:t>“</w:t>
            </w:r>
            <w:r>
              <w:rPr>
                <w:color w:val="auto"/>
              </w:rPr>
              <w:t>城市道路（不含维护，不含支路、人行天桥、人行地道）</w:t>
            </w:r>
            <w:r>
              <w:rPr>
                <w:rFonts w:hint="eastAsia"/>
                <w:color w:val="auto"/>
              </w:rPr>
              <w:t>”</w:t>
            </w:r>
            <w:r>
              <w:rPr>
                <w:color w:val="auto"/>
              </w:rPr>
              <w:t>类别，需要设置噪声专项评价。</w:t>
            </w:r>
          </w:p>
        </w:tc>
      </w:tr>
      <w:tr w14:paraId="4DC5AF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42997557">
            <w:pPr>
              <w:rPr>
                <w:color w:val="auto"/>
              </w:rPr>
            </w:pPr>
            <w:r>
              <w:rPr>
                <w:rFonts w:hint="eastAsia"/>
                <w:color w:val="auto"/>
              </w:rPr>
              <w:t>规划情况</w:t>
            </w:r>
          </w:p>
        </w:tc>
        <w:tc>
          <w:tcPr>
            <w:tcW w:w="7405" w:type="dxa"/>
            <w:gridSpan w:val="3"/>
            <w:vAlign w:val="center"/>
          </w:tcPr>
          <w:p w14:paraId="79AD4481">
            <w:pPr>
              <w:jc w:val="both"/>
              <w:rPr>
                <w:rFonts w:hint="eastAsia" w:eastAsia="宋体"/>
                <w:color w:val="auto"/>
                <w:lang w:eastAsia="zh-CN"/>
              </w:rPr>
            </w:pPr>
            <w:r>
              <w:rPr>
                <w:rFonts w:hint="eastAsia"/>
                <w:color w:val="auto"/>
                <w:lang w:eastAsia="zh-CN"/>
              </w:rPr>
              <w:t>《奉节县人民政府关于印发奉节县综合交通运输“十四五”规划》（奉节府发〔2022〕23号）</w:t>
            </w:r>
          </w:p>
        </w:tc>
      </w:tr>
      <w:tr w14:paraId="32721C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2" w:hRule="atLeast"/>
        </w:trPr>
        <w:tc>
          <w:tcPr>
            <w:tcW w:w="1655" w:type="dxa"/>
            <w:vAlign w:val="center"/>
          </w:tcPr>
          <w:p w14:paraId="610C8228">
            <w:pPr>
              <w:rPr>
                <w:color w:val="auto"/>
              </w:rPr>
            </w:pPr>
            <w:r>
              <w:rPr>
                <w:rFonts w:hint="eastAsia"/>
                <w:color w:val="auto"/>
              </w:rPr>
              <w:t>规划环境影响评价情况</w:t>
            </w:r>
          </w:p>
        </w:tc>
        <w:tc>
          <w:tcPr>
            <w:tcW w:w="7405" w:type="dxa"/>
            <w:gridSpan w:val="3"/>
            <w:vAlign w:val="center"/>
          </w:tcPr>
          <w:p w14:paraId="413835A5">
            <w:pPr>
              <w:jc w:val="center"/>
              <w:rPr>
                <w:rFonts w:hint="default" w:eastAsia="宋体"/>
                <w:color w:val="auto"/>
                <w:lang w:val="en-US" w:eastAsia="zh-CN"/>
              </w:rPr>
            </w:pPr>
            <w:r>
              <w:rPr>
                <w:rFonts w:hint="eastAsia"/>
                <w:color w:val="auto"/>
                <w:lang w:val="en-US" w:eastAsia="zh-CN"/>
              </w:rPr>
              <w:t>无</w:t>
            </w:r>
          </w:p>
        </w:tc>
      </w:tr>
      <w:tr w14:paraId="6F69CB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491BA0E9">
            <w:pPr>
              <w:rPr>
                <w:rFonts w:hint="eastAsia"/>
                <w:color w:val="auto"/>
              </w:rPr>
            </w:pPr>
            <w:r>
              <w:rPr>
                <w:rFonts w:hint="eastAsia"/>
                <w:color w:val="auto"/>
              </w:rPr>
              <w:t>规划及规划环境影响评价符合性分析</w:t>
            </w:r>
          </w:p>
        </w:tc>
        <w:tc>
          <w:tcPr>
            <w:tcW w:w="7405" w:type="dxa"/>
            <w:gridSpan w:val="3"/>
            <w:vAlign w:val="center"/>
          </w:tcPr>
          <w:p w14:paraId="3AB2D099">
            <w:pPr>
              <w:keepNext/>
              <w:keepLines/>
              <w:widowControl w:val="0"/>
              <w:numPr>
                <w:ilvl w:val="1"/>
                <w:numId w:val="1"/>
              </w:numPr>
              <w:spacing w:line="400" w:lineRule="exact"/>
              <w:jc w:val="left"/>
              <w:outlineLvl w:val="1"/>
              <w:rPr>
                <w:rFonts w:ascii="Times New Roman" w:hAnsi="Times New Roman" w:eastAsia="宋体" w:cstheme="majorBidi"/>
                <w:b/>
                <w:bCs/>
                <w:color w:val="auto"/>
                <w:kern w:val="2"/>
                <w:sz w:val="24"/>
                <w:szCs w:val="32"/>
                <w:lang w:val="en-US" w:eastAsia="zh-CN" w:bidi="ar-SA"/>
                <w14:ligatures w14:val="standardContextual"/>
              </w:rPr>
            </w:pPr>
            <w:r>
              <w:rPr>
                <w:rFonts w:hint="eastAsia" w:ascii="Times New Roman" w:hAnsi="Times New Roman" w:eastAsia="宋体" w:cstheme="majorBidi"/>
                <w:b/>
                <w:bCs/>
                <w:color w:val="auto"/>
                <w:kern w:val="2"/>
                <w:sz w:val="24"/>
                <w:szCs w:val="32"/>
                <w:lang w:val="en-US" w:eastAsia="zh-CN" w:bidi="ar-SA"/>
                <w14:ligatures w14:val="standardContextual"/>
              </w:rPr>
              <w:t>规划及规划环境影响评价符合性分析</w:t>
            </w:r>
          </w:p>
          <w:p w14:paraId="722DD138">
            <w:pPr>
              <w:keepNext/>
              <w:keepLines/>
              <w:widowControl w:val="0"/>
              <w:numPr>
                <w:ilvl w:val="2"/>
                <w:numId w:val="1"/>
              </w:numPr>
              <w:bidi w:val="0"/>
              <w:snapToGrid w:val="0"/>
              <w:spacing w:line="400" w:lineRule="exact"/>
              <w:contextualSpacing/>
              <w:jc w:val="left"/>
              <w:outlineLvl w:val="2"/>
              <w:rPr>
                <w:rFonts w:hint="default" w:ascii="Times New Roman" w:hAnsi="Times New Roman" w:eastAsia="宋体" w:cstheme="minorBidi"/>
                <w:b/>
                <w:color w:val="auto"/>
                <w:kern w:val="2"/>
                <w:sz w:val="24"/>
                <w:szCs w:val="32"/>
                <w:lang w:val="en-US" w:eastAsia="zh-CN" w:bidi="ar-SA"/>
                <w14:ligatures w14:val="standardContextual"/>
              </w:rPr>
            </w:pPr>
            <w:r>
              <w:rPr>
                <w:rFonts w:hint="eastAsia" w:ascii="Times New Roman" w:hAnsi="Times New Roman" w:eastAsia="宋体" w:cstheme="minorBidi"/>
                <w:b/>
                <w:color w:val="auto"/>
                <w:kern w:val="2"/>
                <w:sz w:val="24"/>
                <w:szCs w:val="32"/>
                <w:lang w:val="en-US" w:eastAsia="zh-CN" w:bidi="ar-SA"/>
                <w14:ligatures w14:val="standardContextual"/>
              </w:rPr>
              <w:t>与《奉节县人民政府关于印发奉节县综合交通运输“十四五”规划》（奉节府发〔2022〕23号）的符合性分析</w:t>
            </w:r>
          </w:p>
          <w:p w14:paraId="39892BC4">
            <w:pPr>
              <w:widowControl w:val="0"/>
              <w:bidi w:val="0"/>
              <w:adjustRightInd w:val="0"/>
              <w:snapToGrid w:val="0"/>
              <w:spacing w:line="460" w:lineRule="exact"/>
              <w:ind w:firstLine="480" w:firstLineChars="200"/>
              <w:jc w:val="left"/>
              <w:rPr>
                <w:rFonts w:hint="default" w:ascii="Times New Roman" w:hAnsi="Times New Roman" w:eastAsia="宋体" w:cstheme="minorBidi"/>
                <w:caps/>
                <w:color w:val="auto"/>
                <w:kern w:val="2"/>
                <w:sz w:val="24"/>
                <w:szCs w:val="21"/>
                <w:lang w:val="en-US" w:eastAsia="zh-CN" w:bidi="ar-SA"/>
                <w14:ligatures w14:val="standardContextual"/>
              </w:rPr>
            </w:pPr>
            <w:r>
              <w:rPr>
                <w:rFonts w:hint="eastAsia" w:ascii="Times New Roman" w:hAnsi="Times New Roman" w:eastAsia="宋体" w:cstheme="minorBidi"/>
                <w:caps/>
                <w:color w:val="auto"/>
                <w:kern w:val="2"/>
                <w:sz w:val="24"/>
                <w:szCs w:val="21"/>
                <w:lang w:val="en-US" w:eastAsia="zh-CN" w:bidi="ar-SA"/>
                <w14:ligatures w14:val="standardContextual"/>
              </w:rPr>
              <w:t>规划内容：到2025年，积极引领“奉巫巫”区域城镇群协同发展，融入万达开川渝统筹发展示范区，“方式齐备、经济高效、安全可靠、智慧绿色”的综合交通运输体系基本建成，成渝双城经济圈和武汉中部城市群之间的重要节点初步建成，三峡腹心综合交通枢纽初具规模，朝着“半小时周边、1小时奉节、2小时通达成渝双核、6小时覆盖北上广深”的目标迈进。</w:t>
            </w:r>
            <w:r>
              <w:rPr>
                <w:rFonts w:hint="default" w:ascii="Times New Roman" w:hAnsi="Times New Roman" w:eastAsia="宋体" w:cstheme="minorBidi"/>
                <w:caps/>
                <w:color w:val="auto"/>
                <w:kern w:val="2"/>
                <w:sz w:val="24"/>
                <w:szCs w:val="21"/>
                <w:lang w:val="en-US" w:eastAsia="zh-CN" w:bidi="ar-SA"/>
                <w14:ligatures w14:val="standardContextual"/>
              </w:rPr>
              <w:t>“十四五”期间，全力推进城市区域、A级景区和经济据点重要连接公路建设，促进全县城市提升、交旅融合、产城融合发展，推进城镇化、工业化进程和文化旅游发展。畅通城市内外公路建设。强化城市东西部、长江南北两岸的交通连接，规划实施奉节县宝塔坪特大桥、奉节县半岛隧道工程、奉节县长江二桥等项目，进一步提升城市道路整体路网水平。规划实施南滨路建设工程，进一步拓展城市空间，形成城市环线。进一步完善奉节县城内部交通基础设施，加快城区的道路建设，实现县城各片区互联互通，促进全域旅游发展。</w:t>
            </w:r>
          </w:p>
          <w:p w14:paraId="3DBDF7C5">
            <w:pPr>
              <w:widowControl w:val="0"/>
              <w:bidi w:val="0"/>
              <w:adjustRightInd w:val="0"/>
              <w:snapToGrid w:val="0"/>
              <w:spacing w:line="460" w:lineRule="exact"/>
              <w:ind w:firstLine="480" w:firstLineChars="200"/>
              <w:jc w:val="left"/>
              <w:rPr>
                <w:color w:val="auto"/>
              </w:rPr>
            </w:pPr>
            <w:r>
              <w:rPr>
                <w:rFonts w:hint="eastAsia" w:ascii="Times New Roman" w:hAnsi="Times New Roman" w:eastAsia="宋体" w:cstheme="minorBidi"/>
                <w:caps/>
                <w:color w:val="auto"/>
                <w:kern w:val="2"/>
                <w:sz w:val="24"/>
                <w:szCs w:val="21"/>
                <w:lang w:val="en-US" w:eastAsia="zh-CN" w:bidi="ar-SA"/>
                <w14:ligatures w14:val="standardContextual"/>
              </w:rPr>
              <w:t>本项目位于奉节县西部新区夔州街道，属于城市道路建设项目，项目建设可提升城市道路整体路网水平，完善奉节县城内部交通基础设施，解决周边地块出行问题，符合规划要求。</w:t>
            </w:r>
          </w:p>
        </w:tc>
      </w:tr>
      <w:tr w14:paraId="7DE47C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655" w:type="dxa"/>
            <w:vAlign w:val="center"/>
          </w:tcPr>
          <w:p w14:paraId="0914E1CF">
            <w:pPr>
              <w:rPr>
                <w:color w:val="auto"/>
              </w:rPr>
            </w:pPr>
            <w:bookmarkStart w:id="0" w:name="_Hlk56690880"/>
            <w:r>
              <w:rPr>
                <w:rFonts w:hint="eastAsia"/>
                <w:color w:val="auto"/>
              </w:rPr>
              <w:t>其他符合性分析</w:t>
            </w:r>
            <w:bookmarkEnd w:id="0"/>
          </w:p>
        </w:tc>
        <w:tc>
          <w:tcPr>
            <w:tcW w:w="7405" w:type="dxa"/>
            <w:gridSpan w:val="3"/>
            <w:vAlign w:val="center"/>
          </w:tcPr>
          <w:p w14:paraId="068F1A8F">
            <w:pPr>
              <w:pStyle w:val="3"/>
              <w:rPr>
                <w:color w:val="auto"/>
              </w:rPr>
            </w:pPr>
            <w:r>
              <w:rPr>
                <w:rFonts w:hint="eastAsia"/>
                <w:color w:val="auto"/>
              </w:rPr>
              <w:t>其他符合性分析</w:t>
            </w:r>
          </w:p>
          <w:p w14:paraId="4DE2D230">
            <w:pPr>
              <w:pStyle w:val="4"/>
              <w:bidi w:val="0"/>
              <w:rPr>
                <w:rFonts w:hint="eastAsia"/>
                <w:color w:val="auto"/>
              </w:rPr>
            </w:pPr>
            <w:r>
              <w:rPr>
                <w:rFonts w:hint="eastAsia"/>
                <w:color w:val="auto"/>
                <w:lang w:val="en-US" w:eastAsia="zh-CN"/>
              </w:rPr>
              <w:t>与《产业结构调整指导目录（2024年本）》的符合性分析</w:t>
            </w:r>
          </w:p>
          <w:p w14:paraId="4AACFB94">
            <w:pPr>
              <w:pStyle w:val="21"/>
              <w:bidi w:val="0"/>
              <w:rPr>
                <w:rFonts w:hint="eastAsia"/>
                <w:color w:val="auto"/>
              </w:rPr>
            </w:pPr>
            <w:r>
              <w:rPr>
                <w:rFonts w:hint="eastAsia"/>
                <w:color w:val="auto"/>
              </w:rPr>
              <w:t>本项目</w:t>
            </w:r>
            <w:r>
              <w:rPr>
                <w:rFonts w:hint="eastAsia"/>
                <w:color w:val="auto"/>
                <w:lang w:val="en-US" w:eastAsia="zh-CN"/>
              </w:rPr>
              <w:t>属于城市道路建设项目</w:t>
            </w:r>
            <w:r>
              <w:rPr>
                <w:rFonts w:hint="eastAsia"/>
                <w:color w:val="auto"/>
              </w:rPr>
              <w:t>，根据《</w:t>
            </w:r>
            <w:r>
              <w:rPr>
                <w:rFonts w:hint="eastAsia"/>
                <w:color w:val="auto"/>
                <w:lang w:val="en-US" w:eastAsia="zh-CN"/>
              </w:rPr>
              <w:t>产业结构调整指导目录（2024年本）</w:t>
            </w:r>
            <w:r>
              <w:rPr>
                <w:rFonts w:hint="eastAsia"/>
                <w:color w:val="auto"/>
              </w:rPr>
              <w:t>》，项目属于鼓励类“二十二、</w:t>
            </w:r>
            <w:r>
              <w:rPr>
                <w:rFonts w:hint="eastAsia"/>
                <w:color w:val="auto"/>
                <w:lang w:val="en-US" w:eastAsia="zh-CN"/>
              </w:rPr>
              <w:t>城镇</w:t>
            </w:r>
            <w:r>
              <w:rPr>
                <w:rFonts w:hint="eastAsia"/>
                <w:color w:val="auto"/>
              </w:rPr>
              <w:t>基础设施”中“</w:t>
            </w:r>
            <w:r>
              <w:rPr>
                <w:rFonts w:hint="eastAsia"/>
                <w:color w:val="auto"/>
                <w:lang w:val="en-US" w:eastAsia="zh-CN"/>
              </w:rPr>
              <w:t>1</w:t>
            </w:r>
            <w:r>
              <w:rPr>
                <w:rFonts w:hint="eastAsia"/>
                <w:color w:val="auto"/>
              </w:rPr>
              <w:t>、城市公共交通”。</w:t>
            </w:r>
          </w:p>
          <w:p w14:paraId="1E4C8D5C">
            <w:pPr>
              <w:pStyle w:val="21"/>
              <w:bidi w:val="0"/>
              <w:rPr>
                <w:rFonts w:hint="eastAsia" w:eastAsia="宋体"/>
                <w:color w:val="auto"/>
                <w:lang w:eastAsia="zh-CN"/>
              </w:rPr>
            </w:pPr>
            <w:r>
              <w:rPr>
                <w:rFonts w:hint="eastAsia"/>
                <w:color w:val="auto"/>
                <w:lang w:val="en-US" w:eastAsia="zh-CN"/>
              </w:rPr>
              <w:t>综上分析，项目</w:t>
            </w:r>
            <w:r>
              <w:rPr>
                <w:rFonts w:hint="eastAsia"/>
                <w:color w:val="auto"/>
              </w:rPr>
              <w:t>符合国家及重庆市产业政策的要求</w:t>
            </w:r>
            <w:r>
              <w:rPr>
                <w:rFonts w:hint="eastAsia"/>
                <w:color w:val="auto"/>
                <w:lang w:eastAsia="zh-CN"/>
              </w:rPr>
              <w:t>。</w:t>
            </w:r>
          </w:p>
          <w:p w14:paraId="5D054520">
            <w:pPr>
              <w:pStyle w:val="4"/>
              <w:rPr>
                <w:color w:val="auto"/>
              </w:rPr>
            </w:pPr>
            <w:r>
              <w:rPr>
                <w:rFonts w:hint="eastAsia"/>
                <w:color w:val="auto"/>
              </w:rPr>
              <w:t>与“三线一单”</w:t>
            </w:r>
            <w:r>
              <w:rPr>
                <w:rFonts w:hint="eastAsia"/>
                <w:color w:val="auto"/>
                <w:lang w:val="en-US" w:eastAsia="zh-CN"/>
              </w:rPr>
              <w:t>的</w:t>
            </w:r>
            <w:r>
              <w:rPr>
                <w:rFonts w:hint="eastAsia"/>
                <w:color w:val="auto"/>
              </w:rPr>
              <w:t>符合性分析</w:t>
            </w:r>
          </w:p>
          <w:p w14:paraId="2236D50D">
            <w:pPr>
              <w:pStyle w:val="21"/>
              <w:bidi w:val="0"/>
              <w:rPr>
                <w:color w:val="auto"/>
              </w:rPr>
            </w:pPr>
            <w:r>
              <w:rPr>
                <w:rFonts w:hint="default"/>
                <w:color w:val="auto"/>
                <w:lang w:val="en-US" w:eastAsia="zh-CN"/>
              </w:rPr>
              <w:t>根据《重庆市生态环境局关于印发&lt;重庆市“三线一单”生态环境分区管控调整方案（2023年）&gt;的通知》（渝环规〔2024〕2号）、《奉节县人民政府关于落实生态保护红线、环境质量底线、资源利用上线制定生态环境准入清单实施生态环境分区管控的实施意见》（奉节府发〔2020〕34号）、重庆市“三线一单”智检服务平台导出的“三线一单检测分析报告”及《建设项目环评“三线一单”符合性分析技术要点（试行）》，项目按与重庆市市级总体管控要求、</w:t>
            </w:r>
            <w:r>
              <w:rPr>
                <w:rFonts w:hint="eastAsia"/>
                <w:color w:val="auto"/>
                <w:lang w:val="en-US" w:eastAsia="zh-CN"/>
              </w:rPr>
              <w:t>奉节县</w:t>
            </w:r>
            <w:r>
              <w:rPr>
                <w:rFonts w:hint="default"/>
                <w:color w:val="auto"/>
                <w:lang w:val="en-US" w:eastAsia="zh-CN"/>
              </w:rPr>
              <w:t>总体管控要求、所在环境管控单元管控要求进行“三线一单”的符合性分析，具体见下表。</w:t>
            </w:r>
          </w:p>
        </w:tc>
      </w:tr>
    </w:tbl>
    <w:p w14:paraId="2BB863B1">
      <w:pPr>
        <w:ind w:firstLine="480"/>
        <w:rPr>
          <w:color w:val="auto"/>
        </w:rPr>
        <w:sectPr>
          <w:footerReference r:id="rId6" w:type="default"/>
          <w:pgSz w:w="11906" w:h="16838"/>
          <w:pgMar w:top="1134" w:right="1418" w:bottom="1134" w:left="1418"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7DEC675D">
      <w:pPr>
        <w:pStyle w:val="6"/>
        <w:bidi w:val="0"/>
        <w:rPr>
          <w:rFonts w:hint="eastAsia"/>
          <w:color w:val="auto"/>
          <w:lang w:val="en-US" w:eastAsia="zh-CN"/>
        </w:rPr>
      </w:pPr>
      <w:r>
        <w:rPr>
          <w:rFonts w:hint="eastAsia"/>
          <w:color w:val="auto"/>
          <w:lang w:val="en-US" w:eastAsia="zh-CN"/>
        </w:rPr>
        <w:t>与“三线一单”管控要求的符合性分析</w:t>
      </w:r>
    </w:p>
    <w:tbl>
      <w:tblPr>
        <w:tblStyle w:val="17"/>
        <w:tblW w:w="5000"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1112"/>
        <w:gridCol w:w="7139"/>
        <w:gridCol w:w="4062"/>
        <w:gridCol w:w="956"/>
      </w:tblGrid>
      <w:tr w14:paraId="721A104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pct"/>
            <w:gridSpan w:val="2"/>
            <w:vAlign w:val="center"/>
          </w:tcPr>
          <w:p w14:paraId="5FC948AA">
            <w:pPr>
              <w:pStyle w:val="23"/>
              <w:bidi w:val="0"/>
              <w:rPr>
                <w:color w:val="auto"/>
              </w:rPr>
            </w:pPr>
            <w:r>
              <w:rPr>
                <w:rFonts w:hint="eastAsia"/>
                <w:color w:val="auto"/>
              </w:rPr>
              <w:t>环境管控单元编码</w:t>
            </w:r>
          </w:p>
        </w:tc>
        <w:tc>
          <w:tcPr>
            <w:tcW w:w="2413" w:type="pct"/>
            <w:vAlign w:val="center"/>
          </w:tcPr>
          <w:p w14:paraId="7BD2A6D9">
            <w:pPr>
              <w:pStyle w:val="23"/>
              <w:bidi w:val="0"/>
              <w:rPr>
                <w:color w:val="auto"/>
              </w:rPr>
            </w:pPr>
            <w:r>
              <w:rPr>
                <w:rFonts w:hint="eastAsia"/>
                <w:color w:val="auto"/>
              </w:rPr>
              <w:t>环境管控单元名称</w:t>
            </w:r>
          </w:p>
        </w:tc>
        <w:tc>
          <w:tcPr>
            <w:tcW w:w="1696" w:type="pct"/>
            <w:gridSpan w:val="2"/>
            <w:vAlign w:val="center"/>
          </w:tcPr>
          <w:p w14:paraId="0F1CD84E">
            <w:pPr>
              <w:pStyle w:val="23"/>
              <w:bidi w:val="0"/>
              <w:rPr>
                <w:color w:val="auto"/>
              </w:rPr>
            </w:pPr>
            <w:r>
              <w:rPr>
                <w:rFonts w:hint="eastAsia"/>
                <w:color w:val="auto"/>
              </w:rPr>
              <w:t>环境管控单元类型</w:t>
            </w:r>
          </w:p>
        </w:tc>
      </w:tr>
      <w:tr w14:paraId="409FC1C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pct"/>
            <w:gridSpan w:val="2"/>
            <w:vAlign w:val="center"/>
          </w:tcPr>
          <w:p w14:paraId="6C77B3F4">
            <w:pPr>
              <w:pStyle w:val="23"/>
              <w:bidi w:val="0"/>
              <w:rPr>
                <w:color w:val="auto"/>
              </w:rPr>
            </w:pPr>
            <w:r>
              <w:rPr>
                <w:rFonts w:hint="eastAsia"/>
                <w:color w:val="auto"/>
              </w:rPr>
              <w:t>ZH50023620001</w:t>
            </w:r>
          </w:p>
        </w:tc>
        <w:tc>
          <w:tcPr>
            <w:tcW w:w="2413" w:type="pct"/>
            <w:vAlign w:val="center"/>
          </w:tcPr>
          <w:p w14:paraId="1DC72EA6">
            <w:pPr>
              <w:pStyle w:val="23"/>
              <w:bidi w:val="0"/>
              <w:rPr>
                <w:color w:val="auto"/>
              </w:rPr>
            </w:pPr>
            <w:r>
              <w:rPr>
                <w:rFonts w:hint="eastAsia"/>
                <w:color w:val="auto"/>
              </w:rPr>
              <w:t>奉节县工业城镇重点管控单元-城区片区</w:t>
            </w:r>
          </w:p>
        </w:tc>
        <w:tc>
          <w:tcPr>
            <w:tcW w:w="1696" w:type="pct"/>
            <w:gridSpan w:val="2"/>
            <w:vAlign w:val="center"/>
          </w:tcPr>
          <w:p w14:paraId="04D8CD9B">
            <w:pPr>
              <w:pStyle w:val="23"/>
              <w:bidi w:val="0"/>
              <w:rPr>
                <w:color w:val="auto"/>
              </w:rPr>
            </w:pPr>
            <w:r>
              <w:rPr>
                <w:rFonts w:hint="eastAsia"/>
                <w:color w:val="auto"/>
              </w:rPr>
              <w:t>重点管控单元</w:t>
            </w:r>
          </w:p>
        </w:tc>
      </w:tr>
      <w:tr w14:paraId="31EDAD5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513" w:type="pct"/>
            <w:vAlign w:val="center"/>
          </w:tcPr>
          <w:p w14:paraId="161C95E9">
            <w:pPr>
              <w:pStyle w:val="23"/>
              <w:bidi w:val="0"/>
              <w:rPr>
                <w:color w:val="auto"/>
              </w:rPr>
            </w:pPr>
            <w:r>
              <w:rPr>
                <w:rFonts w:hint="eastAsia"/>
                <w:color w:val="auto"/>
              </w:rPr>
              <w:t>管控要求层级</w:t>
            </w:r>
          </w:p>
        </w:tc>
        <w:tc>
          <w:tcPr>
            <w:tcW w:w="376" w:type="pct"/>
            <w:vAlign w:val="center"/>
          </w:tcPr>
          <w:p w14:paraId="42BDE930">
            <w:pPr>
              <w:pStyle w:val="23"/>
              <w:bidi w:val="0"/>
              <w:rPr>
                <w:color w:val="auto"/>
              </w:rPr>
            </w:pPr>
            <w:r>
              <w:rPr>
                <w:rFonts w:hint="eastAsia"/>
                <w:color w:val="auto"/>
              </w:rPr>
              <w:t>管控类型</w:t>
            </w:r>
          </w:p>
        </w:tc>
        <w:tc>
          <w:tcPr>
            <w:tcW w:w="2413" w:type="pct"/>
            <w:vAlign w:val="center"/>
          </w:tcPr>
          <w:p w14:paraId="7D60786A">
            <w:pPr>
              <w:pStyle w:val="23"/>
              <w:bidi w:val="0"/>
              <w:rPr>
                <w:color w:val="auto"/>
              </w:rPr>
            </w:pPr>
            <w:r>
              <w:rPr>
                <w:rFonts w:hint="eastAsia"/>
                <w:color w:val="auto"/>
              </w:rPr>
              <w:t>管控要求</w:t>
            </w:r>
          </w:p>
        </w:tc>
        <w:tc>
          <w:tcPr>
            <w:tcW w:w="1373" w:type="pct"/>
            <w:vAlign w:val="center"/>
          </w:tcPr>
          <w:p w14:paraId="4002DF31">
            <w:pPr>
              <w:pStyle w:val="23"/>
              <w:bidi w:val="0"/>
              <w:rPr>
                <w:color w:val="auto"/>
              </w:rPr>
            </w:pPr>
            <w:r>
              <w:rPr>
                <w:rFonts w:hint="eastAsia"/>
                <w:color w:val="auto"/>
              </w:rPr>
              <w:t>本项目情况</w:t>
            </w:r>
          </w:p>
        </w:tc>
        <w:tc>
          <w:tcPr>
            <w:tcW w:w="323" w:type="pct"/>
            <w:vAlign w:val="center"/>
          </w:tcPr>
          <w:p w14:paraId="4ADDB31D">
            <w:pPr>
              <w:pStyle w:val="23"/>
              <w:bidi w:val="0"/>
              <w:rPr>
                <w:color w:val="auto"/>
              </w:rPr>
            </w:pPr>
            <w:r>
              <w:rPr>
                <w:rFonts w:hint="eastAsia"/>
                <w:color w:val="auto"/>
              </w:rPr>
              <w:t>符合性</w:t>
            </w:r>
          </w:p>
        </w:tc>
      </w:tr>
      <w:tr w14:paraId="512D5D4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restart"/>
            <w:vAlign w:val="center"/>
          </w:tcPr>
          <w:p w14:paraId="3A6B5A32">
            <w:pPr>
              <w:pStyle w:val="23"/>
              <w:bidi w:val="0"/>
              <w:rPr>
                <w:color w:val="auto"/>
              </w:rPr>
            </w:pPr>
            <w:r>
              <w:rPr>
                <w:rFonts w:hint="eastAsia"/>
                <w:color w:val="auto"/>
              </w:rPr>
              <w:t>市级总体管控要求</w:t>
            </w:r>
          </w:p>
        </w:tc>
        <w:tc>
          <w:tcPr>
            <w:tcW w:w="376" w:type="pct"/>
            <w:vMerge w:val="restart"/>
            <w:vAlign w:val="center"/>
          </w:tcPr>
          <w:p w14:paraId="6A9FE771">
            <w:pPr>
              <w:pStyle w:val="23"/>
              <w:bidi w:val="0"/>
              <w:rPr>
                <w:color w:val="auto"/>
              </w:rPr>
            </w:pPr>
            <w:r>
              <w:rPr>
                <w:rFonts w:hint="eastAsia"/>
                <w:color w:val="auto"/>
              </w:rPr>
              <w:t>空间布局约束</w:t>
            </w:r>
          </w:p>
        </w:tc>
        <w:tc>
          <w:tcPr>
            <w:tcW w:w="2413" w:type="pct"/>
            <w:vAlign w:val="center"/>
          </w:tcPr>
          <w:p w14:paraId="71C5B5DB">
            <w:pPr>
              <w:pStyle w:val="23"/>
              <w:bidi w:val="0"/>
              <w:jc w:val="both"/>
              <w:rPr>
                <w:color w:val="auto"/>
              </w:rPr>
            </w:pPr>
            <w:r>
              <w:rPr>
                <w:rFonts w:hint="eastAsia"/>
                <w:color w:val="auto"/>
                <w:lang w:val="en-US" w:eastAsia="zh-CN"/>
              </w:rPr>
              <w:t>第一条 深入贯彻习近平生态文明思想，筑牢长江上游重要生态屏障，推动优势区域重点发展、生态功能区重点保护、</w:t>
            </w:r>
            <w:r>
              <w:rPr>
                <w:rFonts w:hint="eastAsia"/>
                <w:color w:val="auto"/>
                <w:lang w:val="en-US" w:eastAsia="zh-CN"/>
              </w:rPr>
              <w:fldChar w:fldCharType="begin"/>
            </w:r>
            <w:r>
              <w:rPr>
                <w:rFonts w:hint="eastAsia"/>
                <w:color w:val="auto"/>
                <w:lang w:val="en-US" w:eastAsia="zh-CN"/>
              </w:rPr>
              <w:instrText xml:space="preserve"> HYPERLINK "http://guihuayun.com/baike/%E5%9F%8E%E4%B9%A1%E8%9E%8D%E5%90%88%E5%8F%91%E5%B1%95" \t "http://www.gui-hua.com/post/_blank" </w:instrText>
            </w:r>
            <w:r>
              <w:rPr>
                <w:rFonts w:hint="eastAsia"/>
                <w:color w:val="auto"/>
                <w:lang w:val="en-US" w:eastAsia="zh-CN"/>
              </w:rPr>
              <w:fldChar w:fldCharType="separate"/>
            </w:r>
            <w:r>
              <w:rPr>
                <w:rFonts w:hint="eastAsia"/>
                <w:color w:val="auto"/>
                <w:lang w:val="en-US" w:eastAsia="zh-CN"/>
              </w:rPr>
              <w:t>城乡融合发展</w:t>
            </w:r>
            <w:r>
              <w:rPr>
                <w:rFonts w:hint="eastAsia"/>
                <w:color w:val="auto"/>
                <w:lang w:val="en-US" w:eastAsia="zh-CN"/>
              </w:rPr>
              <w:fldChar w:fldCharType="end"/>
            </w:r>
            <w:r>
              <w:rPr>
                <w:rFonts w:hint="eastAsia"/>
                <w:color w:val="auto"/>
                <w:lang w:val="en-US" w:eastAsia="zh-CN"/>
              </w:rPr>
              <w:t>，优化重点区域、流域、产业的空间布局</w:t>
            </w:r>
            <w:r>
              <w:rPr>
                <w:rFonts w:hint="eastAsia"/>
                <w:color w:val="auto"/>
              </w:rPr>
              <w:t>。</w:t>
            </w:r>
          </w:p>
        </w:tc>
        <w:tc>
          <w:tcPr>
            <w:tcW w:w="1373" w:type="pct"/>
            <w:vAlign w:val="center"/>
          </w:tcPr>
          <w:p w14:paraId="442C8472">
            <w:pPr>
              <w:pStyle w:val="23"/>
              <w:bidi w:val="0"/>
              <w:jc w:val="both"/>
              <w:rPr>
                <w:color w:val="auto"/>
              </w:rPr>
            </w:pPr>
            <w:r>
              <w:rPr>
                <w:rFonts w:hint="default"/>
                <w:color w:val="auto"/>
                <w:lang w:val="en-US" w:eastAsia="zh-CN"/>
              </w:rPr>
              <w:t>按要求执行</w:t>
            </w:r>
            <w:r>
              <w:rPr>
                <w:rFonts w:hint="default"/>
                <w:color w:val="auto"/>
              </w:rPr>
              <w:t>。</w:t>
            </w:r>
          </w:p>
        </w:tc>
        <w:tc>
          <w:tcPr>
            <w:tcW w:w="323" w:type="pct"/>
            <w:vAlign w:val="center"/>
          </w:tcPr>
          <w:p w14:paraId="4E58BD69">
            <w:pPr>
              <w:pStyle w:val="23"/>
              <w:bidi w:val="0"/>
              <w:rPr>
                <w:color w:val="auto"/>
              </w:rPr>
            </w:pPr>
            <w:r>
              <w:rPr>
                <w:rFonts w:hint="default"/>
                <w:color w:val="auto"/>
              </w:rPr>
              <w:t>符合</w:t>
            </w:r>
          </w:p>
        </w:tc>
      </w:tr>
      <w:tr w14:paraId="3A9EB16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6EC12B6B">
            <w:pPr>
              <w:pStyle w:val="23"/>
              <w:bidi w:val="0"/>
              <w:rPr>
                <w:color w:val="auto"/>
              </w:rPr>
            </w:pPr>
          </w:p>
        </w:tc>
        <w:tc>
          <w:tcPr>
            <w:tcW w:w="376" w:type="pct"/>
            <w:vMerge w:val="continue"/>
            <w:vAlign w:val="center"/>
          </w:tcPr>
          <w:p w14:paraId="4982E67A">
            <w:pPr>
              <w:pStyle w:val="23"/>
              <w:bidi w:val="0"/>
              <w:rPr>
                <w:color w:val="auto"/>
              </w:rPr>
            </w:pPr>
          </w:p>
        </w:tc>
        <w:tc>
          <w:tcPr>
            <w:tcW w:w="2413" w:type="pct"/>
            <w:vAlign w:val="center"/>
          </w:tcPr>
          <w:p w14:paraId="065EC078">
            <w:pPr>
              <w:pStyle w:val="23"/>
              <w:bidi w:val="0"/>
              <w:jc w:val="both"/>
              <w:rPr>
                <w:color w:val="auto"/>
              </w:rPr>
            </w:pPr>
            <w:r>
              <w:rPr>
                <w:rFonts w:hint="default"/>
                <w:color w:val="auto"/>
                <w:lang w:val="en-US" w:eastAsia="zh-CN"/>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r>
              <w:rPr>
                <w:rFonts w:hint="eastAsia"/>
                <w:color w:val="auto"/>
                <w:lang w:val="en-US" w:eastAsia="zh-CN"/>
              </w:rPr>
              <w:t>。</w:t>
            </w:r>
          </w:p>
        </w:tc>
        <w:tc>
          <w:tcPr>
            <w:tcW w:w="1373" w:type="pct"/>
            <w:vAlign w:val="center"/>
          </w:tcPr>
          <w:p w14:paraId="2329EFD3">
            <w:pPr>
              <w:pStyle w:val="23"/>
              <w:bidi w:val="0"/>
              <w:jc w:val="both"/>
              <w:rPr>
                <w:rFonts w:hint="default" w:eastAsia="宋体"/>
                <w:color w:val="auto"/>
                <w:lang w:val="en-US" w:eastAsia="zh-CN"/>
              </w:rPr>
            </w:pPr>
            <w:r>
              <w:rPr>
                <w:rFonts w:hint="eastAsia"/>
                <w:color w:val="auto"/>
                <w:lang w:val="en-US" w:eastAsia="zh-CN"/>
              </w:rPr>
              <w:t>本项目为城市道路建设项目，不属于化工园区和化工项目，不属于尾矿库、冶炼渣库、磷石膏库项目，也不属于重化工、纸浆制造、印染等存在环境风险的项目。</w:t>
            </w:r>
          </w:p>
        </w:tc>
        <w:tc>
          <w:tcPr>
            <w:tcW w:w="323" w:type="pct"/>
            <w:vAlign w:val="center"/>
          </w:tcPr>
          <w:p w14:paraId="540C0906">
            <w:pPr>
              <w:pStyle w:val="23"/>
              <w:bidi w:val="0"/>
              <w:rPr>
                <w:color w:val="auto"/>
              </w:rPr>
            </w:pPr>
            <w:r>
              <w:rPr>
                <w:rFonts w:hint="default"/>
                <w:color w:val="auto"/>
              </w:rPr>
              <w:t>符合</w:t>
            </w:r>
          </w:p>
        </w:tc>
      </w:tr>
      <w:tr w14:paraId="37DB0B4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33CBEB49">
            <w:pPr>
              <w:pStyle w:val="23"/>
              <w:bidi w:val="0"/>
              <w:rPr>
                <w:color w:val="auto"/>
              </w:rPr>
            </w:pPr>
          </w:p>
        </w:tc>
        <w:tc>
          <w:tcPr>
            <w:tcW w:w="376" w:type="pct"/>
            <w:vMerge w:val="continue"/>
            <w:vAlign w:val="center"/>
          </w:tcPr>
          <w:p w14:paraId="0C573B61">
            <w:pPr>
              <w:pStyle w:val="23"/>
              <w:bidi w:val="0"/>
              <w:rPr>
                <w:color w:val="auto"/>
              </w:rPr>
            </w:pPr>
          </w:p>
        </w:tc>
        <w:tc>
          <w:tcPr>
            <w:tcW w:w="2413" w:type="pct"/>
            <w:vAlign w:val="center"/>
          </w:tcPr>
          <w:p w14:paraId="3F548CC4">
            <w:pPr>
              <w:pStyle w:val="23"/>
              <w:bidi w:val="0"/>
              <w:jc w:val="both"/>
              <w:rPr>
                <w:color w:val="auto"/>
              </w:rPr>
            </w:pPr>
            <w:r>
              <w:rPr>
                <w:rFonts w:hint="default"/>
                <w:color w:val="auto"/>
                <w:lang w:val="en-US" w:eastAsia="zh-CN"/>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r>
              <w:rPr>
                <w:rFonts w:hint="default"/>
                <w:color w:val="auto"/>
              </w:rPr>
              <w:t>。</w:t>
            </w:r>
          </w:p>
        </w:tc>
        <w:tc>
          <w:tcPr>
            <w:tcW w:w="1373" w:type="pct"/>
            <w:vAlign w:val="center"/>
          </w:tcPr>
          <w:p w14:paraId="717FEA03">
            <w:pPr>
              <w:pStyle w:val="23"/>
              <w:bidi w:val="0"/>
              <w:jc w:val="both"/>
              <w:rPr>
                <w:rFonts w:hint="default"/>
                <w:color w:val="auto"/>
                <w:lang w:val="en-US"/>
              </w:rPr>
            </w:pPr>
            <w:r>
              <w:rPr>
                <w:rFonts w:hint="eastAsia"/>
                <w:color w:val="auto"/>
                <w:lang w:val="en-US" w:eastAsia="zh-CN"/>
              </w:rPr>
              <w:t>本项目为城市道路建设项目，不属于工业项目。</w:t>
            </w:r>
          </w:p>
        </w:tc>
        <w:tc>
          <w:tcPr>
            <w:tcW w:w="323" w:type="pct"/>
            <w:vAlign w:val="center"/>
          </w:tcPr>
          <w:p w14:paraId="15A90F53">
            <w:pPr>
              <w:pStyle w:val="23"/>
              <w:bidi w:val="0"/>
              <w:rPr>
                <w:color w:val="auto"/>
              </w:rPr>
            </w:pPr>
            <w:r>
              <w:rPr>
                <w:rFonts w:hint="default"/>
                <w:color w:val="auto"/>
              </w:rPr>
              <w:t>符合</w:t>
            </w:r>
          </w:p>
        </w:tc>
      </w:tr>
      <w:tr w14:paraId="657190D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513" w:type="pct"/>
            <w:vMerge w:val="continue"/>
            <w:vAlign w:val="center"/>
          </w:tcPr>
          <w:p w14:paraId="3173CC05">
            <w:pPr>
              <w:pStyle w:val="23"/>
              <w:bidi w:val="0"/>
              <w:rPr>
                <w:color w:val="auto"/>
              </w:rPr>
            </w:pPr>
          </w:p>
        </w:tc>
        <w:tc>
          <w:tcPr>
            <w:tcW w:w="376" w:type="pct"/>
            <w:vMerge w:val="continue"/>
            <w:vAlign w:val="center"/>
          </w:tcPr>
          <w:p w14:paraId="6BF861F7">
            <w:pPr>
              <w:pStyle w:val="23"/>
              <w:bidi w:val="0"/>
              <w:rPr>
                <w:color w:val="auto"/>
              </w:rPr>
            </w:pPr>
          </w:p>
        </w:tc>
        <w:tc>
          <w:tcPr>
            <w:tcW w:w="2413" w:type="pct"/>
            <w:vAlign w:val="center"/>
          </w:tcPr>
          <w:p w14:paraId="4136ABAB">
            <w:pPr>
              <w:pStyle w:val="23"/>
              <w:bidi w:val="0"/>
              <w:jc w:val="both"/>
              <w:rPr>
                <w:color w:val="auto"/>
              </w:rPr>
            </w:pPr>
            <w:r>
              <w:rPr>
                <w:rFonts w:hint="default"/>
                <w:color w:val="auto"/>
                <w:lang w:val="en-US" w:eastAsia="zh-CN"/>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r>
              <w:rPr>
                <w:rFonts w:hint="eastAsia"/>
                <w:color w:val="auto"/>
                <w:lang w:val="en-US" w:eastAsia="zh-CN"/>
              </w:rPr>
              <w:t>。</w:t>
            </w:r>
          </w:p>
        </w:tc>
        <w:tc>
          <w:tcPr>
            <w:tcW w:w="1373" w:type="pct"/>
            <w:vAlign w:val="center"/>
          </w:tcPr>
          <w:p w14:paraId="29A88A1F">
            <w:pPr>
              <w:pStyle w:val="23"/>
              <w:bidi w:val="0"/>
              <w:jc w:val="both"/>
              <w:rPr>
                <w:color w:val="auto"/>
              </w:rPr>
            </w:pPr>
            <w:r>
              <w:rPr>
                <w:rFonts w:hint="eastAsia"/>
                <w:color w:val="auto"/>
                <w:lang w:val="en-US" w:eastAsia="zh-CN"/>
              </w:rPr>
              <w:t>本项目为城市道路建设项目，不属于工业项目。</w:t>
            </w:r>
          </w:p>
        </w:tc>
        <w:tc>
          <w:tcPr>
            <w:tcW w:w="323" w:type="pct"/>
            <w:vAlign w:val="center"/>
          </w:tcPr>
          <w:p w14:paraId="5C9FE384">
            <w:pPr>
              <w:pStyle w:val="23"/>
              <w:bidi w:val="0"/>
              <w:rPr>
                <w:color w:val="auto"/>
              </w:rPr>
            </w:pPr>
            <w:r>
              <w:rPr>
                <w:rFonts w:hint="default"/>
                <w:color w:val="auto"/>
              </w:rPr>
              <w:t>符合</w:t>
            </w:r>
          </w:p>
        </w:tc>
      </w:tr>
      <w:tr w14:paraId="56C6B01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109AB276">
            <w:pPr>
              <w:pStyle w:val="23"/>
              <w:bidi w:val="0"/>
              <w:rPr>
                <w:color w:val="auto"/>
              </w:rPr>
            </w:pPr>
          </w:p>
        </w:tc>
        <w:tc>
          <w:tcPr>
            <w:tcW w:w="376" w:type="pct"/>
            <w:vMerge w:val="continue"/>
            <w:vAlign w:val="center"/>
          </w:tcPr>
          <w:p w14:paraId="31FA5C9F">
            <w:pPr>
              <w:pStyle w:val="23"/>
              <w:bidi w:val="0"/>
              <w:rPr>
                <w:color w:val="auto"/>
              </w:rPr>
            </w:pPr>
          </w:p>
        </w:tc>
        <w:tc>
          <w:tcPr>
            <w:tcW w:w="2413" w:type="pct"/>
            <w:vAlign w:val="center"/>
          </w:tcPr>
          <w:p w14:paraId="0A20A0DC">
            <w:pPr>
              <w:pStyle w:val="23"/>
              <w:bidi w:val="0"/>
              <w:jc w:val="both"/>
              <w:rPr>
                <w:rFonts w:hint="default"/>
                <w:color w:val="auto"/>
                <w:lang w:val="en-US" w:eastAsia="zh-CN"/>
              </w:rPr>
            </w:pPr>
            <w:r>
              <w:rPr>
                <w:rFonts w:hint="default"/>
                <w:color w:val="auto"/>
                <w:lang w:val="en-US" w:eastAsia="zh-CN"/>
              </w:rPr>
              <w:t>第五条 新建、扩建有色金属冶炼、电镀、铅蓄电池等企业应布设在依法合规设立并经过规划环评的产业园区。</w:t>
            </w:r>
          </w:p>
        </w:tc>
        <w:tc>
          <w:tcPr>
            <w:tcW w:w="1373" w:type="pct"/>
            <w:vAlign w:val="center"/>
          </w:tcPr>
          <w:p w14:paraId="6263E47B">
            <w:pPr>
              <w:pStyle w:val="23"/>
              <w:bidi w:val="0"/>
              <w:jc w:val="both"/>
              <w:rPr>
                <w:rFonts w:hint="default"/>
                <w:color w:val="auto"/>
                <w:lang w:val="en-US"/>
              </w:rPr>
            </w:pPr>
            <w:r>
              <w:rPr>
                <w:rFonts w:hint="eastAsia"/>
                <w:color w:val="auto"/>
                <w:lang w:val="en-US" w:eastAsia="zh-CN"/>
              </w:rPr>
              <w:t>本项目为城市道路建设项目，不属于有色金属冶炼、电镀、铅蓄电池等企业。</w:t>
            </w:r>
          </w:p>
        </w:tc>
        <w:tc>
          <w:tcPr>
            <w:tcW w:w="323" w:type="pct"/>
            <w:vAlign w:val="center"/>
          </w:tcPr>
          <w:p w14:paraId="4F68E72F">
            <w:pPr>
              <w:pStyle w:val="23"/>
              <w:bidi w:val="0"/>
              <w:rPr>
                <w:color w:val="auto"/>
              </w:rPr>
            </w:pPr>
            <w:r>
              <w:rPr>
                <w:rFonts w:hint="default"/>
                <w:color w:val="auto"/>
              </w:rPr>
              <w:t>符合</w:t>
            </w:r>
          </w:p>
        </w:tc>
      </w:tr>
      <w:tr w14:paraId="3478C74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06F2D176">
            <w:pPr>
              <w:pStyle w:val="23"/>
              <w:bidi w:val="0"/>
              <w:rPr>
                <w:color w:val="auto"/>
              </w:rPr>
            </w:pPr>
          </w:p>
        </w:tc>
        <w:tc>
          <w:tcPr>
            <w:tcW w:w="376" w:type="pct"/>
            <w:vMerge w:val="continue"/>
            <w:vAlign w:val="center"/>
          </w:tcPr>
          <w:p w14:paraId="6C280595">
            <w:pPr>
              <w:pStyle w:val="23"/>
              <w:bidi w:val="0"/>
              <w:rPr>
                <w:color w:val="auto"/>
              </w:rPr>
            </w:pPr>
          </w:p>
        </w:tc>
        <w:tc>
          <w:tcPr>
            <w:tcW w:w="2413" w:type="pct"/>
            <w:vAlign w:val="center"/>
          </w:tcPr>
          <w:p w14:paraId="190BC8E7">
            <w:pPr>
              <w:pStyle w:val="23"/>
              <w:bidi w:val="0"/>
              <w:jc w:val="both"/>
              <w:rPr>
                <w:rFonts w:hint="default"/>
                <w:color w:val="auto"/>
                <w:lang w:val="en-US" w:eastAsia="zh-CN"/>
              </w:rPr>
            </w:pPr>
            <w:r>
              <w:rPr>
                <w:rFonts w:hint="default"/>
                <w:color w:val="auto"/>
                <w:lang w:val="en-US" w:eastAsia="zh-CN"/>
              </w:rPr>
              <w:t>第六条 涉及环境防护距离的工业企业或项目应通过选址或调整布局原则上将环境防护距离控制在园区边界或用地红线内，提前合理规划项目地块布置、预防环境风险。</w:t>
            </w:r>
          </w:p>
        </w:tc>
        <w:tc>
          <w:tcPr>
            <w:tcW w:w="1373" w:type="pct"/>
            <w:vAlign w:val="center"/>
          </w:tcPr>
          <w:p w14:paraId="1B9C1D72">
            <w:pPr>
              <w:pStyle w:val="23"/>
              <w:bidi w:val="0"/>
              <w:jc w:val="both"/>
              <w:rPr>
                <w:rFonts w:hint="default"/>
                <w:color w:val="auto"/>
                <w:lang w:val="en-US"/>
              </w:rPr>
            </w:pPr>
            <w:r>
              <w:rPr>
                <w:rFonts w:hint="eastAsia"/>
                <w:color w:val="auto"/>
                <w:lang w:val="en-US" w:eastAsia="zh-CN"/>
              </w:rPr>
              <w:t>本项目为城市道路建设项目，不涉及环境防护距离。</w:t>
            </w:r>
          </w:p>
        </w:tc>
        <w:tc>
          <w:tcPr>
            <w:tcW w:w="323" w:type="pct"/>
            <w:vAlign w:val="center"/>
          </w:tcPr>
          <w:p w14:paraId="2AC1F289">
            <w:pPr>
              <w:pStyle w:val="23"/>
              <w:bidi w:val="0"/>
              <w:rPr>
                <w:color w:val="auto"/>
              </w:rPr>
            </w:pPr>
            <w:r>
              <w:rPr>
                <w:rFonts w:hint="default"/>
                <w:color w:val="auto"/>
              </w:rPr>
              <w:t>符合</w:t>
            </w:r>
          </w:p>
        </w:tc>
      </w:tr>
      <w:tr w14:paraId="2CBB909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3734D58E">
            <w:pPr>
              <w:pStyle w:val="23"/>
              <w:bidi w:val="0"/>
              <w:rPr>
                <w:color w:val="auto"/>
              </w:rPr>
            </w:pPr>
          </w:p>
        </w:tc>
        <w:tc>
          <w:tcPr>
            <w:tcW w:w="376" w:type="pct"/>
            <w:vMerge w:val="continue"/>
            <w:vAlign w:val="center"/>
          </w:tcPr>
          <w:p w14:paraId="632E96D7">
            <w:pPr>
              <w:pStyle w:val="23"/>
              <w:bidi w:val="0"/>
              <w:rPr>
                <w:color w:val="auto"/>
              </w:rPr>
            </w:pPr>
          </w:p>
        </w:tc>
        <w:tc>
          <w:tcPr>
            <w:tcW w:w="2413" w:type="pct"/>
            <w:vAlign w:val="center"/>
          </w:tcPr>
          <w:p w14:paraId="54D9A10E">
            <w:pPr>
              <w:pStyle w:val="23"/>
              <w:bidi w:val="0"/>
              <w:jc w:val="both"/>
              <w:rPr>
                <w:color w:val="auto"/>
              </w:rPr>
            </w:pPr>
            <w:r>
              <w:rPr>
                <w:rFonts w:hint="default"/>
                <w:color w:val="auto"/>
                <w:lang w:val="en-US" w:eastAsia="zh-CN"/>
              </w:rPr>
              <w:t>第七条 有效规范空间开发秩序，合理控制空间开发强度，切实将各类开发活动限制在资源环境承载能力之内，为构建高效协调可持续的国土空间开发格局奠定坚实基础。</w:t>
            </w:r>
          </w:p>
        </w:tc>
        <w:tc>
          <w:tcPr>
            <w:tcW w:w="1373" w:type="pct"/>
            <w:vAlign w:val="center"/>
          </w:tcPr>
          <w:p w14:paraId="278433F3">
            <w:pPr>
              <w:pStyle w:val="23"/>
              <w:bidi w:val="0"/>
              <w:jc w:val="both"/>
              <w:rPr>
                <w:rFonts w:hint="eastAsia" w:eastAsia="宋体"/>
                <w:color w:val="auto"/>
                <w:lang w:val="en-US" w:eastAsia="zh-CN"/>
              </w:rPr>
            </w:pPr>
            <w:r>
              <w:rPr>
                <w:rFonts w:hint="eastAsia"/>
                <w:color w:val="auto"/>
                <w:lang w:val="en-US" w:eastAsia="zh-CN"/>
              </w:rPr>
              <w:t>本项目为规划道路，在资源环境承载能力之内。</w:t>
            </w:r>
          </w:p>
        </w:tc>
        <w:tc>
          <w:tcPr>
            <w:tcW w:w="323" w:type="pct"/>
            <w:vAlign w:val="center"/>
          </w:tcPr>
          <w:p w14:paraId="2981601D">
            <w:pPr>
              <w:pStyle w:val="23"/>
              <w:bidi w:val="0"/>
              <w:rPr>
                <w:color w:val="auto"/>
              </w:rPr>
            </w:pPr>
            <w:r>
              <w:rPr>
                <w:rFonts w:hint="default"/>
                <w:color w:val="auto"/>
              </w:rPr>
              <w:t>符合</w:t>
            </w:r>
          </w:p>
        </w:tc>
      </w:tr>
      <w:tr w14:paraId="5E2C3A0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3A33F314">
            <w:pPr>
              <w:pStyle w:val="23"/>
              <w:bidi w:val="0"/>
              <w:rPr>
                <w:color w:val="auto"/>
              </w:rPr>
            </w:pPr>
          </w:p>
        </w:tc>
        <w:tc>
          <w:tcPr>
            <w:tcW w:w="376" w:type="pct"/>
            <w:vMerge w:val="restart"/>
            <w:vAlign w:val="center"/>
          </w:tcPr>
          <w:p w14:paraId="6EE36E56">
            <w:pPr>
              <w:pStyle w:val="23"/>
              <w:bidi w:val="0"/>
              <w:rPr>
                <w:color w:val="auto"/>
              </w:rPr>
            </w:pPr>
            <w:r>
              <w:rPr>
                <w:rFonts w:hint="eastAsia"/>
                <w:color w:val="auto"/>
              </w:rPr>
              <w:t>污染物排放管控</w:t>
            </w:r>
          </w:p>
        </w:tc>
        <w:tc>
          <w:tcPr>
            <w:tcW w:w="2413" w:type="pct"/>
            <w:vAlign w:val="center"/>
          </w:tcPr>
          <w:p w14:paraId="1205D959">
            <w:pPr>
              <w:pStyle w:val="23"/>
              <w:bidi w:val="0"/>
              <w:jc w:val="both"/>
              <w:rPr>
                <w:color w:val="auto"/>
              </w:rPr>
            </w:pPr>
            <w:r>
              <w:rPr>
                <w:rFonts w:hint="default"/>
                <w:color w:val="auto"/>
                <w:lang w:val="en-US" w:eastAsia="zh-CN"/>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1373" w:type="pct"/>
            <w:vAlign w:val="center"/>
          </w:tcPr>
          <w:p w14:paraId="7CCFA51A">
            <w:pPr>
              <w:pStyle w:val="23"/>
              <w:bidi w:val="0"/>
              <w:jc w:val="both"/>
              <w:rPr>
                <w:rFonts w:hint="default"/>
                <w:color w:val="auto"/>
                <w:lang w:val="en-US"/>
              </w:rPr>
            </w:pPr>
            <w:r>
              <w:rPr>
                <w:rFonts w:hint="eastAsia"/>
                <w:color w:val="auto"/>
                <w:lang w:val="en-US" w:eastAsia="zh-CN"/>
              </w:rPr>
              <w:t>本项目为城市道路建设项目，不属于工业项目。</w:t>
            </w:r>
          </w:p>
        </w:tc>
        <w:tc>
          <w:tcPr>
            <w:tcW w:w="323" w:type="pct"/>
            <w:vAlign w:val="center"/>
          </w:tcPr>
          <w:p w14:paraId="39BDB9A8">
            <w:pPr>
              <w:pStyle w:val="23"/>
              <w:bidi w:val="0"/>
              <w:rPr>
                <w:color w:val="auto"/>
              </w:rPr>
            </w:pPr>
            <w:r>
              <w:rPr>
                <w:rFonts w:hint="default"/>
                <w:color w:val="auto"/>
              </w:rPr>
              <w:t>符合</w:t>
            </w:r>
          </w:p>
        </w:tc>
      </w:tr>
      <w:tr w14:paraId="59ACCA8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4396DE8B">
            <w:pPr>
              <w:pStyle w:val="23"/>
              <w:bidi w:val="0"/>
              <w:rPr>
                <w:color w:val="auto"/>
              </w:rPr>
            </w:pPr>
          </w:p>
        </w:tc>
        <w:tc>
          <w:tcPr>
            <w:tcW w:w="376" w:type="pct"/>
            <w:vMerge w:val="continue"/>
            <w:vAlign w:val="center"/>
          </w:tcPr>
          <w:p w14:paraId="01E5250F">
            <w:pPr>
              <w:pStyle w:val="23"/>
              <w:bidi w:val="0"/>
              <w:rPr>
                <w:color w:val="auto"/>
              </w:rPr>
            </w:pPr>
          </w:p>
        </w:tc>
        <w:tc>
          <w:tcPr>
            <w:tcW w:w="2413" w:type="pct"/>
            <w:vAlign w:val="center"/>
          </w:tcPr>
          <w:p w14:paraId="1A561956">
            <w:pPr>
              <w:pStyle w:val="23"/>
              <w:bidi w:val="0"/>
              <w:jc w:val="both"/>
              <w:rPr>
                <w:color w:val="auto"/>
              </w:rPr>
            </w:pPr>
            <w:r>
              <w:rPr>
                <w:rFonts w:hint="default"/>
                <w:color w:val="auto"/>
                <w:lang w:val="en-US" w:eastAsia="zh-CN"/>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373" w:type="pct"/>
            <w:vAlign w:val="center"/>
          </w:tcPr>
          <w:p w14:paraId="1020D85B">
            <w:pPr>
              <w:pStyle w:val="23"/>
              <w:bidi w:val="0"/>
              <w:jc w:val="both"/>
              <w:rPr>
                <w:color w:val="auto"/>
              </w:rPr>
            </w:pPr>
            <w:r>
              <w:rPr>
                <w:rFonts w:hint="eastAsia"/>
                <w:color w:val="auto"/>
                <w:lang w:val="en-US" w:eastAsia="zh-CN"/>
              </w:rPr>
              <w:t>本项目为城市道路建设项目，不属于工业项目。</w:t>
            </w:r>
          </w:p>
        </w:tc>
        <w:tc>
          <w:tcPr>
            <w:tcW w:w="323" w:type="pct"/>
            <w:vAlign w:val="center"/>
          </w:tcPr>
          <w:p w14:paraId="39F4AE08">
            <w:pPr>
              <w:pStyle w:val="23"/>
              <w:bidi w:val="0"/>
              <w:rPr>
                <w:color w:val="auto"/>
              </w:rPr>
            </w:pPr>
            <w:r>
              <w:rPr>
                <w:rFonts w:hint="default"/>
                <w:color w:val="auto"/>
              </w:rPr>
              <w:t>符合</w:t>
            </w:r>
          </w:p>
        </w:tc>
      </w:tr>
      <w:tr w14:paraId="102B0B9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642C879D">
            <w:pPr>
              <w:pStyle w:val="23"/>
              <w:bidi w:val="0"/>
              <w:rPr>
                <w:color w:val="auto"/>
              </w:rPr>
            </w:pPr>
          </w:p>
        </w:tc>
        <w:tc>
          <w:tcPr>
            <w:tcW w:w="376" w:type="pct"/>
            <w:vMerge w:val="continue"/>
            <w:vAlign w:val="center"/>
          </w:tcPr>
          <w:p w14:paraId="28573018">
            <w:pPr>
              <w:pStyle w:val="23"/>
              <w:bidi w:val="0"/>
              <w:rPr>
                <w:color w:val="auto"/>
              </w:rPr>
            </w:pPr>
          </w:p>
        </w:tc>
        <w:tc>
          <w:tcPr>
            <w:tcW w:w="2413" w:type="pct"/>
            <w:vAlign w:val="center"/>
          </w:tcPr>
          <w:p w14:paraId="1FC1EA08">
            <w:pPr>
              <w:pStyle w:val="23"/>
              <w:bidi w:val="0"/>
              <w:jc w:val="both"/>
              <w:rPr>
                <w:color w:val="auto"/>
              </w:rPr>
            </w:pPr>
            <w:r>
              <w:rPr>
                <w:rFonts w:hint="default"/>
                <w:color w:val="auto"/>
                <w:lang w:val="en-US" w:eastAsia="zh-CN"/>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373" w:type="pct"/>
            <w:vAlign w:val="center"/>
          </w:tcPr>
          <w:p w14:paraId="77313075">
            <w:pPr>
              <w:pStyle w:val="23"/>
              <w:bidi w:val="0"/>
              <w:jc w:val="both"/>
              <w:rPr>
                <w:color w:val="auto"/>
              </w:rPr>
            </w:pPr>
            <w:r>
              <w:rPr>
                <w:rFonts w:hint="eastAsia"/>
                <w:color w:val="auto"/>
                <w:lang w:val="en-US" w:eastAsia="zh-CN"/>
              </w:rPr>
              <w:t>本项目为城市道路建设项目，不属于工业项目。</w:t>
            </w:r>
          </w:p>
        </w:tc>
        <w:tc>
          <w:tcPr>
            <w:tcW w:w="323" w:type="pct"/>
            <w:vAlign w:val="center"/>
          </w:tcPr>
          <w:p w14:paraId="0C1BAF02">
            <w:pPr>
              <w:pStyle w:val="23"/>
              <w:bidi w:val="0"/>
              <w:rPr>
                <w:color w:val="auto"/>
              </w:rPr>
            </w:pPr>
            <w:r>
              <w:rPr>
                <w:rFonts w:hint="default"/>
                <w:color w:val="auto"/>
              </w:rPr>
              <w:t>符合</w:t>
            </w:r>
          </w:p>
        </w:tc>
      </w:tr>
      <w:tr w14:paraId="18CCE95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2417A0AA">
            <w:pPr>
              <w:pStyle w:val="23"/>
              <w:bidi w:val="0"/>
              <w:rPr>
                <w:color w:val="auto"/>
              </w:rPr>
            </w:pPr>
          </w:p>
        </w:tc>
        <w:tc>
          <w:tcPr>
            <w:tcW w:w="376" w:type="pct"/>
            <w:vMerge w:val="continue"/>
            <w:vAlign w:val="center"/>
          </w:tcPr>
          <w:p w14:paraId="6E2F891C">
            <w:pPr>
              <w:pStyle w:val="23"/>
              <w:bidi w:val="0"/>
              <w:rPr>
                <w:color w:val="auto"/>
              </w:rPr>
            </w:pPr>
          </w:p>
        </w:tc>
        <w:tc>
          <w:tcPr>
            <w:tcW w:w="2413" w:type="pct"/>
            <w:vAlign w:val="center"/>
          </w:tcPr>
          <w:p w14:paraId="49DCD82C">
            <w:pPr>
              <w:pStyle w:val="23"/>
              <w:bidi w:val="0"/>
              <w:jc w:val="both"/>
              <w:rPr>
                <w:color w:val="auto"/>
              </w:rPr>
            </w:pPr>
            <w:r>
              <w:rPr>
                <w:rFonts w:hint="default"/>
                <w:color w:val="auto"/>
                <w:lang w:val="en-US" w:eastAsia="zh-CN"/>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373" w:type="pct"/>
            <w:vAlign w:val="center"/>
          </w:tcPr>
          <w:p w14:paraId="7573695F">
            <w:pPr>
              <w:pStyle w:val="23"/>
              <w:bidi w:val="0"/>
              <w:jc w:val="both"/>
              <w:rPr>
                <w:color w:val="auto"/>
              </w:rPr>
            </w:pPr>
            <w:r>
              <w:rPr>
                <w:rFonts w:hint="eastAsia"/>
                <w:color w:val="auto"/>
                <w:lang w:val="en-US" w:eastAsia="zh-CN"/>
              </w:rPr>
              <w:t>本项目为城市道路建设项目，不属于工业项目。</w:t>
            </w:r>
          </w:p>
        </w:tc>
        <w:tc>
          <w:tcPr>
            <w:tcW w:w="323" w:type="pct"/>
            <w:vAlign w:val="center"/>
          </w:tcPr>
          <w:p w14:paraId="1D9DCEDB">
            <w:pPr>
              <w:pStyle w:val="23"/>
              <w:bidi w:val="0"/>
              <w:rPr>
                <w:color w:val="auto"/>
              </w:rPr>
            </w:pPr>
            <w:r>
              <w:rPr>
                <w:rFonts w:hint="default"/>
                <w:color w:val="auto"/>
              </w:rPr>
              <w:t>符合</w:t>
            </w:r>
          </w:p>
        </w:tc>
      </w:tr>
      <w:tr w14:paraId="2DAC1C8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5FFFAA73">
            <w:pPr>
              <w:pStyle w:val="23"/>
              <w:bidi w:val="0"/>
              <w:rPr>
                <w:color w:val="auto"/>
              </w:rPr>
            </w:pPr>
          </w:p>
        </w:tc>
        <w:tc>
          <w:tcPr>
            <w:tcW w:w="376" w:type="pct"/>
            <w:vMerge w:val="continue"/>
            <w:vAlign w:val="center"/>
          </w:tcPr>
          <w:p w14:paraId="25AC653F">
            <w:pPr>
              <w:pStyle w:val="23"/>
              <w:bidi w:val="0"/>
              <w:rPr>
                <w:color w:val="auto"/>
              </w:rPr>
            </w:pPr>
          </w:p>
        </w:tc>
        <w:tc>
          <w:tcPr>
            <w:tcW w:w="2413" w:type="pct"/>
            <w:vAlign w:val="center"/>
          </w:tcPr>
          <w:p w14:paraId="3DD3C92C">
            <w:pPr>
              <w:pStyle w:val="23"/>
              <w:bidi w:val="0"/>
              <w:jc w:val="both"/>
              <w:rPr>
                <w:rFonts w:hint="default"/>
                <w:color w:val="auto"/>
                <w:lang w:val="en-US" w:eastAsia="zh-CN"/>
              </w:rPr>
            </w:pPr>
            <w:r>
              <w:rPr>
                <w:rFonts w:hint="default"/>
                <w:color w:val="auto"/>
                <w:lang w:val="en-US" w:eastAsia="zh-CN"/>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1373" w:type="pct"/>
            <w:vAlign w:val="center"/>
          </w:tcPr>
          <w:p w14:paraId="158D0B80">
            <w:pPr>
              <w:pStyle w:val="23"/>
              <w:bidi w:val="0"/>
              <w:jc w:val="both"/>
              <w:rPr>
                <w:rFonts w:hint="default" w:eastAsia="宋体"/>
                <w:color w:val="auto"/>
                <w:lang w:val="en-US" w:eastAsia="zh-CN"/>
              </w:rPr>
            </w:pPr>
            <w:r>
              <w:rPr>
                <w:rFonts w:hint="eastAsia"/>
                <w:color w:val="auto"/>
                <w:lang w:val="en-US" w:eastAsia="zh-CN"/>
              </w:rPr>
              <w:t>本项目为城市道路建设项目，运营期无废水产生，施工期施工废水全部回用，生活污水接入市政污水管网。</w:t>
            </w:r>
          </w:p>
        </w:tc>
        <w:tc>
          <w:tcPr>
            <w:tcW w:w="323" w:type="pct"/>
            <w:vAlign w:val="center"/>
          </w:tcPr>
          <w:p w14:paraId="69B92CBA">
            <w:pPr>
              <w:pStyle w:val="23"/>
              <w:bidi w:val="0"/>
              <w:rPr>
                <w:color w:val="auto"/>
              </w:rPr>
            </w:pPr>
            <w:r>
              <w:rPr>
                <w:rFonts w:hint="default"/>
                <w:color w:val="auto"/>
              </w:rPr>
              <w:t>符合</w:t>
            </w:r>
          </w:p>
        </w:tc>
      </w:tr>
      <w:tr w14:paraId="78FE5C7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6A316623">
            <w:pPr>
              <w:pStyle w:val="23"/>
              <w:bidi w:val="0"/>
              <w:rPr>
                <w:color w:val="auto"/>
              </w:rPr>
            </w:pPr>
          </w:p>
        </w:tc>
        <w:tc>
          <w:tcPr>
            <w:tcW w:w="376" w:type="pct"/>
            <w:vMerge w:val="continue"/>
            <w:vAlign w:val="center"/>
          </w:tcPr>
          <w:p w14:paraId="528F34AB">
            <w:pPr>
              <w:pStyle w:val="23"/>
              <w:bidi w:val="0"/>
              <w:rPr>
                <w:color w:val="auto"/>
              </w:rPr>
            </w:pPr>
          </w:p>
        </w:tc>
        <w:tc>
          <w:tcPr>
            <w:tcW w:w="2413" w:type="pct"/>
            <w:vAlign w:val="center"/>
          </w:tcPr>
          <w:p w14:paraId="7962BB87">
            <w:pPr>
              <w:pStyle w:val="23"/>
              <w:bidi w:val="0"/>
              <w:jc w:val="both"/>
              <w:rPr>
                <w:rFonts w:hint="default"/>
                <w:color w:val="auto"/>
                <w:lang w:val="en-US" w:eastAsia="zh-CN"/>
              </w:rPr>
            </w:pPr>
            <w:r>
              <w:rPr>
                <w:rFonts w:hint="default"/>
                <w:color w:val="auto"/>
                <w:lang w:val="en-US" w:eastAsia="zh-CN"/>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1373" w:type="pct"/>
            <w:vAlign w:val="center"/>
          </w:tcPr>
          <w:p w14:paraId="3270CAF9">
            <w:pPr>
              <w:pStyle w:val="23"/>
              <w:bidi w:val="0"/>
              <w:jc w:val="both"/>
              <w:rPr>
                <w:color w:val="auto"/>
              </w:rPr>
            </w:pPr>
            <w:r>
              <w:rPr>
                <w:rFonts w:hint="eastAsia"/>
                <w:color w:val="auto"/>
                <w:lang w:val="en-US" w:eastAsia="zh-CN"/>
              </w:rPr>
              <w:t>本项目为城市道路建设项目，不属于工业项目。</w:t>
            </w:r>
          </w:p>
        </w:tc>
        <w:tc>
          <w:tcPr>
            <w:tcW w:w="323" w:type="pct"/>
            <w:vAlign w:val="center"/>
          </w:tcPr>
          <w:p w14:paraId="297A5667">
            <w:pPr>
              <w:pStyle w:val="23"/>
              <w:bidi w:val="0"/>
              <w:rPr>
                <w:color w:val="auto"/>
              </w:rPr>
            </w:pPr>
            <w:r>
              <w:rPr>
                <w:rFonts w:hint="default"/>
                <w:color w:val="auto"/>
              </w:rPr>
              <w:t>符合</w:t>
            </w:r>
          </w:p>
        </w:tc>
      </w:tr>
      <w:tr w14:paraId="3E65514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5309FC78">
            <w:pPr>
              <w:pStyle w:val="23"/>
              <w:bidi w:val="0"/>
              <w:rPr>
                <w:color w:val="auto"/>
              </w:rPr>
            </w:pPr>
          </w:p>
        </w:tc>
        <w:tc>
          <w:tcPr>
            <w:tcW w:w="376" w:type="pct"/>
            <w:vMerge w:val="continue"/>
            <w:vAlign w:val="center"/>
          </w:tcPr>
          <w:p w14:paraId="5E928D4E">
            <w:pPr>
              <w:pStyle w:val="23"/>
              <w:bidi w:val="0"/>
              <w:rPr>
                <w:color w:val="auto"/>
              </w:rPr>
            </w:pPr>
          </w:p>
        </w:tc>
        <w:tc>
          <w:tcPr>
            <w:tcW w:w="2413" w:type="pct"/>
            <w:vAlign w:val="center"/>
          </w:tcPr>
          <w:p w14:paraId="30FFBD94">
            <w:pPr>
              <w:pStyle w:val="23"/>
              <w:bidi w:val="0"/>
              <w:jc w:val="both"/>
              <w:rPr>
                <w:rFonts w:hint="default"/>
                <w:color w:val="auto"/>
                <w:lang w:val="en-US" w:eastAsia="zh-CN"/>
              </w:rPr>
            </w:pPr>
            <w:r>
              <w:rPr>
                <w:rFonts w:hint="default"/>
                <w:color w:val="auto"/>
                <w:lang w:val="en-US" w:eastAsia="zh-CN"/>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373" w:type="pct"/>
            <w:vAlign w:val="center"/>
          </w:tcPr>
          <w:p w14:paraId="65755B60">
            <w:pPr>
              <w:pStyle w:val="23"/>
              <w:bidi w:val="0"/>
              <w:jc w:val="both"/>
              <w:rPr>
                <w:color w:val="auto"/>
              </w:rPr>
            </w:pPr>
            <w:r>
              <w:rPr>
                <w:rFonts w:hint="eastAsia"/>
                <w:color w:val="auto"/>
                <w:lang w:val="en-US" w:eastAsia="zh-CN"/>
              </w:rPr>
              <w:t>本项目为城市道路建设项目，不属于工业项目。</w:t>
            </w:r>
          </w:p>
        </w:tc>
        <w:tc>
          <w:tcPr>
            <w:tcW w:w="323" w:type="pct"/>
            <w:vAlign w:val="center"/>
          </w:tcPr>
          <w:p w14:paraId="4D4CB400">
            <w:pPr>
              <w:pStyle w:val="23"/>
              <w:bidi w:val="0"/>
              <w:rPr>
                <w:color w:val="auto"/>
              </w:rPr>
            </w:pPr>
            <w:r>
              <w:rPr>
                <w:rFonts w:hint="default"/>
                <w:color w:val="auto"/>
              </w:rPr>
              <w:t>符合</w:t>
            </w:r>
          </w:p>
        </w:tc>
      </w:tr>
      <w:tr w14:paraId="0DFBAB5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2CBC4439">
            <w:pPr>
              <w:pStyle w:val="23"/>
              <w:bidi w:val="0"/>
              <w:rPr>
                <w:color w:val="auto"/>
              </w:rPr>
            </w:pPr>
          </w:p>
        </w:tc>
        <w:tc>
          <w:tcPr>
            <w:tcW w:w="376" w:type="pct"/>
            <w:vMerge w:val="continue"/>
            <w:vAlign w:val="center"/>
          </w:tcPr>
          <w:p w14:paraId="58DF676C">
            <w:pPr>
              <w:pStyle w:val="23"/>
              <w:bidi w:val="0"/>
              <w:rPr>
                <w:color w:val="auto"/>
              </w:rPr>
            </w:pPr>
          </w:p>
        </w:tc>
        <w:tc>
          <w:tcPr>
            <w:tcW w:w="2413" w:type="pct"/>
            <w:vAlign w:val="center"/>
          </w:tcPr>
          <w:p w14:paraId="74D1C7DB">
            <w:pPr>
              <w:pStyle w:val="23"/>
              <w:bidi w:val="0"/>
              <w:jc w:val="both"/>
              <w:rPr>
                <w:color w:val="auto"/>
              </w:rPr>
            </w:pPr>
            <w:r>
              <w:rPr>
                <w:rFonts w:hint="eastAsia"/>
                <w:color w:val="auto"/>
                <w:lang w:val="en-US" w:eastAsia="zh-CN"/>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1373" w:type="pct"/>
            <w:vAlign w:val="center"/>
          </w:tcPr>
          <w:p w14:paraId="487C935E">
            <w:pPr>
              <w:pStyle w:val="23"/>
              <w:bidi w:val="0"/>
              <w:jc w:val="both"/>
              <w:rPr>
                <w:color w:val="auto"/>
              </w:rPr>
            </w:pPr>
            <w:r>
              <w:rPr>
                <w:rFonts w:hint="eastAsia"/>
                <w:color w:val="auto"/>
                <w:lang w:val="en-US" w:eastAsia="zh-CN"/>
              </w:rPr>
              <w:t>本项目为城市道路建设项目，施工期生活垃圾分类收集交由环卫部门收集处置。</w:t>
            </w:r>
          </w:p>
        </w:tc>
        <w:tc>
          <w:tcPr>
            <w:tcW w:w="323" w:type="pct"/>
            <w:vAlign w:val="center"/>
          </w:tcPr>
          <w:p w14:paraId="2C886040">
            <w:pPr>
              <w:pStyle w:val="23"/>
              <w:bidi w:val="0"/>
              <w:rPr>
                <w:color w:val="auto"/>
              </w:rPr>
            </w:pPr>
            <w:r>
              <w:rPr>
                <w:rFonts w:hint="default"/>
                <w:color w:val="auto"/>
              </w:rPr>
              <w:t>符合</w:t>
            </w:r>
          </w:p>
        </w:tc>
      </w:tr>
      <w:tr w14:paraId="2C51590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5B5E920E">
            <w:pPr>
              <w:pStyle w:val="23"/>
              <w:bidi w:val="0"/>
              <w:rPr>
                <w:color w:val="auto"/>
              </w:rPr>
            </w:pPr>
          </w:p>
        </w:tc>
        <w:tc>
          <w:tcPr>
            <w:tcW w:w="376" w:type="pct"/>
            <w:vMerge w:val="restart"/>
            <w:vAlign w:val="center"/>
          </w:tcPr>
          <w:p w14:paraId="2BEC4F63">
            <w:pPr>
              <w:pStyle w:val="23"/>
              <w:bidi w:val="0"/>
              <w:rPr>
                <w:color w:val="auto"/>
              </w:rPr>
            </w:pPr>
            <w:r>
              <w:rPr>
                <w:rFonts w:hint="eastAsia"/>
                <w:color w:val="auto"/>
              </w:rPr>
              <w:t>环境风险防控</w:t>
            </w:r>
          </w:p>
        </w:tc>
        <w:tc>
          <w:tcPr>
            <w:tcW w:w="2413" w:type="pct"/>
            <w:vAlign w:val="top"/>
          </w:tcPr>
          <w:p w14:paraId="2EE5E884">
            <w:pPr>
              <w:pStyle w:val="23"/>
              <w:bidi w:val="0"/>
              <w:jc w:val="both"/>
              <w:rPr>
                <w:color w:val="auto"/>
              </w:rPr>
            </w:pPr>
            <w:r>
              <w:rPr>
                <w:rFonts w:hint="default"/>
                <w:color w:val="auto"/>
                <w:lang w:val="en-US" w:eastAsia="zh-CN"/>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373" w:type="pct"/>
            <w:vAlign w:val="center"/>
          </w:tcPr>
          <w:p w14:paraId="6B03FE47">
            <w:pPr>
              <w:pStyle w:val="23"/>
              <w:bidi w:val="0"/>
              <w:jc w:val="both"/>
              <w:rPr>
                <w:rFonts w:hint="default"/>
                <w:color w:val="auto"/>
                <w:lang w:val="en-US"/>
              </w:rPr>
            </w:pPr>
            <w:r>
              <w:rPr>
                <w:rFonts w:hint="eastAsia"/>
                <w:color w:val="auto"/>
                <w:lang w:val="en-US" w:eastAsia="zh-CN"/>
              </w:rPr>
              <w:t>本项目不涉及。</w:t>
            </w:r>
          </w:p>
        </w:tc>
        <w:tc>
          <w:tcPr>
            <w:tcW w:w="323" w:type="pct"/>
            <w:vAlign w:val="center"/>
          </w:tcPr>
          <w:p w14:paraId="687D5B2E">
            <w:pPr>
              <w:pStyle w:val="23"/>
              <w:bidi w:val="0"/>
              <w:rPr>
                <w:color w:val="auto"/>
              </w:rPr>
            </w:pPr>
            <w:r>
              <w:rPr>
                <w:rFonts w:hint="default"/>
                <w:color w:val="auto"/>
              </w:rPr>
              <w:t>符合</w:t>
            </w:r>
          </w:p>
        </w:tc>
      </w:tr>
      <w:tr w14:paraId="5135B87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733F05C2">
            <w:pPr>
              <w:pStyle w:val="23"/>
              <w:bidi w:val="0"/>
              <w:rPr>
                <w:color w:val="auto"/>
              </w:rPr>
            </w:pPr>
          </w:p>
        </w:tc>
        <w:tc>
          <w:tcPr>
            <w:tcW w:w="376" w:type="pct"/>
            <w:vMerge w:val="continue"/>
            <w:vAlign w:val="center"/>
          </w:tcPr>
          <w:p w14:paraId="58FEF679">
            <w:pPr>
              <w:pStyle w:val="23"/>
              <w:bidi w:val="0"/>
              <w:rPr>
                <w:color w:val="auto"/>
              </w:rPr>
            </w:pPr>
          </w:p>
        </w:tc>
        <w:tc>
          <w:tcPr>
            <w:tcW w:w="2413" w:type="pct"/>
            <w:vAlign w:val="top"/>
          </w:tcPr>
          <w:p w14:paraId="7C3A2984">
            <w:pPr>
              <w:pStyle w:val="23"/>
              <w:bidi w:val="0"/>
              <w:jc w:val="both"/>
              <w:rPr>
                <w:color w:val="auto"/>
              </w:rPr>
            </w:pPr>
            <w:r>
              <w:rPr>
                <w:rFonts w:hint="default"/>
                <w:color w:val="auto"/>
                <w:lang w:val="en-US" w:eastAsia="zh-CN"/>
              </w:rPr>
              <w:t>第十七条 强化化工园区涉水突发环境事件四级环境风险防范体系建设。持续推进重点化工园区（化工集中区）建设有毒有害气体监测预警体系和水质生物毒性预警体系。</w:t>
            </w:r>
          </w:p>
        </w:tc>
        <w:tc>
          <w:tcPr>
            <w:tcW w:w="1373" w:type="pct"/>
            <w:vAlign w:val="center"/>
          </w:tcPr>
          <w:p w14:paraId="796ECD5B">
            <w:pPr>
              <w:pStyle w:val="23"/>
              <w:bidi w:val="0"/>
              <w:jc w:val="both"/>
              <w:rPr>
                <w:color w:val="auto"/>
              </w:rPr>
            </w:pPr>
            <w:r>
              <w:rPr>
                <w:rFonts w:hint="eastAsia"/>
                <w:color w:val="auto"/>
                <w:lang w:val="en-US" w:eastAsia="zh-CN"/>
              </w:rPr>
              <w:t>本项目不涉及。</w:t>
            </w:r>
          </w:p>
        </w:tc>
        <w:tc>
          <w:tcPr>
            <w:tcW w:w="323" w:type="pct"/>
            <w:vAlign w:val="center"/>
          </w:tcPr>
          <w:p w14:paraId="1B04AE3D">
            <w:pPr>
              <w:pStyle w:val="23"/>
              <w:bidi w:val="0"/>
              <w:rPr>
                <w:color w:val="auto"/>
              </w:rPr>
            </w:pPr>
            <w:r>
              <w:rPr>
                <w:rFonts w:hint="default"/>
                <w:color w:val="auto"/>
              </w:rPr>
              <w:t>符合</w:t>
            </w:r>
          </w:p>
        </w:tc>
      </w:tr>
      <w:tr w14:paraId="7C14407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6EAEA7A0">
            <w:pPr>
              <w:pStyle w:val="23"/>
              <w:bidi w:val="0"/>
              <w:rPr>
                <w:color w:val="auto"/>
              </w:rPr>
            </w:pPr>
          </w:p>
        </w:tc>
        <w:tc>
          <w:tcPr>
            <w:tcW w:w="376" w:type="pct"/>
            <w:vMerge w:val="restart"/>
            <w:vAlign w:val="center"/>
          </w:tcPr>
          <w:p w14:paraId="23CEB9BE">
            <w:pPr>
              <w:pStyle w:val="23"/>
              <w:bidi w:val="0"/>
              <w:rPr>
                <w:color w:val="auto"/>
              </w:rPr>
            </w:pPr>
            <w:r>
              <w:rPr>
                <w:rFonts w:hint="eastAsia"/>
                <w:color w:val="auto"/>
              </w:rPr>
              <w:t>资源开发效率要求</w:t>
            </w:r>
          </w:p>
        </w:tc>
        <w:tc>
          <w:tcPr>
            <w:tcW w:w="2413" w:type="pct"/>
            <w:vAlign w:val="top"/>
          </w:tcPr>
          <w:p w14:paraId="1769A8D4">
            <w:pPr>
              <w:pStyle w:val="23"/>
              <w:bidi w:val="0"/>
              <w:jc w:val="both"/>
              <w:rPr>
                <w:color w:val="auto"/>
              </w:rPr>
            </w:pPr>
            <w:r>
              <w:rPr>
                <w:rFonts w:hint="default"/>
                <w:color w:val="auto"/>
                <w:lang w:val="en-US" w:eastAsia="zh-CN"/>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1373" w:type="pct"/>
            <w:vAlign w:val="center"/>
          </w:tcPr>
          <w:p w14:paraId="1D044FBB">
            <w:pPr>
              <w:pStyle w:val="23"/>
              <w:bidi w:val="0"/>
              <w:jc w:val="both"/>
              <w:rPr>
                <w:color w:val="auto"/>
              </w:rPr>
            </w:pPr>
            <w:r>
              <w:rPr>
                <w:rFonts w:hint="eastAsia"/>
                <w:color w:val="auto"/>
                <w:lang w:val="en-US" w:eastAsia="zh-CN"/>
              </w:rPr>
              <w:t>本项目不涉及。</w:t>
            </w:r>
          </w:p>
        </w:tc>
        <w:tc>
          <w:tcPr>
            <w:tcW w:w="323" w:type="pct"/>
            <w:vAlign w:val="center"/>
          </w:tcPr>
          <w:p w14:paraId="0F5D55E1">
            <w:pPr>
              <w:pStyle w:val="23"/>
              <w:bidi w:val="0"/>
              <w:rPr>
                <w:color w:val="auto"/>
              </w:rPr>
            </w:pPr>
            <w:r>
              <w:rPr>
                <w:rFonts w:hint="default"/>
                <w:color w:val="auto"/>
              </w:rPr>
              <w:t>符合</w:t>
            </w:r>
          </w:p>
        </w:tc>
      </w:tr>
      <w:tr w14:paraId="4AB528D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031648C8">
            <w:pPr>
              <w:pStyle w:val="23"/>
              <w:bidi w:val="0"/>
              <w:rPr>
                <w:color w:val="auto"/>
              </w:rPr>
            </w:pPr>
          </w:p>
        </w:tc>
        <w:tc>
          <w:tcPr>
            <w:tcW w:w="376" w:type="pct"/>
            <w:vMerge w:val="continue"/>
            <w:vAlign w:val="center"/>
          </w:tcPr>
          <w:p w14:paraId="34613A18">
            <w:pPr>
              <w:pStyle w:val="23"/>
              <w:bidi w:val="0"/>
              <w:rPr>
                <w:color w:val="auto"/>
              </w:rPr>
            </w:pPr>
          </w:p>
        </w:tc>
        <w:tc>
          <w:tcPr>
            <w:tcW w:w="2413" w:type="pct"/>
            <w:vAlign w:val="top"/>
          </w:tcPr>
          <w:p w14:paraId="3614814B">
            <w:pPr>
              <w:pStyle w:val="23"/>
              <w:bidi w:val="0"/>
              <w:jc w:val="both"/>
              <w:rPr>
                <w:color w:val="auto"/>
              </w:rPr>
            </w:pPr>
            <w:r>
              <w:rPr>
                <w:rFonts w:hint="default"/>
                <w:color w:val="auto"/>
                <w:lang w:val="en-US" w:eastAsia="zh-CN"/>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373" w:type="pct"/>
            <w:vAlign w:val="center"/>
          </w:tcPr>
          <w:p w14:paraId="700EA056">
            <w:pPr>
              <w:pStyle w:val="23"/>
              <w:bidi w:val="0"/>
              <w:jc w:val="both"/>
              <w:rPr>
                <w:color w:val="auto"/>
              </w:rPr>
            </w:pPr>
            <w:r>
              <w:rPr>
                <w:rFonts w:hint="eastAsia"/>
                <w:color w:val="auto"/>
                <w:lang w:val="en-US" w:eastAsia="zh-CN"/>
              </w:rPr>
              <w:t>本项目不涉及。</w:t>
            </w:r>
          </w:p>
        </w:tc>
        <w:tc>
          <w:tcPr>
            <w:tcW w:w="323" w:type="pct"/>
            <w:vAlign w:val="center"/>
          </w:tcPr>
          <w:p w14:paraId="1190AF4F">
            <w:pPr>
              <w:pStyle w:val="23"/>
              <w:bidi w:val="0"/>
              <w:rPr>
                <w:color w:val="auto"/>
              </w:rPr>
            </w:pPr>
            <w:r>
              <w:rPr>
                <w:rFonts w:hint="default"/>
                <w:color w:val="auto"/>
              </w:rPr>
              <w:t>符合</w:t>
            </w:r>
          </w:p>
        </w:tc>
      </w:tr>
      <w:tr w14:paraId="53F1E64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207F65D6">
            <w:pPr>
              <w:pStyle w:val="23"/>
              <w:bidi w:val="0"/>
              <w:rPr>
                <w:color w:val="auto"/>
              </w:rPr>
            </w:pPr>
          </w:p>
        </w:tc>
        <w:tc>
          <w:tcPr>
            <w:tcW w:w="376" w:type="pct"/>
            <w:vMerge w:val="continue"/>
            <w:vAlign w:val="center"/>
          </w:tcPr>
          <w:p w14:paraId="10930480">
            <w:pPr>
              <w:pStyle w:val="23"/>
              <w:bidi w:val="0"/>
              <w:rPr>
                <w:color w:val="auto"/>
              </w:rPr>
            </w:pPr>
          </w:p>
        </w:tc>
        <w:tc>
          <w:tcPr>
            <w:tcW w:w="2413" w:type="pct"/>
            <w:vAlign w:val="top"/>
          </w:tcPr>
          <w:p w14:paraId="5D4E4A16">
            <w:pPr>
              <w:pStyle w:val="23"/>
              <w:bidi w:val="0"/>
              <w:jc w:val="both"/>
              <w:rPr>
                <w:color w:val="auto"/>
              </w:rPr>
            </w:pPr>
            <w:r>
              <w:rPr>
                <w:rFonts w:hint="default"/>
                <w:color w:val="auto"/>
                <w:lang w:val="en-US" w:eastAsia="zh-CN"/>
              </w:rPr>
              <w:t>第二十条 新建、扩建“两高”项目应采用先进适用的工艺技术和装备，单位产品物耗、能耗、水耗等达到清洁生产先进水平。</w:t>
            </w:r>
          </w:p>
        </w:tc>
        <w:tc>
          <w:tcPr>
            <w:tcW w:w="1373" w:type="pct"/>
            <w:vAlign w:val="center"/>
          </w:tcPr>
          <w:p w14:paraId="1D4A4213">
            <w:pPr>
              <w:pStyle w:val="23"/>
              <w:bidi w:val="0"/>
              <w:jc w:val="both"/>
              <w:rPr>
                <w:color w:val="auto"/>
              </w:rPr>
            </w:pPr>
            <w:r>
              <w:rPr>
                <w:rFonts w:hint="eastAsia"/>
                <w:color w:val="auto"/>
                <w:lang w:val="en-US" w:eastAsia="zh-CN"/>
              </w:rPr>
              <w:t>本项目不涉及。</w:t>
            </w:r>
          </w:p>
        </w:tc>
        <w:tc>
          <w:tcPr>
            <w:tcW w:w="323" w:type="pct"/>
            <w:vAlign w:val="center"/>
          </w:tcPr>
          <w:p w14:paraId="4582F23D">
            <w:pPr>
              <w:pStyle w:val="23"/>
              <w:bidi w:val="0"/>
              <w:rPr>
                <w:color w:val="auto"/>
              </w:rPr>
            </w:pPr>
            <w:r>
              <w:rPr>
                <w:rFonts w:hint="default"/>
                <w:color w:val="auto"/>
              </w:rPr>
              <w:t>符合</w:t>
            </w:r>
          </w:p>
        </w:tc>
      </w:tr>
      <w:tr w14:paraId="4E367DE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6AC09C00">
            <w:pPr>
              <w:pStyle w:val="23"/>
              <w:bidi w:val="0"/>
              <w:rPr>
                <w:color w:val="auto"/>
              </w:rPr>
            </w:pPr>
          </w:p>
        </w:tc>
        <w:tc>
          <w:tcPr>
            <w:tcW w:w="376" w:type="pct"/>
            <w:vMerge w:val="continue"/>
            <w:vAlign w:val="center"/>
          </w:tcPr>
          <w:p w14:paraId="29485784">
            <w:pPr>
              <w:pStyle w:val="23"/>
              <w:bidi w:val="0"/>
              <w:rPr>
                <w:color w:val="auto"/>
              </w:rPr>
            </w:pPr>
          </w:p>
        </w:tc>
        <w:tc>
          <w:tcPr>
            <w:tcW w:w="2413" w:type="pct"/>
            <w:vAlign w:val="top"/>
          </w:tcPr>
          <w:p w14:paraId="2E35DC3D">
            <w:pPr>
              <w:pStyle w:val="23"/>
              <w:bidi w:val="0"/>
              <w:jc w:val="both"/>
              <w:rPr>
                <w:rFonts w:hint="default"/>
                <w:color w:val="auto"/>
                <w:lang w:val="en-US" w:eastAsia="zh-CN"/>
              </w:rPr>
            </w:pPr>
            <w:r>
              <w:rPr>
                <w:rFonts w:hint="default"/>
                <w:color w:val="auto"/>
                <w:lang w:val="en-US" w:eastAsia="zh-CN"/>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373" w:type="pct"/>
            <w:vAlign w:val="center"/>
          </w:tcPr>
          <w:p w14:paraId="2E123311">
            <w:pPr>
              <w:pStyle w:val="23"/>
              <w:bidi w:val="0"/>
              <w:jc w:val="both"/>
              <w:rPr>
                <w:color w:val="auto"/>
              </w:rPr>
            </w:pPr>
            <w:r>
              <w:rPr>
                <w:rFonts w:hint="eastAsia"/>
                <w:color w:val="auto"/>
                <w:lang w:val="en-US" w:eastAsia="zh-CN"/>
              </w:rPr>
              <w:t>本项目不涉及。</w:t>
            </w:r>
          </w:p>
        </w:tc>
        <w:tc>
          <w:tcPr>
            <w:tcW w:w="323" w:type="pct"/>
            <w:vAlign w:val="center"/>
          </w:tcPr>
          <w:p w14:paraId="0667CE3D">
            <w:pPr>
              <w:pStyle w:val="23"/>
              <w:bidi w:val="0"/>
              <w:rPr>
                <w:color w:val="auto"/>
              </w:rPr>
            </w:pPr>
            <w:r>
              <w:rPr>
                <w:rFonts w:hint="default"/>
                <w:color w:val="auto"/>
              </w:rPr>
              <w:t>符合</w:t>
            </w:r>
          </w:p>
        </w:tc>
      </w:tr>
      <w:tr w14:paraId="04C7013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3D108A18">
            <w:pPr>
              <w:pStyle w:val="23"/>
              <w:bidi w:val="0"/>
              <w:rPr>
                <w:color w:val="auto"/>
              </w:rPr>
            </w:pPr>
          </w:p>
        </w:tc>
        <w:tc>
          <w:tcPr>
            <w:tcW w:w="376" w:type="pct"/>
            <w:vMerge w:val="continue"/>
            <w:vAlign w:val="center"/>
          </w:tcPr>
          <w:p w14:paraId="20AF77E6">
            <w:pPr>
              <w:pStyle w:val="23"/>
              <w:bidi w:val="0"/>
              <w:rPr>
                <w:color w:val="auto"/>
              </w:rPr>
            </w:pPr>
          </w:p>
        </w:tc>
        <w:tc>
          <w:tcPr>
            <w:tcW w:w="2413" w:type="pct"/>
            <w:vAlign w:val="top"/>
          </w:tcPr>
          <w:p w14:paraId="00174270">
            <w:pPr>
              <w:pStyle w:val="23"/>
              <w:bidi w:val="0"/>
              <w:jc w:val="both"/>
              <w:rPr>
                <w:color w:val="auto"/>
              </w:rPr>
            </w:pPr>
            <w:r>
              <w:rPr>
                <w:rFonts w:hint="default"/>
                <w:color w:val="auto"/>
                <w:lang w:val="en-US" w:eastAsia="zh-CN"/>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1373" w:type="pct"/>
            <w:vAlign w:val="center"/>
          </w:tcPr>
          <w:p w14:paraId="15759DBC">
            <w:pPr>
              <w:pStyle w:val="23"/>
              <w:bidi w:val="0"/>
              <w:jc w:val="both"/>
              <w:rPr>
                <w:color w:val="auto"/>
              </w:rPr>
            </w:pPr>
            <w:r>
              <w:rPr>
                <w:rFonts w:hint="eastAsia"/>
                <w:color w:val="auto"/>
                <w:lang w:val="en-US" w:eastAsia="zh-CN"/>
              </w:rPr>
              <w:t>本项目不涉及。</w:t>
            </w:r>
          </w:p>
        </w:tc>
        <w:tc>
          <w:tcPr>
            <w:tcW w:w="323" w:type="pct"/>
            <w:vAlign w:val="center"/>
          </w:tcPr>
          <w:p w14:paraId="19863F0C">
            <w:pPr>
              <w:pStyle w:val="23"/>
              <w:bidi w:val="0"/>
              <w:rPr>
                <w:color w:val="auto"/>
              </w:rPr>
            </w:pPr>
            <w:r>
              <w:rPr>
                <w:rFonts w:hint="default"/>
                <w:color w:val="auto"/>
              </w:rPr>
              <w:t>符合</w:t>
            </w:r>
          </w:p>
        </w:tc>
      </w:tr>
      <w:tr w14:paraId="31F1906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restart"/>
            <w:vAlign w:val="center"/>
          </w:tcPr>
          <w:p w14:paraId="13015EE5">
            <w:pPr>
              <w:pStyle w:val="23"/>
              <w:bidi w:val="0"/>
              <w:rPr>
                <w:color w:val="auto"/>
              </w:rPr>
            </w:pPr>
            <w:r>
              <w:rPr>
                <w:rFonts w:hint="eastAsia"/>
                <w:color w:val="auto"/>
                <w:lang w:val="en-US" w:eastAsia="zh-CN"/>
              </w:rPr>
              <w:t>奉节县</w:t>
            </w:r>
            <w:r>
              <w:rPr>
                <w:rFonts w:hint="eastAsia"/>
                <w:color w:val="auto"/>
              </w:rPr>
              <w:t>总体管控要求</w:t>
            </w:r>
          </w:p>
        </w:tc>
        <w:tc>
          <w:tcPr>
            <w:tcW w:w="376" w:type="pct"/>
            <w:vMerge w:val="restart"/>
            <w:vAlign w:val="center"/>
          </w:tcPr>
          <w:p w14:paraId="7476A42F">
            <w:pPr>
              <w:pStyle w:val="23"/>
              <w:bidi w:val="0"/>
              <w:rPr>
                <w:color w:val="auto"/>
              </w:rPr>
            </w:pPr>
            <w:r>
              <w:rPr>
                <w:rFonts w:hint="eastAsia"/>
                <w:color w:val="auto"/>
              </w:rPr>
              <w:t>空间布局约束</w:t>
            </w:r>
          </w:p>
        </w:tc>
        <w:tc>
          <w:tcPr>
            <w:tcW w:w="2413" w:type="pct"/>
            <w:vAlign w:val="center"/>
          </w:tcPr>
          <w:p w14:paraId="6E71CACA">
            <w:pPr>
              <w:pStyle w:val="23"/>
              <w:bidi w:val="0"/>
              <w:jc w:val="both"/>
              <w:rPr>
                <w:rFonts w:hint="eastAsia" w:eastAsia="宋体"/>
                <w:color w:val="auto"/>
                <w:lang w:val="en-US" w:eastAsia="zh-CN"/>
              </w:rPr>
            </w:pPr>
            <w:r>
              <w:rPr>
                <w:rFonts w:hint="eastAsia"/>
                <w:color w:val="auto"/>
                <w:lang w:val="en-US" w:eastAsia="zh-CN"/>
              </w:rPr>
              <w:t>1、一江四河（长江干流以及朱衣河、梅溪河、草堂河、大溪河等支流）消落带内禁止从事畜禽养殖经营活动。新布局企业应优先布局进入草堂组团或康乐组团内。</w:t>
            </w:r>
          </w:p>
        </w:tc>
        <w:tc>
          <w:tcPr>
            <w:tcW w:w="1373" w:type="pct"/>
            <w:vMerge w:val="restart"/>
            <w:vAlign w:val="center"/>
          </w:tcPr>
          <w:p w14:paraId="573A62F1">
            <w:pPr>
              <w:pStyle w:val="23"/>
              <w:bidi w:val="0"/>
              <w:jc w:val="both"/>
              <w:rPr>
                <w:color w:val="auto"/>
              </w:rPr>
            </w:pPr>
            <w:r>
              <w:rPr>
                <w:rFonts w:hint="eastAsia"/>
                <w:color w:val="auto"/>
              </w:rPr>
              <w:t>本项目为</w:t>
            </w:r>
            <w:r>
              <w:rPr>
                <w:rFonts w:hint="eastAsia"/>
                <w:color w:val="auto"/>
                <w:lang w:val="en-US" w:eastAsia="zh-CN"/>
              </w:rPr>
              <w:t>城市道路建设项目</w:t>
            </w:r>
            <w:r>
              <w:rPr>
                <w:rFonts w:hint="eastAsia"/>
                <w:color w:val="auto"/>
              </w:rPr>
              <w:t>，属于生态影响类项目，不涉及自然保护区、森林公园、风景名胜区、饮用水源保护区等生态敏感区。</w:t>
            </w:r>
          </w:p>
        </w:tc>
        <w:tc>
          <w:tcPr>
            <w:tcW w:w="323" w:type="pct"/>
            <w:vMerge w:val="restart"/>
            <w:vAlign w:val="center"/>
          </w:tcPr>
          <w:p w14:paraId="102E0BFC">
            <w:pPr>
              <w:pStyle w:val="23"/>
              <w:bidi w:val="0"/>
              <w:rPr>
                <w:color w:val="auto"/>
              </w:rPr>
            </w:pPr>
            <w:r>
              <w:rPr>
                <w:rFonts w:hint="default"/>
                <w:color w:val="auto"/>
              </w:rPr>
              <w:t>符合</w:t>
            </w:r>
          </w:p>
        </w:tc>
      </w:tr>
      <w:tr w14:paraId="48F66DB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6B41D8D5">
            <w:pPr>
              <w:pStyle w:val="23"/>
              <w:bidi w:val="0"/>
              <w:rPr>
                <w:rFonts w:hint="eastAsia"/>
                <w:color w:val="auto"/>
                <w:lang w:val="en-US" w:eastAsia="zh-CN"/>
              </w:rPr>
            </w:pPr>
          </w:p>
        </w:tc>
        <w:tc>
          <w:tcPr>
            <w:tcW w:w="376" w:type="pct"/>
            <w:vMerge w:val="continue"/>
            <w:vAlign w:val="center"/>
          </w:tcPr>
          <w:p w14:paraId="1979116F">
            <w:pPr>
              <w:pStyle w:val="23"/>
              <w:bidi w:val="0"/>
              <w:rPr>
                <w:rFonts w:hint="eastAsia"/>
                <w:color w:val="auto"/>
              </w:rPr>
            </w:pPr>
          </w:p>
        </w:tc>
        <w:tc>
          <w:tcPr>
            <w:tcW w:w="2413" w:type="pct"/>
            <w:vAlign w:val="center"/>
          </w:tcPr>
          <w:p w14:paraId="318D5B61">
            <w:pPr>
              <w:pStyle w:val="23"/>
              <w:bidi w:val="0"/>
              <w:jc w:val="both"/>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2、新布局清洁能源产业（如水电、风电等）应避开生态保护红线。自然保护区、森林公园、风景名胜区等区域为风电项目禁止建设区域。</w:t>
            </w:r>
          </w:p>
        </w:tc>
        <w:tc>
          <w:tcPr>
            <w:tcW w:w="1373" w:type="pct"/>
            <w:vMerge w:val="continue"/>
            <w:vAlign w:val="center"/>
          </w:tcPr>
          <w:p w14:paraId="686991E1">
            <w:pPr>
              <w:pStyle w:val="23"/>
              <w:bidi w:val="0"/>
              <w:jc w:val="both"/>
              <w:rPr>
                <w:color w:val="auto"/>
              </w:rPr>
            </w:pPr>
          </w:p>
        </w:tc>
        <w:tc>
          <w:tcPr>
            <w:tcW w:w="323" w:type="pct"/>
            <w:vMerge w:val="continue"/>
            <w:vAlign w:val="center"/>
          </w:tcPr>
          <w:p w14:paraId="1A334483">
            <w:pPr>
              <w:pStyle w:val="23"/>
              <w:bidi w:val="0"/>
              <w:rPr>
                <w:rFonts w:hint="default"/>
                <w:color w:val="auto"/>
              </w:rPr>
            </w:pPr>
          </w:p>
        </w:tc>
      </w:tr>
      <w:tr w14:paraId="41F929D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282F97B0">
            <w:pPr>
              <w:pStyle w:val="23"/>
              <w:bidi w:val="0"/>
              <w:rPr>
                <w:rFonts w:hint="eastAsia"/>
                <w:color w:val="auto"/>
                <w:lang w:val="en-US" w:eastAsia="zh-CN"/>
              </w:rPr>
            </w:pPr>
          </w:p>
        </w:tc>
        <w:tc>
          <w:tcPr>
            <w:tcW w:w="376" w:type="pct"/>
            <w:vMerge w:val="continue"/>
            <w:vAlign w:val="center"/>
          </w:tcPr>
          <w:p w14:paraId="0CDC1452">
            <w:pPr>
              <w:pStyle w:val="23"/>
              <w:bidi w:val="0"/>
              <w:rPr>
                <w:rFonts w:hint="eastAsia"/>
                <w:color w:val="auto"/>
              </w:rPr>
            </w:pPr>
          </w:p>
        </w:tc>
        <w:tc>
          <w:tcPr>
            <w:tcW w:w="2413" w:type="pct"/>
            <w:vAlign w:val="center"/>
          </w:tcPr>
          <w:p w14:paraId="620E9EFF">
            <w:pPr>
              <w:pStyle w:val="23"/>
              <w:bidi w:val="0"/>
              <w:jc w:val="both"/>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3、旅游产业布局应满足自然保护区、森林公园、地质公园、风景名胜区等对于旅游产业的选址布局及管理要求。</w:t>
            </w:r>
          </w:p>
        </w:tc>
        <w:tc>
          <w:tcPr>
            <w:tcW w:w="1373" w:type="pct"/>
            <w:vMerge w:val="continue"/>
            <w:vAlign w:val="center"/>
          </w:tcPr>
          <w:p w14:paraId="4BC575BB">
            <w:pPr>
              <w:pStyle w:val="23"/>
              <w:bidi w:val="0"/>
              <w:jc w:val="both"/>
              <w:rPr>
                <w:color w:val="auto"/>
              </w:rPr>
            </w:pPr>
          </w:p>
        </w:tc>
        <w:tc>
          <w:tcPr>
            <w:tcW w:w="323" w:type="pct"/>
            <w:vMerge w:val="continue"/>
            <w:vAlign w:val="center"/>
          </w:tcPr>
          <w:p w14:paraId="5291F1CC">
            <w:pPr>
              <w:pStyle w:val="23"/>
              <w:bidi w:val="0"/>
              <w:rPr>
                <w:rFonts w:hint="default"/>
                <w:color w:val="auto"/>
              </w:rPr>
            </w:pPr>
          </w:p>
        </w:tc>
      </w:tr>
      <w:tr w14:paraId="1346D82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6973E5D7">
            <w:pPr>
              <w:pStyle w:val="23"/>
              <w:bidi w:val="0"/>
              <w:rPr>
                <w:rFonts w:hint="eastAsia"/>
                <w:color w:val="auto"/>
                <w:lang w:val="en-US" w:eastAsia="zh-CN"/>
              </w:rPr>
            </w:pPr>
          </w:p>
        </w:tc>
        <w:tc>
          <w:tcPr>
            <w:tcW w:w="376" w:type="pct"/>
            <w:vMerge w:val="continue"/>
            <w:vAlign w:val="center"/>
          </w:tcPr>
          <w:p w14:paraId="2D540FD6">
            <w:pPr>
              <w:pStyle w:val="23"/>
              <w:bidi w:val="0"/>
              <w:rPr>
                <w:rFonts w:hint="eastAsia"/>
                <w:color w:val="auto"/>
              </w:rPr>
            </w:pPr>
          </w:p>
        </w:tc>
        <w:tc>
          <w:tcPr>
            <w:tcW w:w="2413" w:type="pct"/>
            <w:vAlign w:val="center"/>
          </w:tcPr>
          <w:p w14:paraId="24A0B4A0">
            <w:pPr>
              <w:pStyle w:val="23"/>
              <w:bidi w:val="0"/>
              <w:jc w:val="both"/>
              <w:rPr>
                <w:rFonts w:hint="default"/>
                <w:color w:val="auto"/>
                <w:lang w:val="en-US" w:eastAsia="zh-CN"/>
              </w:rPr>
            </w:pPr>
            <w:r>
              <w:rPr>
                <w:rFonts w:hint="eastAsia"/>
                <w:color w:val="auto"/>
                <w:lang w:val="en-US" w:eastAsia="zh-CN"/>
              </w:rPr>
              <w:t>4、对工业用地上“零土地”（不涉及新征建设用地）技术改造升级且“两不增”（不增加污染物排放总量、不增大环境风险）的建设项目，对原老工业企业集聚区（地）在城乡规划未改变其工业用地性质的前提和期限内，且列入所在区县工业发展等规划并依法开展了规划环评的项目，依法依规加快推进环评文件审批。</w:t>
            </w:r>
          </w:p>
        </w:tc>
        <w:tc>
          <w:tcPr>
            <w:tcW w:w="1373" w:type="pct"/>
            <w:vMerge w:val="continue"/>
            <w:vAlign w:val="center"/>
          </w:tcPr>
          <w:p w14:paraId="0B76DD31">
            <w:pPr>
              <w:pStyle w:val="23"/>
              <w:bidi w:val="0"/>
              <w:jc w:val="both"/>
              <w:rPr>
                <w:color w:val="auto"/>
              </w:rPr>
            </w:pPr>
          </w:p>
        </w:tc>
        <w:tc>
          <w:tcPr>
            <w:tcW w:w="323" w:type="pct"/>
            <w:vMerge w:val="continue"/>
            <w:vAlign w:val="center"/>
          </w:tcPr>
          <w:p w14:paraId="4A6FFF6B">
            <w:pPr>
              <w:pStyle w:val="23"/>
              <w:bidi w:val="0"/>
              <w:rPr>
                <w:rFonts w:hint="default"/>
                <w:color w:val="auto"/>
              </w:rPr>
            </w:pPr>
          </w:p>
        </w:tc>
      </w:tr>
      <w:tr w14:paraId="12A4B6F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52A34BCC">
            <w:pPr>
              <w:pStyle w:val="23"/>
              <w:bidi w:val="0"/>
              <w:rPr>
                <w:rFonts w:hint="eastAsia"/>
                <w:color w:val="auto"/>
                <w:lang w:val="en-US" w:eastAsia="zh-CN"/>
              </w:rPr>
            </w:pPr>
          </w:p>
        </w:tc>
        <w:tc>
          <w:tcPr>
            <w:tcW w:w="376" w:type="pct"/>
            <w:vMerge w:val="continue"/>
            <w:vAlign w:val="center"/>
          </w:tcPr>
          <w:p w14:paraId="5959ADA2">
            <w:pPr>
              <w:pStyle w:val="23"/>
              <w:bidi w:val="0"/>
              <w:rPr>
                <w:rFonts w:hint="eastAsia"/>
                <w:color w:val="auto"/>
              </w:rPr>
            </w:pPr>
          </w:p>
        </w:tc>
        <w:tc>
          <w:tcPr>
            <w:tcW w:w="2413" w:type="pct"/>
            <w:vAlign w:val="center"/>
          </w:tcPr>
          <w:p w14:paraId="468E2F98">
            <w:pPr>
              <w:pStyle w:val="23"/>
              <w:bidi w:val="0"/>
              <w:jc w:val="both"/>
              <w:rPr>
                <w:rFonts w:hint="default"/>
                <w:color w:val="auto"/>
                <w:lang w:val="en-US" w:eastAsia="zh-CN"/>
              </w:rPr>
            </w:pPr>
            <w:r>
              <w:rPr>
                <w:rFonts w:hint="eastAsia"/>
                <w:color w:val="auto"/>
                <w:lang w:val="en-US" w:eastAsia="zh-CN"/>
              </w:rPr>
              <w:t>5、一江四河流域水土流失严重的区域限制或者禁止可能造成水土流失的生产建设活动，坡耕地优先布局坡耕地改经果林或水土保持林，缓解坡耕地造成的水土流失。</w:t>
            </w:r>
          </w:p>
        </w:tc>
        <w:tc>
          <w:tcPr>
            <w:tcW w:w="1373" w:type="pct"/>
            <w:vMerge w:val="continue"/>
            <w:vAlign w:val="center"/>
          </w:tcPr>
          <w:p w14:paraId="0BB86F77">
            <w:pPr>
              <w:pStyle w:val="23"/>
              <w:bidi w:val="0"/>
              <w:jc w:val="both"/>
              <w:rPr>
                <w:color w:val="auto"/>
              </w:rPr>
            </w:pPr>
          </w:p>
        </w:tc>
        <w:tc>
          <w:tcPr>
            <w:tcW w:w="323" w:type="pct"/>
            <w:vMerge w:val="continue"/>
            <w:vAlign w:val="center"/>
          </w:tcPr>
          <w:p w14:paraId="7A7A1B28">
            <w:pPr>
              <w:pStyle w:val="23"/>
              <w:bidi w:val="0"/>
              <w:rPr>
                <w:rFonts w:hint="default"/>
                <w:color w:val="auto"/>
              </w:rPr>
            </w:pPr>
          </w:p>
        </w:tc>
      </w:tr>
      <w:tr w14:paraId="24C4106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4DC79F7F">
            <w:pPr>
              <w:pStyle w:val="23"/>
              <w:bidi w:val="0"/>
              <w:rPr>
                <w:color w:val="auto"/>
              </w:rPr>
            </w:pPr>
          </w:p>
        </w:tc>
        <w:tc>
          <w:tcPr>
            <w:tcW w:w="376" w:type="pct"/>
            <w:vMerge w:val="restart"/>
            <w:vAlign w:val="center"/>
          </w:tcPr>
          <w:p w14:paraId="344FA6DA">
            <w:pPr>
              <w:pStyle w:val="23"/>
              <w:bidi w:val="0"/>
              <w:rPr>
                <w:color w:val="auto"/>
              </w:rPr>
            </w:pPr>
            <w:r>
              <w:rPr>
                <w:rFonts w:hint="eastAsia"/>
                <w:color w:val="auto"/>
              </w:rPr>
              <w:t>污染物排放管控</w:t>
            </w:r>
          </w:p>
        </w:tc>
        <w:tc>
          <w:tcPr>
            <w:tcW w:w="2413" w:type="pct"/>
            <w:vAlign w:val="center"/>
          </w:tcPr>
          <w:p w14:paraId="5A43C9CE">
            <w:pPr>
              <w:pStyle w:val="23"/>
              <w:bidi w:val="0"/>
              <w:jc w:val="both"/>
              <w:rPr>
                <w:rFonts w:hint="default" w:eastAsia="宋体"/>
                <w:color w:val="auto"/>
                <w:lang w:val="en-US" w:eastAsia="zh-CN"/>
              </w:rPr>
            </w:pPr>
            <w:r>
              <w:rPr>
                <w:rFonts w:hint="eastAsia"/>
                <w:color w:val="auto"/>
                <w:lang w:val="en-US" w:eastAsia="zh-CN"/>
              </w:rPr>
              <w:t>6、完善城镇生活污水处理厂建设及配套管网建设，加强生活面源及农业面源整治，严格控制总磷、总氮排放，杜绝水体富营养化。</w:t>
            </w:r>
          </w:p>
        </w:tc>
        <w:tc>
          <w:tcPr>
            <w:tcW w:w="1373" w:type="pct"/>
            <w:vMerge w:val="restart"/>
            <w:vAlign w:val="center"/>
          </w:tcPr>
          <w:p w14:paraId="3D32780D">
            <w:pPr>
              <w:pStyle w:val="23"/>
              <w:bidi w:val="0"/>
              <w:jc w:val="both"/>
              <w:rPr>
                <w:rFonts w:hint="eastAsia" w:eastAsia="宋体"/>
                <w:color w:val="auto"/>
                <w:lang w:val="en-US" w:eastAsia="zh-CN"/>
              </w:rPr>
            </w:pPr>
            <w:r>
              <w:rPr>
                <w:rFonts w:hint="eastAsia"/>
                <w:color w:val="auto"/>
              </w:rPr>
              <w:t>本项目为</w:t>
            </w:r>
            <w:r>
              <w:rPr>
                <w:rFonts w:hint="eastAsia"/>
                <w:color w:val="auto"/>
                <w:lang w:val="en-US" w:eastAsia="zh-CN"/>
              </w:rPr>
              <w:t>城市道路建设项目</w:t>
            </w:r>
            <w:r>
              <w:rPr>
                <w:rFonts w:hint="eastAsia"/>
                <w:color w:val="auto"/>
              </w:rPr>
              <w:t>，</w:t>
            </w:r>
            <w:r>
              <w:rPr>
                <w:rFonts w:hint="eastAsia"/>
                <w:color w:val="auto"/>
                <w:lang w:val="en-US" w:eastAsia="zh-CN"/>
              </w:rPr>
              <w:t>不涉及。</w:t>
            </w:r>
          </w:p>
        </w:tc>
        <w:tc>
          <w:tcPr>
            <w:tcW w:w="323" w:type="pct"/>
            <w:vMerge w:val="restart"/>
            <w:vAlign w:val="center"/>
          </w:tcPr>
          <w:p w14:paraId="4D42BCED">
            <w:pPr>
              <w:pStyle w:val="23"/>
              <w:bidi w:val="0"/>
              <w:rPr>
                <w:color w:val="auto"/>
              </w:rPr>
            </w:pPr>
            <w:r>
              <w:rPr>
                <w:rFonts w:hint="default"/>
                <w:color w:val="auto"/>
              </w:rPr>
              <w:t>符合</w:t>
            </w:r>
          </w:p>
        </w:tc>
      </w:tr>
      <w:tr w14:paraId="1F386BB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56742ED6">
            <w:pPr>
              <w:pStyle w:val="23"/>
              <w:bidi w:val="0"/>
              <w:rPr>
                <w:color w:val="auto"/>
              </w:rPr>
            </w:pPr>
          </w:p>
        </w:tc>
        <w:tc>
          <w:tcPr>
            <w:tcW w:w="376" w:type="pct"/>
            <w:vMerge w:val="continue"/>
            <w:vAlign w:val="center"/>
          </w:tcPr>
          <w:p w14:paraId="22865B3A">
            <w:pPr>
              <w:pStyle w:val="23"/>
              <w:bidi w:val="0"/>
              <w:rPr>
                <w:rFonts w:hint="eastAsia"/>
                <w:color w:val="auto"/>
              </w:rPr>
            </w:pPr>
          </w:p>
        </w:tc>
        <w:tc>
          <w:tcPr>
            <w:tcW w:w="2413" w:type="pct"/>
            <w:vAlign w:val="center"/>
          </w:tcPr>
          <w:p w14:paraId="3993D498">
            <w:pPr>
              <w:pStyle w:val="23"/>
              <w:bidi w:val="0"/>
              <w:jc w:val="both"/>
              <w:rPr>
                <w:rFonts w:hint="default" w:eastAsia="宋体"/>
                <w:color w:val="auto"/>
                <w:lang w:val="en-US" w:eastAsia="zh-CN"/>
              </w:rPr>
            </w:pPr>
            <w:r>
              <w:rPr>
                <w:rFonts w:hint="eastAsia"/>
                <w:color w:val="auto"/>
                <w:lang w:val="en-US" w:eastAsia="zh-CN"/>
              </w:rPr>
              <w:t>7、严格控制化肥农药使用量，加强畜禽养殖行业污染治理。</w:t>
            </w:r>
          </w:p>
        </w:tc>
        <w:tc>
          <w:tcPr>
            <w:tcW w:w="1373" w:type="pct"/>
            <w:vMerge w:val="continue"/>
            <w:vAlign w:val="center"/>
          </w:tcPr>
          <w:p w14:paraId="1390A786">
            <w:pPr>
              <w:pStyle w:val="23"/>
              <w:bidi w:val="0"/>
              <w:jc w:val="both"/>
              <w:rPr>
                <w:color w:val="auto"/>
              </w:rPr>
            </w:pPr>
          </w:p>
        </w:tc>
        <w:tc>
          <w:tcPr>
            <w:tcW w:w="323" w:type="pct"/>
            <w:vMerge w:val="continue"/>
            <w:vAlign w:val="center"/>
          </w:tcPr>
          <w:p w14:paraId="6CAB435A">
            <w:pPr>
              <w:pStyle w:val="23"/>
              <w:bidi w:val="0"/>
              <w:rPr>
                <w:rFonts w:hint="default"/>
                <w:color w:val="auto"/>
              </w:rPr>
            </w:pPr>
          </w:p>
        </w:tc>
      </w:tr>
      <w:tr w14:paraId="0FDA10B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0C2847E5">
            <w:pPr>
              <w:pStyle w:val="23"/>
              <w:bidi w:val="0"/>
              <w:rPr>
                <w:color w:val="auto"/>
              </w:rPr>
            </w:pPr>
          </w:p>
        </w:tc>
        <w:tc>
          <w:tcPr>
            <w:tcW w:w="376" w:type="pct"/>
            <w:vAlign w:val="center"/>
          </w:tcPr>
          <w:p w14:paraId="5DCC95EC">
            <w:pPr>
              <w:pStyle w:val="23"/>
              <w:bidi w:val="0"/>
              <w:rPr>
                <w:color w:val="auto"/>
              </w:rPr>
            </w:pPr>
            <w:r>
              <w:rPr>
                <w:rFonts w:hint="eastAsia"/>
                <w:color w:val="auto"/>
              </w:rPr>
              <w:t>环境风险防控</w:t>
            </w:r>
          </w:p>
        </w:tc>
        <w:tc>
          <w:tcPr>
            <w:tcW w:w="2413" w:type="pct"/>
            <w:vAlign w:val="center"/>
          </w:tcPr>
          <w:p w14:paraId="5A66056D">
            <w:pPr>
              <w:pStyle w:val="23"/>
              <w:bidi w:val="0"/>
              <w:jc w:val="both"/>
              <w:rPr>
                <w:rFonts w:hint="default" w:eastAsia="宋体"/>
                <w:color w:val="auto"/>
                <w:lang w:val="en-US" w:eastAsia="zh-CN"/>
              </w:rPr>
            </w:pPr>
            <w:r>
              <w:rPr>
                <w:rFonts w:hint="eastAsia"/>
                <w:color w:val="auto"/>
                <w:lang w:val="en-US" w:eastAsia="zh-CN"/>
              </w:rPr>
              <w:t>8、草堂组团以及规划的康乐组团应建立环境风险三级防控体系，进一步优化完善风险防范措施和应急预案体系，严控环境风险事故发生，严防事故废水进入水体。</w:t>
            </w:r>
          </w:p>
        </w:tc>
        <w:tc>
          <w:tcPr>
            <w:tcW w:w="1373" w:type="pct"/>
            <w:vAlign w:val="center"/>
          </w:tcPr>
          <w:p w14:paraId="2A73212D">
            <w:pPr>
              <w:pStyle w:val="23"/>
              <w:bidi w:val="0"/>
              <w:jc w:val="both"/>
              <w:rPr>
                <w:rFonts w:hint="eastAsia" w:eastAsia="宋体"/>
                <w:color w:val="auto"/>
                <w:lang w:eastAsia="zh-CN"/>
              </w:rPr>
            </w:pPr>
            <w:r>
              <w:rPr>
                <w:rFonts w:hint="eastAsia"/>
                <w:color w:val="auto"/>
              </w:rPr>
              <w:t>本项目为</w:t>
            </w:r>
            <w:r>
              <w:rPr>
                <w:rFonts w:hint="eastAsia"/>
                <w:color w:val="auto"/>
                <w:lang w:val="en-US" w:eastAsia="zh-CN"/>
              </w:rPr>
              <w:t>城市道路建设项目</w:t>
            </w:r>
            <w:r>
              <w:rPr>
                <w:rFonts w:hint="eastAsia"/>
                <w:color w:val="auto"/>
              </w:rPr>
              <w:t>，</w:t>
            </w:r>
            <w:r>
              <w:rPr>
                <w:rFonts w:hint="eastAsia"/>
                <w:color w:val="auto"/>
                <w:lang w:val="en-US" w:eastAsia="zh-CN"/>
              </w:rPr>
              <w:t>位于夔州街道，不涉及草堂组团以及规划的康乐组团。</w:t>
            </w:r>
          </w:p>
        </w:tc>
        <w:tc>
          <w:tcPr>
            <w:tcW w:w="323" w:type="pct"/>
            <w:vAlign w:val="center"/>
          </w:tcPr>
          <w:p w14:paraId="1FF8EFF1">
            <w:pPr>
              <w:pStyle w:val="23"/>
              <w:bidi w:val="0"/>
              <w:rPr>
                <w:color w:val="auto"/>
              </w:rPr>
            </w:pPr>
            <w:r>
              <w:rPr>
                <w:rFonts w:hint="default"/>
                <w:color w:val="auto"/>
              </w:rPr>
              <w:t>符合</w:t>
            </w:r>
          </w:p>
        </w:tc>
      </w:tr>
      <w:tr w14:paraId="65B3A1E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28044972">
            <w:pPr>
              <w:pStyle w:val="23"/>
              <w:bidi w:val="0"/>
              <w:rPr>
                <w:color w:val="auto"/>
              </w:rPr>
            </w:pPr>
          </w:p>
        </w:tc>
        <w:tc>
          <w:tcPr>
            <w:tcW w:w="376" w:type="pct"/>
            <w:vMerge w:val="restart"/>
            <w:vAlign w:val="center"/>
          </w:tcPr>
          <w:p w14:paraId="09228923">
            <w:pPr>
              <w:pStyle w:val="23"/>
              <w:bidi w:val="0"/>
              <w:rPr>
                <w:rFonts w:hint="eastAsia"/>
                <w:color w:val="auto"/>
              </w:rPr>
            </w:pPr>
            <w:r>
              <w:rPr>
                <w:rFonts w:hint="eastAsia"/>
                <w:color w:val="auto"/>
              </w:rPr>
              <w:t>资源利用效率</w:t>
            </w:r>
          </w:p>
        </w:tc>
        <w:tc>
          <w:tcPr>
            <w:tcW w:w="2413" w:type="pct"/>
            <w:vAlign w:val="center"/>
          </w:tcPr>
          <w:p w14:paraId="189DA257">
            <w:pPr>
              <w:pStyle w:val="23"/>
              <w:bidi w:val="0"/>
              <w:jc w:val="both"/>
              <w:rPr>
                <w:rFonts w:hint="default"/>
                <w:color w:val="auto"/>
                <w:lang w:val="en-US" w:eastAsia="zh-CN"/>
              </w:rPr>
            </w:pPr>
            <w:r>
              <w:rPr>
                <w:rFonts w:hint="eastAsia"/>
                <w:color w:val="auto"/>
                <w:lang w:val="en-US" w:eastAsia="zh-CN"/>
              </w:rPr>
              <w:t>9、提高草堂组团及康乐组团企业清洁生产水平；提高眼镜制造产业、环保建材产业以及机械制造等产业生产用水重复利用率，减少废水排放。</w:t>
            </w:r>
          </w:p>
        </w:tc>
        <w:tc>
          <w:tcPr>
            <w:tcW w:w="1373" w:type="pct"/>
            <w:vAlign w:val="center"/>
          </w:tcPr>
          <w:p w14:paraId="171C09A7">
            <w:pPr>
              <w:pStyle w:val="23"/>
              <w:bidi w:val="0"/>
              <w:jc w:val="both"/>
              <w:rPr>
                <w:color w:val="auto"/>
              </w:rPr>
            </w:pPr>
            <w:r>
              <w:rPr>
                <w:rFonts w:hint="eastAsia"/>
                <w:color w:val="auto"/>
              </w:rPr>
              <w:t>本项目为</w:t>
            </w:r>
            <w:r>
              <w:rPr>
                <w:rFonts w:hint="eastAsia"/>
                <w:color w:val="auto"/>
                <w:lang w:val="en-US" w:eastAsia="zh-CN"/>
              </w:rPr>
              <w:t>城市道路建设项目</w:t>
            </w:r>
            <w:r>
              <w:rPr>
                <w:rFonts w:hint="eastAsia"/>
                <w:color w:val="auto"/>
              </w:rPr>
              <w:t>，</w:t>
            </w:r>
            <w:r>
              <w:rPr>
                <w:rFonts w:hint="eastAsia"/>
                <w:color w:val="auto"/>
                <w:lang w:val="en-US" w:eastAsia="zh-CN"/>
              </w:rPr>
              <w:t>位于夔州街道，不涉及草堂组团及康乐组团。</w:t>
            </w:r>
          </w:p>
        </w:tc>
        <w:tc>
          <w:tcPr>
            <w:tcW w:w="323" w:type="pct"/>
            <w:vAlign w:val="center"/>
          </w:tcPr>
          <w:p w14:paraId="3C2395A9">
            <w:pPr>
              <w:pStyle w:val="23"/>
              <w:bidi w:val="0"/>
              <w:rPr>
                <w:rFonts w:hint="default"/>
                <w:color w:val="auto"/>
              </w:rPr>
            </w:pPr>
            <w:r>
              <w:rPr>
                <w:rFonts w:hint="default"/>
                <w:color w:val="auto"/>
              </w:rPr>
              <w:t>符合</w:t>
            </w:r>
          </w:p>
        </w:tc>
      </w:tr>
      <w:tr w14:paraId="1AED5E7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3616B51D">
            <w:pPr>
              <w:pStyle w:val="23"/>
              <w:bidi w:val="0"/>
              <w:rPr>
                <w:color w:val="auto"/>
              </w:rPr>
            </w:pPr>
          </w:p>
        </w:tc>
        <w:tc>
          <w:tcPr>
            <w:tcW w:w="376" w:type="pct"/>
            <w:vMerge w:val="continue"/>
            <w:vAlign w:val="center"/>
          </w:tcPr>
          <w:p w14:paraId="62231864">
            <w:pPr>
              <w:pStyle w:val="23"/>
              <w:bidi w:val="0"/>
              <w:rPr>
                <w:rFonts w:hint="eastAsia"/>
                <w:color w:val="auto"/>
              </w:rPr>
            </w:pPr>
          </w:p>
        </w:tc>
        <w:tc>
          <w:tcPr>
            <w:tcW w:w="2413" w:type="pct"/>
            <w:vAlign w:val="center"/>
          </w:tcPr>
          <w:p w14:paraId="4DCFCBE0">
            <w:pPr>
              <w:pStyle w:val="23"/>
              <w:bidi w:val="0"/>
              <w:jc w:val="both"/>
              <w:rPr>
                <w:rFonts w:hint="default"/>
                <w:color w:val="auto"/>
                <w:lang w:val="en-US" w:eastAsia="zh-CN"/>
              </w:rPr>
            </w:pPr>
            <w:r>
              <w:rPr>
                <w:rFonts w:hint="eastAsia"/>
                <w:color w:val="auto"/>
                <w:lang w:val="en-US" w:eastAsia="zh-CN"/>
              </w:rPr>
              <w:t>10、组织开展存在减水河段的小水电站生态流量确定、泄放设施改造、生态调度运行、监测监控等工作，切实加强长江经济带小水电站生态流量监督管理。</w:t>
            </w:r>
          </w:p>
        </w:tc>
        <w:tc>
          <w:tcPr>
            <w:tcW w:w="1373" w:type="pct"/>
            <w:vAlign w:val="center"/>
          </w:tcPr>
          <w:p w14:paraId="08FF72D9">
            <w:pPr>
              <w:pStyle w:val="23"/>
              <w:bidi w:val="0"/>
              <w:jc w:val="both"/>
              <w:rPr>
                <w:rFonts w:hint="eastAsia" w:eastAsia="宋体"/>
                <w:color w:val="auto"/>
                <w:lang w:val="en-US" w:eastAsia="zh-CN"/>
              </w:rPr>
            </w:pPr>
            <w:r>
              <w:rPr>
                <w:rFonts w:hint="eastAsia"/>
                <w:color w:val="auto"/>
              </w:rPr>
              <w:t>本项目为</w:t>
            </w:r>
            <w:r>
              <w:rPr>
                <w:rFonts w:hint="eastAsia"/>
                <w:color w:val="auto"/>
                <w:lang w:val="en-US" w:eastAsia="zh-CN"/>
              </w:rPr>
              <w:t>城市道路建设项目</w:t>
            </w:r>
            <w:r>
              <w:rPr>
                <w:rFonts w:hint="eastAsia"/>
                <w:color w:val="auto"/>
              </w:rPr>
              <w:t>，</w:t>
            </w:r>
            <w:r>
              <w:rPr>
                <w:rFonts w:hint="eastAsia"/>
                <w:color w:val="auto"/>
                <w:lang w:val="en-US" w:eastAsia="zh-CN"/>
              </w:rPr>
              <w:t>不属于小水电站。</w:t>
            </w:r>
          </w:p>
        </w:tc>
        <w:tc>
          <w:tcPr>
            <w:tcW w:w="323" w:type="pct"/>
            <w:vAlign w:val="center"/>
          </w:tcPr>
          <w:p w14:paraId="6D15D1CA">
            <w:pPr>
              <w:pStyle w:val="23"/>
              <w:bidi w:val="0"/>
              <w:rPr>
                <w:rFonts w:hint="default"/>
                <w:color w:val="auto"/>
              </w:rPr>
            </w:pPr>
            <w:r>
              <w:rPr>
                <w:rFonts w:hint="default"/>
                <w:color w:val="auto"/>
              </w:rPr>
              <w:t>符合</w:t>
            </w:r>
          </w:p>
        </w:tc>
      </w:tr>
      <w:tr w14:paraId="642923F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restart"/>
            <w:vAlign w:val="center"/>
          </w:tcPr>
          <w:p w14:paraId="3357BD8E">
            <w:pPr>
              <w:pStyle w:val="23"/>
              <w:bidi w:val="0"/>
              <w:rPr>
                <w:color w:val="auto"/>
              </w:rPr>
            </w:pPr>
            <w:r>
              <w:rPr>
                <w:rFonts w:hint="eastAsia"/>
                <w:color w:val="auto"/>
              </w:rPr>
              <w:t>单元管控要求</w:t>
            </w:r>
          </w:p>
        </w:tc>
        <w:tc>
          <w:tcPr>
            <w:tcW w:w="376" w:type="pct"/>
            <w:vAlign w:val="center"/>
          </w:tcPr>
          <w:p w14:paraId="68CE2102">
            <w:pPr>
              <w:pStyle w:val="23"/>
              <w:bidi w:val="0"/>
              <w:rPr>
                <w:color w:val="auto"/>
              </w:rPr>
            </w:pPr>
            <w:r>
              <w:rPr>
                <w:rFonts w:hint="eastAsia"/>
                <w:color w:val="auto"/>
              </w:rPr>
              <w:t>空间布局约束</w:t>
            </w:r>
          </w:p>
        </w:tc>
        <w:tc>
          <w:tcPr>
            <w:tcW w:w="2413" w:type="pct"/>
            <w:vAlign w:val="center"/>
          </w:tcPr>
          <w:p w14:paraId="206E9D30">
            <w:pPr>
              <w:pStyle w:val="23"/>
              <w:bidi w:val="0"/>
              <w:jc w:val="both"/>
              <w:rPr>
                <w:color w:val="auto"/>
              </w:rPr>
            </w:pPr>
            <w:r>
              <w:rPr>
                <w:rFonts w:hint="eastAsia"/>
                <w:color w:val="auto"/>
              </w:rPr>
              <w:t>1.高铁生态城新兴产业集聚区内禁止引入《产业结构调整指导目录》淘汰类及限制类的项目。2.长江、朱衣河、草堂河、梅溪河消落带内禁止从事畜禽养殖经营活动。</w:t>
            </w:r>
          </w:p>
        </w:tc>
        <w:tc>
          <w:tcPr>
            <w:tcW w:w="1373" w:type="pct"/>
            <w:vAlign w:val="center"/>
          </w:tcPr>
          <w:p w14:paraId="7B6E6896">
            <w:pPr>
              <w:pStyle w:val="23"/>
              <w:bidi w:val="0"/>
              <w:jc w:val="both"/>
              <w:rPr>
                <w:rFonts w:hint="default" w:eastAsia="宋体"/>
                <w:color w:val="auto"/>
                <w:lang w:val="en-US" w:eastAsia="zh-CN"/>
              </w:rPr>
            </w:pPr>
            <w:r>
              <w:rPr>
                <w:rFonts w:hint="eastAsia"/>
                <w:color w:val="auto"/>
                <w:lang w:val="en-US" w:eastAsia="zh-CN"/>
              </w:rPr>
              <w:t>本项目为城市道路建设项目，属于《产业结构调整指导目录》鼓励类。</w:t>
            </w:r>
          </w:p>
        </w:tc>
        <w:tc>
          <w:tcPr>
            <w:tcW w:w="323" w:type="pct"/>
            <w:vAlign w:val="center"/>
          </w:tcPr>
          <w:p w14:paraId="444C727B">
            <w:pPr>
              <w:pStyle w:val="23"/>
              <w:bidi w:val="0"/>
              <w:rPr>
                <w:color w:val="auto"/>
              </w:rPr>
            </w:pPr>
            <w:r>
              <w:rPr>
                <w:rFonts w:hint="default"/>
                <w:color w:val="auto"/>
              </w:rPr>
              <w:t>符合</w:t>
            </w:r>
          </w:p>
        </w:tc>
      </w:tr>
      <w:tr w14:paraId="208BF5E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2EDC8B57">
            <w:pPr>
              <w:pStyle w:val="23"/>
              <w:bidi w:val="0"/>
              <w:rPr>
                <w:color w:val="auto"/>
              </w:rPr>
            </w:pPr>
          </w:p>
        </w:tc>
        <w:tc>
          <w:tcPr>
            <w:tcW w:w="376" w:type="pct"/>
            <w:vAlign w:val="center"/>
          </w:tcPr>
          <w:p w14:paraId="5DAD3AAF">
            <w:pPr>
              <w:pStyle w:val="23"/>
              <w:bidi w:val="0"/>
              <w:rPr>
                <w:color w:val="auto"/>
              </w:rPr>
            </w:pPr>
            <w:r>
              <w:rPr>
                <w:rFonts w:hint="eastAsia"/>
                <w:color w:val="auto"/>
              </w:rPr>
              <w:t>污染物排放管控</w:t>
            </w:r>
          </w:p>
        </w:tc>
        <w:tc>
          <w:tcPr>
            <w:tcW w:w="2413" w:type="pct"/>
            <w:vAlign w:val="center"/>
          </w:tcPr>
          <w:p w14:paraId="5AC2BE4B">
            <w:pPr>
              <w:pStyle w:val="23"/>
              <w:bidi w:val="0"/>
              <w:jc w:val="both"/>
              <w:rPr>
                <w:color w:val="auto"/>
              </w:rPr>
            </w:pPr>
            <w:r>
              <w:rPr>
                <w:rFonts w:hint="eastAsia"/>
                <w:color w:val="auto"/>
              </w:rPr>
              <w:t>1.涉及喷涂工序工业企业应设置挥发性有机污染治理措施。推广使用低挥发性有机物涂料。2.高铁生态城新兴产业集聚区应配套建设集中污水处理厂（出水标准达一级A排放标准），入驻集聚区内企业污废水应进入集聚区集中污水处理厂处理后排放。3.加强污水处理厂及配套管网维护。4.禁止使用高污染燃料，实施现有燃煤锅炉替换为燃气或者电能锅炉改造，燃气锅炉推广低氮锅炉。5.持续推行生活垃圾分类收集收运及处置体系，做到源头减量和资源化利用。6.推进船舶废弃物集中处理建设工程，提高船舶垃圾、含油污水、等陆上处理接收处置能力及污染事故应急处置能力。7.畜禽养殖规划限养区内实行畜禽养殖存栏总量控制。同时加强畜禽养殖粪污处理，继续推进资源化利用。</w:t>
            </w:r>
          </w:p>
        </w:tc>
        <w:tc>
          <w:tcPr>
            <w:tcW w:w="1373" w:type="pct"/>
            <w:vAlign w:val="center"/>
          </w:tcPr>
          <w:p w14:paraId="39C60AF9">
            <w:pPr>
              <w:pStyle w:val="23"/>
              <w:bidi w:val="0"/>
              <w:jc w:val="both"/>
              <w:rPr>
                <w:color w:val="auto"/>
              </w:rPr>
            </w:pPr>
            <w:r>
              <w:rPr>
                <w:rFonts w:hint="eastAsia"/>
                <w:color w:val="auto"/>
                <w:lang w:val="en-US" w:eastAsia="zh-CN"/>
              </w:rPr>
              <w:t>本项目为城市道路建设项目，运营期无废水产生，施工期施工废水全部回用，生活污水接入市政污水管网。施工期生活垃圾分类收集交由环卫部门收集处置。</w:t>
            </w:r>
          </w:p>
        </w:tc>
        <w:tc>
          <w:tcPr>
            <w:tcW w:w="323" w:type="pct"/>
            <w:vAlign w:val="center"/>
          </w:tcPr>
          <w:p w14:paraId="225DBE20">
            <w:pPr>
              <w:pStyle w:val="23"/>
              <w:bidi w:val="0"/>
              <w:rPr>
                <w:color w:val="auto"/>
              </w:rPr>
            </w:pPr>
            <w:r>
              <w:rPr>
                <w:rFonts w:hint="default"/>
                <w:color w:val="auto"/>
              </w:rPr>
              <w:t>符合</w:t>
            </w:r>
          </w:p>
        </w:tc>
      </w:tr>
      <w:tr w14:paraId="1B6433B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6C704DFA">
            <w:pPr>
              <w:pStyle w:val="23"/>
              <w:bidi w:val="0"/>
              <w:rPr>
                <w:color w:val="auto"/>
              </w:rPr>
            </w:pPr>
          </w:p>
        </w:tc>
        <w:tc>
          <w:tcPr>
            <w:tcW w:w="376" w:type="pct"/>
            <w:vAlign w:val="center"/>
          </w:tcPr>
          <w:p w14:paraId="3EA05A03">
            <w:pPr>
              <w:pStyle w:val="23"/>
              <w:bidi w:val="0"/>
              <w:rPr>
                <w:color w:val="auto"/>
              </w:rPr>
            </w:pPr>
            <w:r>
              <w:rPr>
                <w:rFonts w:hint="eastAsia"/>
                <w:color w:val="auto"/>
              </w:rPr>
              <w:t>环境风险防控</w:t>
            </w:r>
          </w:p>
        </w:tc>
        <w:tc>
          <w:tcPr>
            <w:tcW w:w="2413" w:type="pct"/>
            <w:vAlign w:val="center"/>
          </w:tcPr>
          <w:p w14:paraId="6636FC97">
            <w:pPr>
              <w:pStyle w:val="23"/>
              <w:bidi w:val="0"/>
              <w:jc w:val="both"/>
              <w:rPr>
                <w:color w:val="auto"/>
              </w:rPr>
            </w:pPr>
            <w:r>
              <w:rPr>
                <w:rFonts w:hint="eastAsia"/>
                <w:color w:val="auto"/>
              </w:rPr>
              <w:t>1.加强危化品（油料）码头、污水处理厂等重点风险源的环境风险排查。油料码头应当采取围挡防污染措施，</w:t>
            </w:r>
            <w:r>
              <w:rPr>
                <w:rFonts w:hint="eastAsia"/>
                <w:color w:val="auto"/>
                <w:lang w:eastAsia="zh-CN"/>
              </w:rPr>
              <w:t>防止事故</w:t>
            </w:r>
            <w:r>
              <w:rPr>
                <w:rFonts w:hint="eastAsia"/>
                <w:color w:val="auto"/>
              </w:rPr>
              <w:t>状态下</w:t>
            </w:r>
            <w:r>
              <w:rPr>
                <w:rFonts w:hint="eastAsia"/>
                <w:color w:val="auto"/>
                <w:lang w:eastAsia="zh-CN"/>
              </w:rPr>
              <w:t>油品泄漏</w:t>
            </w:r>
            <w:r>
              <w:rPr>
                <w:rFonts w:hint="eastAsia"/>
                <w:color w:val="auto"/>
              </w:rPr>
              <w:t>造成水环境污染。</w:t>
            </w:r>
          </w:p>
        </w:tc>
        <w:tc>
          <w:tcPr>
            <w:tcW w:w="1373" w:type="pct"/>
            <w:vAlign w:val="center"/>
          </w:tcPr>
          <w:p w14:paraId="2D481673">
            <w:pPr>
              <w:pStyle w:val="23"/>
              <w:bidi w:val="0"/>
              <w:jc w:val="both"/>
              <w:rPr>
                <w:rFonts w:hint="default" w:eastAsia="宋体"/>
                <w:color w:val="auto"/>
                <w:lang w:val="en-US" w:eastAsia="zh-CN"/>
              </w:rPr>
            </w:pPr>
            <w:r>
              <w:rPr>
                <w:rFonts w:hint="eastAsia"/>
                <w:color w:val="auto"/>
                <w:lang w:val="en-US" w:eastAsia="zh-CN"/>
              </w:rPr>
              <w:t>本项目不涉及。</w:t>
            </w:r>
          </w:p>
        </w:tc>
        <w:tc>
          <w:tcPr>
            <w:tcW w:w="323" w:type="pct"/>
            <w:vAlign w:val="center"/>
          </w:tcPr>
          <w:p w14:paraId="1443AB3F">
            <w:pPr>
              <w:pStyle w:val="23"/>
              <w:bidi w:val="0"/>
              <w:rPr>
                <w:color w:val="auto"/>
              </w:rPr>
            </w:pPr>
            <w:r>
              <w:rPr>
                <w:rFonts w:hint="default"/>
                <w:color w:val="auto"/>
              </w:rPr>
              <w:t>符合</w:t>
            </w:r>
          </w:p>
        </w:tc>
      </w:tr>
      <w:tr w14:paraId="5E76AA5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vAlign w:val="center"/>
          </w:tcPr>
          <w:p w14:paraId="1E4DD6D3">
            <w:pPr>
              <w:pStyle w:val="23"/>
              <w:bidi w:val="0"/>
              <w:rPr>
                <w:color w:val="auto"/>
              </w:rPr>
            </w:pPr>
          </w:p>
        </w:tc>
        <w:tc>
          <w:tcPr>
            <w:tcW w:w="376" w:type="pct"/>
            <w:vAlign w:val="center"/>
          </w:tcPr>
          <w:p w14:paraId="5C91EA53">
            <w:pPr>
              <w:pStyle w:val="23"/>
              <w:bidi w:val="0"/>
              <w:rPr>
                <w:color w:val="auto"/>
              </w:rPr>
            </w:pPr>
            <w:r>
              <w:rPr>
                <w:rFonts w:hint="eastAsia"/>
                <w:color w:val="auto"/>
              </w:rPr>
              <w:t>资源利用效率</w:t>
            </w:r>
          </w:p>
        </w:tc>
        <w:tc>
          <w:tcPr>
            <w:tcW w:w="2413" w:type="pct"/>
            <w:vAlign w:val="center"/>
          </w:tcPr>
          <w:p w14:paraId="1E153546">
            <w:pPr>
              <w:pStyle w:val="23"/>
              <w:bidi w:val="0"/>
              <w:jc w:val="both"/>
              <w:rPr>
                <w:color w:val="auto"/>
              </w:rPr>
            </w:pPr>
            <w:r>
              <w:rPr>
                <w:rFonts w:hint="eastAsia"/>
                <w:color w:val="auto"/>
              </w:rPr>
              <w:t>1.禁止新建燃煤生产项目。2.持续推广新能源交通，推广使用LNG动力或电力船舶。3.河道岸线开发利用应符合国家、重庆市相关规划。</w:t>
            </w:r>
          </w:p>
        </w:tc>
        <w:tc>
          <w:tcPr>
            <w:tcW w:w="1373" w:type="pct"/>
            <w:vAlign w:val="center"/>
          </w:tcPr>
          <w:p w14:paraId="37B45B6C">
            <w:pPr>
              <w:pStyle w:val="23"/>
              <w:bidi w:val="0"/>
              <w:jc w:val="both"/>
              <w:rPr>
                <w:rFonts w:hint="default"/>
                <w:color w:val="auto"/>
                <w:lang w:val="en-US"/>
              </w:rPr>
            </w:pPr>
            <w:r>
              <w:rPr>
                <w:rFonts w:hint="eastAsia"/>
                <w:color w:val="auto"/>
                <w:lang w:val="en-US" w:eastAsia="zh-CN"/>
              </w:rPr>
              <w:t>本项目不涉及。</w:t>
            </w:r>
          </w:p>
        </w:tc>
        <w:tc>
          <w:tcPr>
            <w:tcW w:w="323" w:type="pct"/>
            <w:vAlign w:val="center"/>
          </w:tcPr>
          <w:p w14:paraId="43D235DD">
            <w:pPr>
              <w:pStyle w:val="23"/>
              <w:bidi w:val="0"/>
              <w:rPr>
                <w:color w:val="auto"/>
              </w:rPr>
            </w:pPr>
            <w:r>
              <w:rPr>
                <w:rFonts w:hint="default"/>
                <w:color w:val="auto"/>
              </w:rPr>
              <w:t>符合</w:t>
            </w:r>
          </w:p>
        </w:tc>
      </w:tr>
    </w:tbl>
    <w:p w14:paraId="3E4005AB">
      <w:pPr>
        <w:pStyle w:val="21"/>
        <w:bidi w:val="0"/>
        <w:rPr>
          <w:rFonts w:hint="default"/>
          <w:color w:val="auto"/>
          <w:lang w:val="en-US" w:eastAsia="zh-CN"/>
        </w:rPr>
      </w:pPr>
      <w:r>
        <w:rPr>
          <w:rFonts w:hint="default"/>
          <w:color w:val="auto"/>
          <w:lang w:val="en-US" w:eastAsia="zh-CN"/>
        </w:rPr>
        <w:t>综上分析，</w:t>
      </w:r>
      <w:r>
        <w:rPr>
          <w:rFonts w:hint="eastAsia"/>
          <w:color w:val="auto"/>
          <w:lang w:val="en-US" w:eastAsia="zh-CN"/>
        </w:rPr>
        <w:t>本</w:t>
      </w:r>
      <w:r>
        <w:rPr>
          <w:rFonts w:hint="default"/>
          <w:color w:val="auto"/>
          <w:lang w:val="en-US" w:eastAsia="zh-CN"/>
        </w:rPr>
        <w:t>项目符合“三线一单”管控要求。</w:t>
      </w:r>
    </w:p>
    <w:p w14:paraId="10753EBE">
      <w:pPr>
        <w:ind w:firstLine="480"/>
        <w:rPr>
          <w:color w:val="auto"/>
        </w:rPr>
        <w:sectPr>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425" w:num="1"/>
          <w:docGrid w:type="lines" w:linePitch="326" w:charSpace="0"/>
        </w:sectPr>
      </w:pPr>
    </w:p>
    <w:p w14:paraId="7E129AE2">
      <w:pPr>
        <w:ind w:firstLine="480"/>
        <w:rPr>
          <w:color w:val="auto"/>
        </w:rPr>
      </w:pPr>
    </w:p>
    <w:tbl>
      <w:tblPr>
        <w:tblStyle w:val="36"/>
        <w:tblW w:w="0" w:type="auto"/>
        <w:tblInd w:w="0" w:type="dxa"/>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55"/>
        <w:gridCol w:w="7995"/>
      </w:tblGrid>
      <w:tr w14:paraId="316E4DC0">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055" w:type="dxa"/>
            <w:tcBorders>
              <w:right w:val="nil"/>
            </w:tcBorders>
            <w:vAlign w:val="center"/>
          </w:tcPr>
          <w:p w14:paraId="3CF67C87">
            <w:pPr>
              <w:bidi w:val="0"/>
              <w:jc w:val="center"/>
              <w:rPr>
                <w:b/>
                <w:bCs/>
                <w:caps/>
                <w:color w:val="auto"/>
              </w:rPr>
            </w:pPr>
            <w:r>
              <w:rPr>
                <w:rFonts w:hint="default"/>
                <w:color w:val="auto"/>
              </w:rPr>
              <w:t>其他符合性分析</w:t>
            </w:r>
          </w:p>
        </w:tc>
        <w:tc>
          <w:tcPr>
            <w:tcW w:w="7995" w:type="dxa"/>
          </w:tcPr>
          <w:p w14:paraId="6D8D6D5B">
            <w:pPr>
              <w:pStyle w:val="4"/>
              <w:rPr>
                <w:b/>
                <w:bCs w:val="0"/>
                <w:caps/>
                <w:color w:val="auto"/>
              </w:rPr>
            </w:pPr>
            <w:r>
              <w:rPr>
                <w:rFonts w:hint="eastAsia"/>
                <w:b/>
                <w:bCs w:val="0"/>
                <w:caps/>
                <w:color w:val="auto"/>
                <w:lang w:val="en-US" w:eastAsia="zh-CN"/>
              </w:rPr>
              <w:t>与《四川省、重庆市长江经济带发展负面清单实施细则（试行，2022年版）》（川长江办〔2022〕17号）的符合性分析</w:t>
            </w:r>
          </w:p>
          <w:p w14:paraId="448ABCD3">
            <w:pPr>
              <w:pStyle w:val="21"/>
              <w:rPr>
                <w:b w:val="0"/>
                <w:bCs w:val="0"/>
                <w:caps w:val="0"/>
                <w:color w:val="auto"/>
              </w:rPr>
            </w:pPr>
            <w:r>
              <w:rPr>
                <w:rFonts w:hint="eastAsia"/>
                <w:b w:val="0"/>
                <w:bCs w:val="0"/>
                <w:caps w:val="0"/>
                <w:color w:val="auto"/>
                <w:lang w:val="en-US" w:eastAsia="zh-CN"/>
              </w:rPr>
              <w:t>项目与四川省、重庆市长江经济带发展负面清单实施细则的符合性分析见下表</w:t>
            </w:r>
            <w:r>
              <w:rPr>
                <w:rFonts w:hint="eastAsia"/>
                <w:b w:val="0"/>
                <w:bCs w:val="0"/>
                <w:caps w:val="0"/>
                <w:color w:val="auto"/>
              </w:rPr>
              <w:t>。</w:t>
            </w:r>
          </w:p>
          <w:p w14:paraId="69611A93">
            <w:pPr>
              <w:pStyle w:val="6"/>
              <w:bidi w:val="0"/>
              <w:jc w:val="center"/>
              <w:rPr>
                <w:color w:val="auto"/>
              </w:rPr>
            </w:pPr>
            <w:r>
              <w:rPr>
                <w:rFonts w:hint="eastAsia"/>
                <w:color w:val="auto"/>
                <w:lang w:val="en-US" w:eastAsia="zh-CN"/>
              </w:rPr>
              <w:t>与四川省、重庆市长江经济带发展负面清单的符合性分析</w:t>
            </w:r>
          </w:p>
          <w:tbl>
            <w:tblPr>
              <w:tblStyle w:val="16"/>
              <w:tblW w:w="5000" w:type="pct"/>
              <w:tblInd w:w="0" w:type="dxa"/>
              <w:tblLayout w:type="autofit"/>
              <w:tblCellMar>
                <w:top w:w="0" w:type="dxa"/>
                <w:left w:w="108" w:type="dxa"/>
                <w:bottom w:w="0" w:type="dxa"/>
                <w:right w:w="108" w:type="dxa"/>
              </w:tblCellMar>
            </w:tblPr>
            <w:tblGrid>
              <w:gridCol w:w="639"/>
              <w:gridCol w:w="4146"/>
              <w:gridCol w:w="2065"/>
              <w:gridCol w:w="929"/>
            </w:tblGrid>
            <w:tr w14:paraId="01325A20">
              <w:tblPrEx>
                <w:tblCellMar>
                  <w:top w:w="0" w:type="dxa"/>
                  <w:left w:w="108" w:type="dxa"/>
                  <w:bottom w:w="0" w:type="dxa"/>
                  <w:right w:w="108" w:type="dxa"/>
                </w:tblCellMar>
              </w:tblPrEx>
              <w:trPr>
                <w:trHeight w:val="227" w:hRule="atLeast"/>
              </w:trPr>
              <w:tc>
                <w:tcPr>
                  <w:tcW w:w="617" w:type="dxa"/>
                  <w:tcBorders>
                    <w:top w:val="single" w:color="000000" w:sz="12" w:space="0"/>
                    <w:left w:val="nil"/>
                    <w:bottom w:val="single" w:color="000000" w:sz="8" w:space="0"/>
                    <w:right w:val="single" w:color="000000" w:sz="8" w:space="0"/>
                  </w:tcBorders>
                  <w:shd w:val="clear" w:color="auto" w:fill="auto"/>
                  <w:vAlign w:val="center"/>
                </w:tcPr>
                <w:p w14:paraId="439541AB">
                  <w:pPr>
                    <w:pStyle w:val="23"/>
                    <w:bidi w:val="0"/>
                    <w:rPr>
                      <w:color w:val="auto"/>
                    </w:rPr>
                  </w:pPr>
                  <w:r>
                    <w:rPr>
                      <w:color w:val="auto"/>
                    </w:rPr>
                    <w:t>序号</w:t>
                  </w:r>
                </w:p>
              </w:tc>
              <w:tc>
                <w:tcPr>
                  <w:tcW w:w="4006" w:type="dxa"/>
                  <w:tcBorders>
                    <w:top w:val="single" w:color="000000" w:sz="12" w:space="0"/>
                    <w:left w:val="nil"/>
                    <w:bottom w:val="single" w:color="000000" w:sz="8" w:space="0"/>
                    <w:right w:val="single" w:color="000000" w:sz="8" w:space="0"/>
                  </w:tcBorders>
                  <w:shd w:val="clear" w:color="auto" w:fill="auto"/>
                  <w:vAlign w:val="center"/>
                </w:tcPr>
                <w:p w14:paraId="7473F532">
                  <w:pPr>
                    <w:pStyle w:val="23"/>
                    <w:bidi w:val="0"/>
                    <w:rPr>
                      <w:color w:val="auto"/>
                    </w:rPr>
                  </w:pPr>
                  <w:r>
                    <w:rPr>
                      <w:color w:val="auto"/>
                    </w:rPr>
                    <w:t>负面清单内容</w:t>
                  </w:r>
                </w:p>
              </w:tc>
              <w:tc>
                <w:tcPr>
                  <w:tcW w:w="1995" w:type="dxa"/>
                  <w:tcBorders>
                    <w:top w:val="single" w:color="000000" w:sz="12" w:space="0"/>
                    <w:left w:val="nil"/>
                    <w:bottom w:val="single" w:color="000000" w:sz="8" w:space="0"/>
                    <w:right w:val="single" w:color="000000" w:sz="8" w:space="0"/>
                  </w:tcBorders>
                  <w:shd w:val="clear" w:color="auto" w:fill="auto"/>
                  <w:vAlign w:val="center"/>
                </w:tcPr>
                <w:p w14:paraId="03A3415B">
                  <w:pPr>
                    <w:pStyle w:val="23"/>
                    <w:bidi w:val="0"/>
                    <w:rPr>
                      <w:color w:val="auto"/>
                    </w:rPr>
                  </w:pPr>
                  <w:r>
                    <w:rPr>
                      <w:color w:val="auto"/>
                    </w:rPr>
                    <w:t>本项目情况</w:t>
                  </w:r>
                </w:p>
              </w:tc>
              <w:tc>
                <w:tcPr>
                  <w:tcW w:w="898" w:type="dxa"/>
                  <w:tcBorders>
                    <w:top w:val="single" w:color="000000" w:sz="12" w:space="0"/>
                    <w:left w:val="nil"/>
                    <w:bottom w:val="single" w:color="000000" w:sz="8" w:space="0"/>
                    <w:right w:val="nil"/>
                  </w:tcBorders>
                  <w:shd w:val="clear" w:color="auto" w:fill="auto"/>
                  <w:vAlign w:val="center"/>
                </w:tcPr>
                <w:p w14:paraId="73E52CBD">
                  <w:pPr>
                    <w:pStyle w:val="23"/>
                    <w:bidi w:val="0"/>
                    <w:rPr>
                      <w:color w:val="auto"/>
                    </w:rPr>
                  </w:pPr>
                  <w:r>
                    <w:rPr>
                      <w:color w:val="auto"/>
                    </w:rPr>
                    <w:t>符合性</w:t>
                  </w:r>
                </w:p>
              </w:tc>
            </w:tr>
            <w:tr w14:paraId="39CC07AA">
              <w:tblPrEx>
                <w:tblCellMar>
                  <w:top w:w="0" w:type="dxa"/>
                  <w:left w:w="108" w:type="dxa"/>
                  <w:bottom w:w="0" w:type="dxa"/>
                  <w:right w:w="108" w:type="dxa"/>
                </w:tblCellMar>
              </w:tblPrEx>
              <w:trPr>
                <w:trHeight w:val="300" w:hRule="atLeast"/>
              </w:trPr>
              <w:tc>
                <w:tcPr>
                  <w:tcW w:w="617" w:type="dxa"/>
                  <w:tcBorders>
                    <w:top w:val="nil"/>
                    <w:left w:val="nil"/>
                    <w:bottom w:val="single" w:color="000000" w:sz="8" w:space="0"/>
                    <w:right w:val="single" w:color="000000" w:sz="8" w:space="0"/>
                  </w:tcBorders>
                  <w:shd w:val="clear" w:color="auto" w:fill="auto"/>
                  <w:vAlign w:val="center"/>
                </w:tcPr>
                <w:p w14:paraId="365CCD5E">
                  <w:pPr>
                    <w:pStyle w:val="23"/>
                    <w:bidi w:val="0"/>
                    <w:rPr>
                      <w:color w:val="auto"/>
                    </w:rPr>
                  </w:pPr>
                  <w:r>
                    <w:rPr>
                      <w:color w:val="auto"/>
                    </w:rPr>
                    <w:t>1</w:t>
                  </w:r>
                </w:p>
              </w:tc>
              <w:tc>
                <w:tcPr>
                  <w:tcW w:w="4006" w:type="dxa"/>
                  <w:tcBorders>
                    <w:top w:val="nil"/>
                    <w:left w:val="nil"/>
                    <w:bottom w:val="single" w:color="000000" w:sz="8" w:space="0"/>
                    <w:right w:val="single" w:color="000000" w:sz="8" w:space="0"/>
                  </w:tcBorders>
                  <w:shd w:val="clear" w:color="auto" w:fill="auto"/>
                  <w:vAlign w:val="center"/>
                </w:tcPr>
                <w:p w14:paraId="2C1F45A7">
                  <w:pPr>
                    <w:pStyle w:val="23"/>
                    <w:bidi w:val="0"/>
                    <w:jc w:val="both"/>
                    <w:rPr>
                      <w:rFonts w:hint="default"/>
                      <w:color w:val="auto"/>
                      <w:lang w:val="en-US" w:eastAsia="zh-CN"/>
                    </w:rPr>
                  </w:pPr>
                  <w:r>
                    <w:rPr>
                      <w:rFonts w:hint="default"/>
                      <w:color w:val="auto"/>
                      <w:lang w:val="en-US" w:eastAsia="zh-CN"/>
                    </w:rPr>
                    <w:t>禁止在自然保护区核心区、缓冲区的岸线和河段范围内投资建设旅游和生产经营项目。自然保护区的内部未分区的，依照黑新区和缓冲区的规定管控。</w:t>
                  </w:r>
                </w:p>
              </w:tc>
              <w:tc>
                <w:tcPr>
                  <w:tcW w:w="1995" w:type="dxa"/>
                  <w:tcBorders>
                    <w:top w:val="nil"/>
                    <w:left w:val="nil"/>
                    <w:bottom w:val="single" w:color="000000" w:sz="8" w:space="0"/>
                    <w:right w:val="single" w:color="000000" w:sz="8" w:space="0"/>
                  </w:tcBorders>
                  <w:shd w:val="clear" w:color="auto" w:fill="auto"/>
                  <w:vAlign w:val="center"/>
                </w:tcPr>
                <w:p w14:paraId="4F1CB3F6">
                  <w:pPr>
                    <w:pStyle w:val="23"/>
                    <w:bidi w:val="0"/>
                    <w:jc w:val="both"/>
                    <w:rPr>
                      <w:color w:val="auto"/>
                    </w:rPr>
                  </w:pPr>
                  <w:r>
                    <w:rPr>
                      <w:color w:val="auto"/>
                    </w:rPr>
                    <w:t>本项目</w:t>
                  </w:r>
                  <w:r>
                    <w:rPr>
                      <w:rFonts w:hint="default"/>
                      <w:color w:val="auto"/>
                      <w:lang w:val="en-US" w:eastAsia="zh-CN"/>
                    </w:rPr>
                    <w:t>不在自然保护区核心区、缓冲区的岸线和河段范围内</w:t>
                  </w:r>
                  <w:r>
                    <w:rPr>
                      <w:color w:val="auto"/>
                    </w:rPr>
                    <w:t>。</w:t>
                  </w:r>
                </w:p>
              </w:tc>
              <w:tc>
                <w:tcPr>
                  <w:tcW w:w="898" w:type="dxa"/>
                  <w:tcBorders>
                    <w:top w:val="nil"/>
                    <w:left w:val="nil"/>
                    <w:bottom w:val="single" w:color="000000" w:sz="8" w:space="0"/>
                    <w:right w:val="nil"/>
                  </w:tcBorders>
                  <w:shd w:val="clear" w:color="auto" w:fill="auto"/>
                  <w:vAlign w:val="center"/>
                </w:tcPr>
                <w:p w14:paraId="0E2E1631">
                  <w:pPr>
                    <w:pStyle w:val="23"/>
                    <w:bidi w:val="0"/>
                    <w:rPr>
                      <w:color w:val="auto"/>
                    </w:rPr>
                  </w:pPr>
                  <w:r>
                    <w:rPr>
                      <w:color w:val="auto"/>
                    </w:rPr>
                    <w:t>符合</w:t>
                  </w:r>
                </w:p>
              </w:tc>
            </w:tr>
            <w:tr w14:paraId="02D0D8DD">
              <w:tblPrEx>
                <w:tblCellMar>
                  <w:top w:w="0" w:type="dxa"/>
                  <w:left w:w="108" w:type="dxa"/>
                  <w:bottom w:w="0" w:type="dxa"/>
                  <w:right w:w="108" w:type="dxa"/>
                </w:tblCellMar>
              </w:tblPrEx>
              <w:trPr>
                <w:trHeight w:val="1100" w:hRule="atLeast"/>
              </w:trPr>
              <w:tc>
                <w:tcPr>
                  <w:tcW w:w="617" w:type="dxa"/>
                  <w:tcBorders>
                    <w:top w:val="nil"/>
                    <w:left w:val="nil"/>
                    <w:bottom w:val="single" w:color="000000" w:sz="8" w:space="0"/>
                    <w:right w:val="single" w:color="000000" w:sz="8" w:space="0"/>
                  </w:tcBorders>
                  <w:shd w:val="clear" w:color="auto" w:fill="auto"/>
                  <w:vAlign w:val="center"/>
                </w:tcPr>
                <w:p w14:paraId="31EB39A8">
                  <w:pPr>
                    <w:pStyle w:val="23"/>
                    <w:bidi w:val="0"/>
                    <w:rPr>
                      <w:color w:val="auto"/>
                    </w:rPr>
                  </w:pPr>
                  <w:r>
                    <w:rPr>
                      <w:color w:val="auto"/>
                    </w:rPr>
                    <w:t>2</w:t>
                  </w:r>
                </w:p>
              </w:tc>
              <w:tc>
                <w:tcPr>
                  <w:tcW w:w="4006" w:type="dxa"/>
                  <w:tcBorders>
                    <w:top w:val="nil"/>
                    <w:left w:val="nil"/>
                    <w:bottom w:val="single" w:color="000000" w:sz="8" w:space="0"/>
                    <w:right w:val="single" w:color="000000" w:sz="8" w:space="0"/>
                  </w:tcBorders>
                  <w:shd w:val="clear" w:color="auto" w:fill="auto"/>
                  <w:vAlign w:val="center"/>
                </w:tcPr>
                <w:p w14:paraId="2F9F35C8">
                  <w:pPr>
                    <w:pStyle w:val="23"/>
                    <w:bidi w:val="0"/>
                    <w:jc w:val="both"/>
                    <w:rPr>
                      <w:rFonts w:hint="default"/>
                      <w:color w:val="auto"/>
                      <w:lang w:val="en-US" w:eastAsia="zh-CN"/>
                    </w:rPr>
                  </w:pPr>
                  <w:r>
                    <w:rPr>
                      <w:rFonts w:hint="default"/>
                      <w:color w:val="auto"/>
                      <w:lang w:val="en-US" w:eastAsia="zh-CN"/>
                    </w:rPr>
                    <w:t>禁止违反风景名胜区规划，在风景名胜区内设立各类开发区。禁止在风景名胜区核心景区的岸线和河段范围内建设宾馆、招待所、培训中心、疗养院以及与风景名</w:t>
                  </w:r>
                  <w:r>
                    <w:rPr>
                      <w:rFonts w:hint="eastAsia"/>
                      <w:color w:val="auto"/>
                      <w:lang w:val="en-US" w:eastAsia="zh-CN"/>
                    </w:rPr>
                    <w:t>胜区</w:t>
                  </w:r>
                  <w:r>
                    <w:rPr>
                      <w:rFonts w:hint="default"/>
                      <w:color w:val="auto"/>
                      <w:lang w:val="en-US" w:eastAsia="zh-CN"/>
                    </w:rPr>
                    <w:t>资源保护无关的项目。</w:t>
                  </w:r>
                </w:p>
              </w:tc>
              <w:tc>
                <w:tcPr>
                  <w:tcW w:w="1995" w:type="dxa"/>
                  <w:tcBorders>
                    <w:top w:val="nil"/>
                    <w:left w:val="nil"/>
                    <w:bottom w:val="single" w:color="000000" w:sz="8" w:space="0"/>
                    <w:right w:val="single" w:color="000000" w:sz="8" w:space="0"/>
                  </w:tcBorders>
                  <w:shd w:val="clear" w:color="auto" w:fill="auto"/>
                  <w:vAlign w:val="center"/>
                </w:tcPr>
                <w:p w14:paraId="05DEC7A6">
                  <w:pPr>
                    <w:pStyle w:val="23"/>
                    <w:bidi w:val="0"/>
                    <w:jc w:val="both"/>
                    <w:rPr>
                      <w:color w:val="auto"/>
                    </w:rPr>
                  </w:pPr>
                  <w:r>
                    <w:rPr>
                      <w:color w:val="auto"/>
                    </w:rPr>
                    <w:t>本</w:t>
                  </w:r>
                  <w:r>
                    <w:rPr>
                      <w:rFonts w:hint="default"/>
                      <w:color w:val="auto"/>
                      <w:lang w:val="en-US" w:eastAsia="zh-CN"/>
                    </w:rPr>
                    <w:t>项目不在风景名胜区核心景区的岸线和河段范围内。</w:t>
                  </w:r>
                </w:p>
              </w:tc>
              <w:tc>
                <w:tcPr>
                  <w:tcW w:w="898" w:type="dxa"/>
                  <w:tcBorders>
                    <w:top w:val="nil"/>
                    <w:left w:val="nil"/>
                    <w:bottom w:val="single" w:color="000000" w:sz="8" w:space="0"/>
                    <w:right w:val="nil"/>
                  </w:tcBorders>
                  <w:shd w:val="clear" w:color="auto" w:fill="auto"/>
                  <w:vAlign w:val="center"/>
                </w:tcPr>
                <w:p w14:paraId="32208190">
                  <w:pPr>
                    <w:pStyle w:val="23"/>
                    <w:bidi w:val="0"/>
                    <w:rPr>
                      <w:color w:val="auto"/>
                    </w:rPr>
                  </w:pPr>
                  <w:r>
                    <w:rPr>
                      <w:color w:val="auto"/>
                    </w:rPr>
                    <w:t>符合</w:t>
                  </w:r>
                </w:p>
              </w:tc>
            </w:tr>
            <w:tr w14:paraId="04B4C563">
              <w:tblPrEx>
                <w:tblCellMar>
                  <w:top w:w="0" w:type="dxa"/>
                  <w:left w:w="108" w:type="dxa"/>
                  <w:bottom w:w="0" w:type="dxa"/>
                  <w:right w:w="108" w:type="dxa"/>
                </w:tblCellMar>
              </w:tblPrEx>
              <w:trPr>
                <w:trHeight w:val="549" w:hRule="atLeast"/>
              </w:trPr>
              <w:tc>
                <w:tcPr>
                  <w:tcW w:w="617" w:type="dxa"/>
                  <w:tcBorders>
                    <w:top w:val="nil"/>
                    <w:left w:val="nil"/>
                    <w:bottom w:val="single" w:color="000000" w:sz="8" w:space="0"/>
                    <w:right w:val="single" w:color="000000" w:sz="8" w:space="0"/>
                  </w:tcBorders>
                  <w:shd w:val="clear" w:color="auto" w:fill="auto"/>
                  <w:vAlign w:val="center"/>
                </w:tcPr>
                <w:p w14:paraId="1B983ED5">
                  <w:pPr>
                    <w:pStyle w:val="23"/>
                    <w:bidi w:val="0"/>
                    <w:rPr>
                      <w:color w:val="auto"/>
                    </w:rPr>
                  </w:pPr>
                  <w:r>
                    <w:rPr>
                      <w:color w:val="auto"/>
                    </w:rPr>
                    <w:t>3</w:t>
                  </w:r>
                </w:p>
              </w:tc>
              <w:tc>
                <w:tcPr>
                  <w:tcW w:w="4006" w:type="dxa"/>
                  <w:tcBorders>
                    <w:top w:val="nil"/>
                    <w:left w:val="nil"/>
                    <w:bottom w:val="single" w:color="000000" w:sz="8" w:space="0"/>
                    <w:right w:val="single" w:color="000000" w:sz="8" w:space="0"/>
                  </w:tcBorders>
                  <w:shd w:val="clear" w:color="auto" w:fill="auto"/>
                  <w:vAlign w:val="center"/>
                </w:tcPr>
                <w:p w14:paraId="38482012">
                  <w:pPr>
                    <w:pStyle w:val="23"/>
                    <w:bidi w:val="0"/>
                    <w:jc w:val="both"/>
                    <w:rPr>
                      <w:rFonts w:hint="default"/>
                      <w:color w:val="auto"/>
                      <w:lang w:val="en-US" w:eastAsia="zh-CN"/>
                    </w:rPr>
                  </w:pPr>
                  <w:r>
                    <w:rPr>
                      <w:rFonts w:hint="default"/>
                      <w:color w:val="auto"/>
                      <w:lang w:val="en-US" w:eastAsia="zh-CN"/>
                    </w:rPr>
                    <w:t>禁止在饮用水水源准保护区的岸线和河段范围内新建、扩建对水体污染严重的建设项目，禁止改建增加排污量的建设项目。</w:t>
                  </w:r>
                </w:p>
              </w:tc>
              <w:tc>
                <w:tcPr>
                  <w:tcW w:w="1995" w:type="dxa"/>
                  <w:tcBorders>
                    <w:top w:val="nil"/>
                    <w:left w:val="nil"/>
                    <w:bottom w:val="single" w:color="000000" w:sz="8" w:space="0"/>
                    <w:right w:val="single" w:color="000000" w:sz="8" w:space="0"/>
                  </w:tcBorders>
                  <w:shd w:val="clear" w:color="auto" w:fill="auto"/>
                  <w:vAlign w:val="center"/>
                </w:tcPr>
                <w:p w14:paraId="64C2914B">
                  <w:pPr>
                    <w:pStyle w:val="23"/>
                    <w:bidi w:val="0"/>
                    <w:jc w:val="both"/>
                    <w:rPr>
                      <w:rFonts w:hint="eastAsia" w:eastAsia="宋体"/>
                      <w:color w:val="auto"/>
                      <w:lang w:val="en-US" w:eastAsia="zh-CN"/>
                    </w:rPr>
                  </w:pPr>
                  <w:r>
                    <w:rPr>
                      <w:rFonts w:hint="eastAsia"/>
                      <w:color w:val="auto"/>
                      <w:lang w:val="en-US" w:eastAsia="zh-CN"/>
                    </w:rPr>
                    <w:t>本项目不在饮用水水源准保护区的岸线和河段范围内。</w:t>
                  </w:r>
                </w:p>
              </w:tc>
              <w:tc>
                <w:tcPr>
                  <w:tcW w:w="898" w:type="dxa"/>
                  <w:tcBorders>
                    <w:top w:val="nil"/>
                    <w:left w:val="nil"/>
                    <w:bottom w:val="single" w:color="000000" w:sz="8" w:space="0"/>
                    <w:right w:val="nil"/>
                  </w:tcBorders>
                  <w:shd w:val="clear" w:color="auto" w:fill="auto"/>
                  <w:vAlign w:val="center"/>
                </w:tcPr>
                <w:p w14:paraId="75B3D120">
                  <w:pPr>
                    <w:pStyle w:val="23"/>
                    <w:bidi w:val="0"/>
                    <w:rPr>
                      <w:color w:val="auto"/>
                    </w:rPr>
                  </w:pPr>
                  <w:r>
                    <w:rPr>
                      <w:color w:val="auto"/>
                    </w:rPr>
                    <w:t>符合</w:t>
                  </w:r>
                </w:p>
              </w:tc>
            </w:tr>
            <w:tr w14:paraId="0DCDE669">
              <w:tblPrEx>
                <w:tblCellMar>
                  <w:top w:w="0" w:type="dxa"/>
                  <w:left w:w="108" w:type="dxa"/>
                  <w:bottom w:w="0" w:type="dxa"/>
                  <w:right w:w="108" w:type="dxa"/>
                </w:tblCellMar>
              </w:tblPrEx>
              <w:trPr>
                <w:trHeight w:val="1163" w:hRule="atLeast"/>
              </w:trPr>
              <w:tc>
                <w:tcPr>
                  <w:tcW w:w="617" w:type="dxa"/>
                  <w:tcBorders>
                    <w:top w:val="nil"/>
                    <w:left w:val="nil"/>
                    <w:bottom w:val="single" w:color="000000" w:sz="8" w:space="0"/>
                    <w:right w:val="single" w:color="000000" w:sz="8" w:space="0"/>
                  </w:tcBorders>
                  <w:shd w:val="clear" w:color="auto" w:fill="auto"/>
                  <w:vAlign w:val="center"/>
                </w:tcPr>
                <w:p w14:paraId="5306015F">
                  <w:pPr>
                    <w:pStyle w:val="23"/>
                    <w:bidi w:val="0"/>
                    <w:rPr>
                      <w:color w:val="auto"/>
                    </w:rPr>
                  </w:pPr>
                  <w:r>
                    <w:rPr>
                      <w:color w:val="auto"/>
                    </w:rPr>
                    <w:t>4</w:t>
                  </w:r>
                </w:p>
              </w:tc>
              <w:tc>
                <w:tcPr>
                  <w:tcW w:w="4006" w:type="dxa"/>
                  <w:tcBorders>
                    <w:top w:val="nil"/>
                    <w:left w:val="nil"/>
                    <w:bottom w:val="single" w:color="000000" w:sz="8" w:space="0"/>
                    <w:right w:val="single" w:color="000000" w:sz="8" w:space="0"/>
                  </w:tcBorders>
                  <w:shd w:val="clear" w:color="auto" w:fill="auto"/>
                  <w:vAlign w:val="center"/>
                </w:tcPr>
                <w:p w14:paraId="6F7A4C8D">
                  <w:pPr>
                    <w:pStyle w:val="23"/>
                    <w:bidi w:val="0"/>
                    <w:jc w:val="both"/>
                    <w:rPr>
                      <w:rFonts w:hint="default"/>
                      <w:color w:val="auto"/>
                      <w:lang w:val="en-US" w:eastAsia="zh-CN"/>
                    </w:rPr>
                  </w:pPr>
                  <w:r>
                    <w:rPr>
                      <w:rFonts w:hint="default"/>
                      <w:color w:val="auto"/>
                      <w:lang w:val="en-US" w:eastAsia="zh-CN"/>
                    </w:rPr>
                    <w:t>饮用水水源二级保护区的岸线和河段范围内，除遵守准保护区规定外，禁止新建、改建、扩建排放污染物的投资建设项目；禁止从事对水体有污染的水产养殖等活动。</w:t>
                  </w:r>
                </w:p>
              </w:tc>
              <w:tc>
                <w:tcPr>
                  <w:tcW w:w="1995" w:type="dxa"/>
                  <w:tcBorders>
                    <w:top w:val="nil"/>
                    <w:left w:val="nil"/>
                    <w:bottom w:val="single" w:color="000000" w:sz="8" w:space="0"/>
                    <w:right w:val="single" w:color="000000" w:sz="8" w:space="0"/>
                  </w:tcBorders>
                  <w:shd w:val="clear" w:color="auto" w:fill="auto"/>
                  <w:vAlign w:val="center"/>
                </w:tcPr>
                <w:p w14:paraId="63F95FFE">
                  <w:pPr>
                    <w:pStyle w:val="23"/>
                    <w:bidi w:val="0"/>
                    <w:jc w:val="both"/>
                    <w:rPr>
                      <w:rFonts w:hint="eastAsia" w:ascii="Times New Roman" w:hAnsi="Times New Roman" w:eastAsia="宋体" w:cstheme="minorBidi"/>
                      <w:color w:val="auto"/>
                      <w:kern w:val="2"/>
                      <w:sz w:val="21"/>
                      <w:szCs w:val="21"/>
                      <w:lang w:val="en-US" w:eastAsia="zh-CN" w:bidi="ar-SA"/>
                      <w14:ligatures w14:val="standardContextual"/>
                    </w:rPr>
                  </w:pPr>
                  <w:r>
                    <w:rPr>
                      <w:color w:val="auto"/>
                    </w:rPr>
                    <w:t>本</w:t>
                  </w:r>
                  <w:r>
                    <w:rPr>
                      <w:rFonts w:hint="default"/>
                      <w:color w:val="auto"/>
                      <w:lang w:val="en-US" w:eastAsia="zh-CN"/>
                    </w:rPr>
                    <w:t>项目不在饮用水水源二级保护区的岸线和河段范围内</w:t>
                  </w:r>
                  <w:r>
                    <w:rPr>
                      <w:color w:val="auto"/>
                    </w:rPr>
                    <w:t>。</w:t>
                  </w:r>
                </w:p>
              </w:tc>
              <w:tc>
                <w:tcPr>
                  <w:tcW w:w="898" w:type="dxa"/>
                  <w:tcBorders>
                    <w:top w:val="nil"/>
                    <w:left w:val="nil"/>
                    <w:bottom w:val="single" w:color="000000" w:sz="8" w:space="0"/>
                    <w:right w:val="nil"/>
                  </w:tcBorders>
                  <w:shd w:val="clear" w:color="auto" w:fill="auto"/>
                  <w:vAlign w:val="center"/>
                </w:tcPr>
                <w:p w14:paraId="01E3B988">
                  <w:pPr>
                    <w:pStyle w:val="23"/>
                    <w:bidi w:val="0"/>
                    <w:rPr>
                      <w:color w:val="auto"/>
                    </w:rPr>
                  </w:pPr>
                  <w:r>
                    <w:rPr>
                      <w:color w:val="auto"/>
                    </w:rPr>
                    <w:t>符合</w:t>
                  </w:r>
                </w:p>
              </w:tc>
            </w:tr>
            <w:tr w14:paraId="1DF80418">
              <w:tblPrEx>
                <w:tblCellMar>
                  <w:top w:w="0" w:type="dxa"/>
                  <w:left w:w="108" w:type="dxa"/>
                  <w:bottom w:w="0" w:type="dxa"/>
                  <w:right w:w="108" w:type="dxa"/>
                </w:tblCellMar>
              </w:tblPrEx>
              <w:trPr>
                <w:trHeight w:val="249" w:hRule="atLeast"/>
              </w:trPr>
              <w:tc>
                <w:tcPr>
                  <w:tcW w:w="617" w:type="dxa"/>
                  <w:tcBorders>
                    <w:top w:val="nil"/>
                    <w:left w:val="nil"/>
                    <w:bottom w:val="single" w:color="000000" w:sz="8" w:space="0"/>
                    <w:right w:val="single" w:color="000000" w:sz="8" w:space="0"/>
                  </w:tcBorders>
                  <w:shd w:val="clear" w:color="auto" w:fill="auto"/>
                  <w:vAlign w:val="center"/>
                </w:tcPr>
                <w:p w14:paraId="115CBF83">
                  <w:pPr>
                    <w:pStyle w:val="23"/>
                    <w:bidi w:val="0"/>
                    <w:rPr>
                      <w:color w:val="auto"/>
                    </w:rPr>
                  </w:pPr>
                  <w:r>
                    <w:rPr>
                      <w:color w:val="auto"/>
                    </w:rPr>
                    <w:t>5</w:t>
                  </w:r>
                </w:p>
              </w:tc>
              <w:tc>
                <w:tcPr>
                  <w:tcW w:w="4006" w:type="dxa"/>
                  <w:tcBorders>
                    <w:top w:val="nil"/>
                    <w:left w:val="nil"/>
                    <w:bottom w:val="single" w:color="000000" w:sz="8" w:space="0"/>
                    <w:right w:val="single" w:color="000000" w:sz="8" w:space="0"/>
                  </w:tcBorders>
                  <w:shd w:val="clear" w:color="auto" w:fill="auto"/>
                  <w:vAlign w:val="center"/>
                </w:tcPr>
                <w:p w14:paraId="03D4840E">
                  <w:pPr>
                    <w:pStyle w:val="23"/>
                    <w:bidi w:val="0"/>
                    <w:jc w:val="both"/>
                    <w:rPr>
                      <w:rFonts w:hint="default"/>
                      <w:color w:val="auto"/>
                      <w:lang w:val="en-US" w:eastAsia="zh-CN"/>
                    </w:rPr>
                  </w:pPr>
                  <w:r>
                    <w:rPr>
                      <w:rFonts w:hint="default"/>
                      <w:color w:val="auto"/>
                      <w:lang w:val="en-US" w:eastAsia="zh-CN"/>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995" w:type="dxa"/>
                  <w:tcBorders>
                    <w:top w:val="nil"/>
                    <w:left w:val="nil"/>
                    <w:bottom w:val="single" w:color="000000" w:sz="8" w:space="0"/>
                    <w:right w:val="single" w:color="000000" w:sz="8" w:space="0"/>
                  </w:tcBorders>
                  <w:shd w:val="clear" w:color="auto" w:fill="auto"/>
                  <w:vAlign w:val="center"/>
                </w:tcPr>
                <w:p w14:paraId="1F6349C5">
                  <w:pPr>
                    <w:pStyle w:val="23"/>
                    <w:bidi w:val="0"/>
                    <w:jc w:val="both"/>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本项目不在饮用水水源一级保护区的岸线和河段范围内。</w:t>
                  </w:r>
                </w:p>
              </w:tc>
              <w:tc>
                <w:tcPr>
                  <w:tcW w:w="898" w:type="dxa"/>
                  <w:tcBorders>
                    <w:top w:val="nil"/>
                    <w:left w:val="nil"/>
                    <w:bottom w:val="single" w:color="000000" w:sz="8" w:space="0"/>
                    <w:right w:val="nil"/>
                  </w:tcBorders>
                  <w:shd w:val="clear" w:color="auto" w:fill="auto"/>
                  <w:vAlign w:val="center"/>
                </w:tcPr>
                <w:p w14:paraId="2260E1B9">
                  <w:pPr>
                    <w:pStyle w:val="23"/>
                    <w:bidi w:val="0"/>
                    <w:rPr>
                      <w:color w:val="auto"/>
                    </w:rPr>
                  </w:pPr>
                  <w:r>
                    <w:rPr>
                      <w:color w:val="auto"/>
                    </w:rPr>
                    <w:t>符合</w:t>
                  </w:r>
                </w:p>
              </w:tc>
            </w:tr>
            <w:tr w14:paraId="696B61D9">
              <w:tblPrEx>
                <w:tblCellMar>
                  <w:top w:w="0" w:type="dxa"/>
                  <w:left w:w="108" w:type="dxa"/>
                  <w:bottom w:w="0" w:type="dxa"/>
                  <w:right w:w="108" w:type="dxa"/>
                </w:tblCellMar>
              </w:tblPrEx>
              <w:trPr>
                <w:trHeight w:val="90" w:hRule="atLeast"/>
              </w:trPr>
              <w:tc>
                <w:tcPr>
                  <w:tcW w:w="617" w:type="dxa"/>
                  <w:tcBorders>
                    <w:top w:val="nil"/>
                    <w:left w:val="nil"/>
                    <w:bottom w:val="single" w:color="000000" w:sz="8" w:space="0"/>
                    <w:right w:val="single" w:color="000000" w:sz="8" w:space="0"/>
                  </w:tcBorders>
                  <w:shd w:val="clear" w:color="auto" w:fill="auto"/>
                  <w:vAlign w:val="center"/>
                </w:tcPr>
                <w:p w14:paraId="548AC504">
                  <w:pPr>
                    <w:pStyle w:val="23"/>
                    <w:bidi w:val="0"/>
                    <w:rPr>
                      <w:color w:val="auto"/>
                    </w:rPr>
                  </w:pPr>
                  <w:r>
                    <w:rPr>
                      <w:color w:val="auto"/>
                    </w:rPr>
                    <w:t>6</w:t>
                  </w:r>
                </w:p>
              </w:tc>
              <w:tc>
                <w:tcPr>
                  <w:tcW w:w="4006" w:type="dxa"/>
                  <w:tcBorders>
                    <w:top w:val="nil"/>
                    <w:left w:val="nil"/>
                    <w:bottom w:val="single" w:color="000000" w:sz="8" w:space="0"/>
                    <w:right w:val="single" w:color="000000" w:sz="8" w:space="0"/>
                  </w:tcBorders>
                  <w:shd w:val="clear" w:color="auto" w:fill="auto"/>
                  <w:vAlign w:val="center"/>
                </w:tcPr>
                <w:p w14:paraId="09EA0CC9">
                  <w:pPr>
                    <w:pStyle w:val="23"/>
                    <w:bidi w:val="0"/>
                    <w:jc w:val="both"/>
                    <w:rPr>
                      <w:rFonts w:hint="default"/>
                      <w:color w:val="auto"/>
                      <w:lang w:val="en-US" w:eastAsia="zh-CN"/>
                    </w:rPr>
                  </w:pPr>
                  <w:r>
                    <w:rPr>
                      <w:rFonts w:hint="default"/>
                      <w:color w:val="auto"/>
                      <w:lang w:val="en-US" w:eastAsia="zh-CN"/>
                    </w:rPr>
                    <w:t>禁止在水产种质资源保护区岸线和河段范围内新建围湖造田、围湖造地或挖沙采石等投资建设项目。</w:t>
                  </w:r>
                </w:p>
              </w:tc>
              <w:tc>
                <w:tcPr>
                  <w:tcW w:w="1995" w:type="dxa"/>
                  <w:tcBorders>
                    <w:top w:val="nil"/>
                    <w:left w:val="nil"/>
                    <w:bottom w:val="single" w:color="000000" w:sz="8" w:space="0"/>
                    <w:right w:val="single" w:color="000000" w:sz="8" w:space="0"/>
                  </w:tcBorders>
                  <w:shd w:val="clear" w:color="auto" w:fill="auto"/>
                  <w:vAlign w:val="center"/>
                </w:tcPr>
                <w:p w14:paraId="3443B9A9">
                  <w:pPr>
                    <w:pStyle w:val="23"/>
                    <w:bidi w:val="0"/>
                    <w:jc w:val="both"/>
                    <w:rPr>
                      <w:rFonts w:hint="eastAsia" w:eastAsia="宋体"/>
                      <w:color w:val="auto"/>
                      <w:lang w:val="en-US" w:eastAsia="zh-CN"/>
                    </w:rPr>
                  </w:pPr>
                  <w:r>
                    <w:rPr>
                      <w:rFonts w:hint="eastAsia"/>
                      <w:color w:val="auto"/>
                      <w:lang w:val="en-US" w:eastAsia="zh-CN"/>
                    </w:rPr>
                    <w:t>本项目不在水产种质资源保护区岸线和河段范围内。</w:t>
                  </w:r>
                </w:p>
              </w:tc>
              <w:tc>
                <w:tcPr>
                  <w:tcW w:w="898" w:type="dxa"/>
                  <w:tcBorders>
                    <w:top w:val="nil"/>
                    <w:left w:val="nil"/>
                    <w:bottom w:val="single" w:color="000000" w:sz="8" w:space="0"/>
                    <w:right w:val="nil"/>
                  </w:tcBorders>
                  <w:shd w:val="clear" w:color="auto" w:fill="auto"/>
                  <w:vAlign w:val="center"/>
                </w:tcPr>
                <w:p w14:paraId="488039EF">
                  <w:pPr>
                    <w:pStyle w:val="23"/>
                    <w:bidi w:val="0"/>
                    <w:rPr>
                      <w:color w:val="auto"/>
                    </w:rPr>
                  </w:pPr>
                  <w:r>
                    <w:rPr>
                      <w:color w:val="auto"/>
                    </w:rPr>
                    <w:t>符合</w:t>
                  </w:r>
                </w:p>
              </w:tc>
            </w:tr>
            <w:tr w14:paraId="68DBD948">
              <w:tblPrEx>
                <w:tblCellMar>
                  <w:top w:w="0" w:type="dxa"/>
                  <w:left w:w="108" w:type="dxa"/>
                  <w:bottom w:w="0" w:type="dxa"/>
                  <w:right w:w="108" w:type="dxa"/>
                </w:tblCellMar>
              </w:tblPrEx>
              <w:trPr>
                <w:trHeight w:val="1846" w:hRule="atLeast"/>
              </w:trPr>
              <w:tc>
                <w:tcPr>
                  <w:tcW w:w="617" w:type="dxa"/>
                  <w:tcBorders>
                    <w:top w:val="nil"/>
                    <w:left w:val="nil"/>
                    <w:bottom w:val="single" w:color="000000" w:sz="8" w:space="0"/>
                    <w:right w:val="single" w:color="000000" w:sz="8" w:space="0"/>
                  </w:tcBorders>
                  <w:shd w:val="clear" w:color="auto" w:fill="auto"/>
                  <w:vAlign w:val="center"/>
                </w:tcPr>
                <w:p w14:paraId="3EC01BF3">
                  <w:pPr>
                    <w:pStyle w:val="23"/>
                    <w:bidi w:val="0"/>
                    <w:rPr>
                      <w:color w:val="auto"/>
                    </w:rPr>
                  </w:pPr>
                  <w:r>
                    <w:rPr>
                      <w:color w:val="auto"/>
                    </w:rPr>
                    <w:t>7</w:t>
                  </w:r>
                </w:p>
              </w:tc>
              <w:tc>
                <w:tcPr>
                  <w:tcW w:w="4006" w:type="dxa"/>
                  <w:tcBorders>
                    <w:top w:val="nil"/>
                    <w:left w:val="nil"/>
                    <w:bottom w:val="single" w:color="000000" w:sz="8" w:space="0"/>
                    <w:right w:val="single" w:color="000000" w:sz="8" w:space="0"/>
                  </w:tcBorders>
                  <w:shd w:val="clear" w:color="auto" w:fill="auto"/>
                  <w:vAlign w:val="center"/>
                </w:tcPr>
                <w:p w14:paraId="0C9B4C4D">
                  <w:pPr>
                    <w:pStyle w:val="23"/>
                    <w:bidi w:val="0"/>
                    <w:jc w:val="both"/>
                    <w:rPr>
                      <w:rFonts w:hint="default"/>
                      <w:color w:val="auto"/>
                      <w:lang w:val="en-US" w:eastAsia="zh-CN"/>
                    </w:rPr>
                  </w:pPr>
                  <w:r>
                    <w:rPr>
                      <w:rFonts w:hint="default"/>
                      <w:color w:val="auto"/>
                      <w:lang w:val="en-US" w:eastAsia="zh-C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color w:val="auto"/>
                      <w:lang w:val="en-US" w:eastAsia="zh-CN"/>
                    </w:rPr>
                    <w:t>洄游</w:t>
                  </w:r>
                  <w:r>
                    <w:rPr>
                      <w:rFonts w:hint="default"/>
                      <w:color w:val="auto"/>
                      <w:lang w:val="en-US" w:eastAsia="zh-CN"/>
                    </w:rPr>
                    <w:t>通道。</w:t>
                  </w:r>
                </w:p>
              </w:tc>
              <w:tc>
                <w:tcPr>
                  <w:tcW w:w="1995" w:type="dxa"/>
                  <w:tcBorders>
                    <w:top w:val="nil"/>
                    <w:left w:val="nil"/>
                    <w:bottom w:val="single" w:color="000000" w:sz="8" w:space="0"/>
                    <w:right w:val="single" w:color="000000" w:sz="8" w:space="0"/>
                  </w:tcBorders>
                  <w:shd w:val="clear" w:color="auto" w:fill="auto"/>
                  <w:vAlign w:val="center"/>
                </w:tcPr>
                <w:p w14:paraId="7180AAFF">
                  <w:pPr>
                    <w:pStyle w:val="23"/>
                    <w:bidi w:val="0"/>
                    <w:jc w:val="both"/>
                    <w:rPr>
                      <w:rFonts w:hint="eastAsia" w:eastAsia="宋体"/>
                      <w:color w:val="auto"/>
                      <w:lang w:val="en-US" w:eastAsia="zh-CN"/>
                    </w:rPr>
                  </w:pPr>
                  <w:r>
                    <w:rPr>
                      <w:rFonts w:hint="eastAsia"/>
                      <w:color w:val="auto"/>
                      <w:lang w:val="en-US" w:eastAsia="zh-CN"/>
                    </w:rPr>
                    <w:t>本项目不在国家湿地公园的岸线和河段范围内。</w:t>
                  </w:r>
                </w:p>
              </w:tc>
              <w:tc>
                <w:tcPr>
                  <w:tcW w:w="898" w:type="dxa"/>
                  <w:tcBorders>
                    <w:top w:val="nil"/>
                    <w:left w:val="nil"/>
                    <w:bottom w:val="single" w:color="000000" w:sz="8" w:space="0"/>
                    <w:right w:val="nil"/>
                  </w:tcBorders>
                  <w:shd w:val="clear" w:color="auto" w:fill="auto"/>
                  <w:vAlign w:val="center"/>
                </w:tcPr>
                <w:p w14:paraId="5D571136">
                  <w:pPr>
                    <w:pStyle w:val="23"/>
                    <w:bidi w:val="0"/>
                    <w:rPr>
                      <w:color w:val="auto"/>
                    </w:rPr>
                  </w:pPr>
                  <w:r>
                    <w:rPr>
                      <w:color w:val="auto"/>
                    </w:rPr>
                    <w:t>符合</w:t>
                  </w:r>
                </w:p>
              </w:tc>
            </w:tr>
            <w:tr w14:paraId="19193DB4">
              <w:tblPrEx>
                <w:tblCellMar>
                  <w:top w:w="0" w:type="dxa"/>
                  <w:left w:w="108" w:type="dxa"/>
                  <w:bottom w:w="0" w:type="dxa"/>
                  <w:right w:w="108" w:type="dxa"/>
                </w:tblCellMar>
              </w:tblPrEx>
              <w:trPr>
                <w:trHeight w:val="90" w:hRule="atLeast"/>
              </w:trPr>
              <w:tc>
                <w:tcPr>
                  <w:tcW w:w="617" w:type="dxa"/>
                  <w:tcBorders>
                    <w:top w:val="nil"/>
                    <w:left w:val="nil"/>
                    <w:bottom w:val="single" w:color="000000" w:sz="8" w:space="0"/>
                    <w:right w:val="single" w:color="000000" w:sz="8" w:space="0"/>
                  </w:tcBorders>
                  <w:shd w:val="clear" w:color="auto" w:fill="auto"/>
                  <w:vAlign w:val="center"/>
                </w:tcPr>
                <w:p w14:paraId="13CDB747">
                  <w:pPr>
                    <w:pStyle w:val="23"/>
                    <w:bidi w:val="0"/>
                    <w:rPr>
                      <w:color w:val="auto"/>
                    </w:rPr>
                  </w:pPr>
                  <w:r>
                    <w:rPr>
                      <w:color w:val="auto"/>
                    </w:rPr>
                    <w:t>8</w:t>
                  </w:r>
                </w:p>
              </w:tc>
              <w:tc>
                <w:tcPr>
                  <w:tcW w:w="4006" w:type="dxa"/>
                  <w:tcBorders>
                    <w:top w:val="nil"/>
                    <w:left w:val="nil"/>
                    <w:bottom w:val="single" w:color="000000" w:sz="8" w:space="0"/>
                    <w:right w:val="single" w:color="000000" w:sz="8" w:space="0"/>
                  </w:tcBorders>
                  <w:shd w:val="clear" w:color="auto" w:fill="auto"/>
                  <w:vAlign w:val="center"/>
                </w:tcPr>
                <w:p w14:paraId="2E1011CA">
                  <w:pPr>
                    <w:pStyle w:val="23"/>
                    <w:bidi w:val="0"/>
                    <w:jc w:val="both"/>
                    <w:rPr>
                      <w:rFonts w:hint="default"/>
                      <w:color w:val="auto"/>
                      <w:lang w:val="en-US" w:eastAsia="zh-CN"/>
                    </w:rPr>
                  </w:pPr>
                  <w:r>
                    <w:rPr>
                      <w:rFonts w:hint="default"/>
                      <w:color w:val="auto"/>
                      <w:lang w:val="en-US" w:eastAsia="zh-CN"/>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995" w:type="dxa"/>
                  <w:tcBorders>
                    <w:top w:val="nil"/>
                    <w:left w:val="nil"/>
                    <w:bottom w:val="single" w:color="000000" w:sz="8" w:space="0"/>
                    <w:right w:val="single" w:color="000000" w:sz="8" w:space="0"/>
                  </w:tcBorders>
                  <w:shd w:val="clear" w:color="auto" w:fill="auto"/>
                  <w:vAlign w:val="center"/>
                </w:tcPr>
                <w:p w14:paraId="16BEA9A6">
                  <w:pPr>
                    <w:pStyle w:val="23"/>
                    <w:bidi w:val="0"/>
                    <w:jc w:val="both"/>
                    <w:rPr>
                      <w:rFonts w:hint="eastAsia" w:eastAsia="宋体"/>
                      <w:color w:val="auto"/>
                      <w:lang w:val="en-US" w:eastAsia="zh-CN"/>
                    </w:rPr>
                  </w:pPr>
                  <w:r>
                    <w:rPr>
                      <w:rFonts w:hint="eastAsia"/>
                      <w:color w:val="auto"/>
                      <w:lang w:val="en-US" w:eastAsia="zh-CN"/>
                    </w:rPr>
                    <w:t>本项目不利用及占用长江流域河湖岸线。</w:t>
                  </w:r>
                </w:p>
              </w:tc>
              <w:tc>
                <w:tcPr>
                  <w:tcW w:w="898" w:type="dxa"/>
                  <w:tcBorders>
                    <w:top w:val="nil"/>
                    <w:left w:val="nil"/>
                    <w:bottom w:val="single" w:color="000000" w:sz="8" w:space="0"/>
                    <w:right w:val="nil"/>
                  </w:tcBorders>
                  <w:shd w:val="clear" w:color="auto" w:fill="auto"/>
                  <w:vAlign w:val="center"/>
                </w:tcPr>
                <w:p w14:paraId="23CDE94C">
                  <w:pPr>
                    <w:pStyle w:val="23"/>
                    <w:bidi w:val="0"/>
                    <w:rPr>
                      <w:color w:val="auto"/>
                    </w:rPr>
                  </w:pPr>
                  <w:r>
                    <w:rPr>
                      <w:color w:val="auto"/>
                    </w:rPr>
                    <w:t>符合</w:t>
                  </w:r>
                </w:p>
              </w:tc>
            </w:tr>
            <w:tr w14:paraId="4983B9BD">
              <w:tblPrEx>
                <w:tblCellMar>
                  <w:top w:w="0" w:type="dxa"/>
                  <w:left w:w="108" w:type="dxa"/>
                  <w:bottom w:w="0" w:type="dxa"/>
                  <w:right w:w="108" w:type="dxa"/>
                </w:tblCellMar>
              </w:tblPrEx>
              <w:trPr>
                <w:trHeight w:val="323" w:hRule="atLeast"/>
              </w:trPr>
              <w:tc>
                <w:tcPr>
                  <w:tcW w:w="617" w:type="dxa"/>
                  <w:tcBorders>
                    <w:top w:val="nil"/>
                    <w:left w:val="nil"/>
                    <w:bottom w:val="single" w:color="000000" w:sz="8" w:space="0"/>
                    <w:right w:val="single" w:color="000000" w:sz="8" w:space="0"/>
                  </w:tcBorders>
                  <w:shd w:val="clear" w:color="auto" w:fill="auto"/>
                  <w:vAlign w:val="center"/>
                </w:tcPr>
                <w:p w14:paraId="6C108055">
                  <w:pPr>
                    <w:pStyle w:val="23"/>
                    <w:bidi w:val="0"/>
                    <w:rPr>
                      <w:color w:val="auto"/>
                    </w:rPr>
                  </w:pPr>
                  <w:r>
                    <w:rPr>
                      <w:color w:val="auto"/>
                    </w:rPr>
                    <w:t>9</w:t>
                  </w:r>
                </w:p>
              </w:tc>
              <w:tc>
                <w:tcPr>
                  <w:tcW w:w="4006" w:type="dxa"/>
                  <w:tcBorders>
                    <w:top w:val="nil"/>
                    <w:left w:val="nil"/>
                    <w:bottom w:val="single" w:color="000000" w:sz="8" w:space="0"/>
                    <w:right w:val="single" w:color="000000" w:sz="8" w:space="0"/>
                  </w:tcBorders>
                  <w:shd w:val="clear" w:color="auto" w:fill="auto"/>
                  <w:vAlign w:val="center"/>
                </w:tcPr>
                <w:p w14:paraId="4EF06C53">
                  <w:pPr>
                    <w:pStyle w:val="23"/>
                    <w:bidi w:val="0"/>
                    <w:jc w:val="both"/>
                    <w:rPr>
                      <w:rFonts w:hint="default"/>
                      <w:color w:val="auto"/>
                      <w:lang w:val="en-US" w:eastAsia="zh-CN"/>
                    </w:rPr>
                  </w:pPr>
                  <w:r>
                    <w:rPr>
                      <w:rFonts w:hint="default"/>
                      <w:color w:val="auto"/>
                      <w:lang w:val="en-US" w:eastAsia="zh-CN"/>
                    </w:rPr>
                    <w:t>禁止在《全国重要江河湖泊水功能区划》划定的河段及湖泊保护区、保留区内投资建设不利于水资源及自然生态保护的项目。</w:t>
                  </w:r>
                </w:p>
              </w:tc>
              <w:tc>
                <w:tcPr>
                  <w:tcW w:w="1995" w:type="dxa"/>
                  <w:tcBorders>
                    <w:top w:val="nil"/>
                    <w:left w:val="nil"/>
                    <w:bottom w:val="single" w:color="000000" w:sz="8" w:space="0"/>
                    <w:right w:val="single" w:color="000000" w:sz="8" w:space="0"/>
                  </w:tcBorders>
                  <w:shd w:val="clear" w:color="auto" w:fill="auto"/>
                  <w:vAlign w:val="center"/>
                </w:tcPr>
                <w:p w14:paraId="780D321D">
                  <w:pPr>
                    <w:pStyle w:val="23"/>
                    <w:bidi w:val="0"/>
                    <w:jc w:val="both"/>
                    <w:rPr>
                      <w:rFonts w:hint="eastAsia" w:eastAsia="宋体"/>
                      <w:color w:val="auto"/>
                      <w:lang w:val="en-US" w:eastAsia="zh-CN"/>
                    </w:rPr>
                  </w:pPr>
                  <w:r>
                    <w:rPr>
                      <w:rFonts w:hint="eastAsia"/>
                      <w:color w:val="auto"/>
                      <w:lang w:val="en-US" w:eastAsia="zh-CN"/>
                    </w:rPr>
                    <w:t>本项目不在《全国重要江河湖泊水功能区划》划定的河段保护区、保留区内。</w:t>
                  </w:r>
                </w:p>
              </w:tc>
              <w:tc>
                <w:tcPr>
                  <w:tcW w:w="898" w:type="dxa"/>
                  <w:tcBorders>
                    <w:top w:val="nil"/>
                    <w:left w:val="nil"/>
                    <w:bottom w:val="single" w:color="000000" w:sz="8" w:space="0"/>
                    <w:right w:val="nil"/>
                  </w:tcBorders>
                  <w:shd w:val="clear" w:color="auto" w:fill="auto"/>
                  <w:vAlign w:val="center"/>
                </w:tcPr>
                <w:p w14:paraId="5CD7ACA6">
                  <w:pPr>
                    <w:pStyle w:val="23"/>
                    <w:bidi w:val="0"/>
                    <w:rPr>
                      <w:color w:val="auto"/>
                    </w:rPr>
                  </w:pPr>
                  <w:r>
                    <w:rPr>
                      <w:color w:val="auto"/>
                    </w:rPr>
                    <w:t>符合</w:t>
                  </w:r>
                </w:p>
              </w:tc>
            </w:tr>
            <w:tr w14:paraId="2F2671E6">
              <w:tblPrEx>
                <w:tblCellMar>
                  <w:top w:w="0" w:type="dxa"/>
                  <w:left w:w="108" w:type="dxa"/>
                  <w:bottom w:w="0" w:type="dxa"/>
                  <w:right w:w="108" w:type="dxa"/>
                </w:tblCellMar>
              </w:tblPrEx>
              <w:trPr>
                <w:trHeight w:val="249" w:hRule="atLeast"/>
              </w:trPr>
              <w:tc>
                <w:tcPr>
                  <w:tcW w:w="617" w:type="dxa"/>
                  <w:tcBorders>
                    <w:top w:val="nil"/>
                    <w:left w:val="nil"/>
                    <w:bottom w:val="single" w:color="000000" w:sz="8" w:space="0"/>
                    <w:right w:val="single" w:color="000000" w:sz="8" w:space="0"/>
                  </w:tcBorders>
                  <w:shd w:val="clear" w:color="auto" w:fill="auto"/>
                  <w:vAlign w:val="center"/>
                </w:tcPr>
                <w:p w14:paraId="4F379F94">
                  <w:pPr>
                    <w:pStyle w:val="23"/>
                    <w:bidi w:val="0"/>
                    <w:rPr>
                      <w:color w:val="auto"/>
                    </w:rPr>
                  </w:pPr>
                  <w:r>
                    <w:rPr>
                      <w:color w:val="auto"/>
                    </w:rPr>
                    <w:t>10</w:t>
                  </w:r>
                </w:p>
              </w:tc>
              <w:tc>
                <w:tcPr>
                  <w:tcW w:w="4006" w:type="dxa"/>
                  <w:tcBorders>
                    <w:top w:val="nil"/>
                    <w:left w:val="nil"/>
                    <w:bottom w:val="single" w:color="000000" w:sz="8" w:space="0"/>
                    <w:right w:val="single" w:color="000000" w:sz="8" w:space="0"/>
                  </w:tcBorders>
                  <w:shd w:val="clear" w:color="auto" w:fill="auto"/>
                  <w:vAlign w:val="center"/>
                </w:tcPr>
                <w:p w14:paraId="68D85AF9">
                  <w:pPr>
                    <w:pStyle w:val="23"/>
                    <w:bidi w:val="0"/>
                    <w:jc w:val="both"/>
                    <w:rPr>
                      <w:rFonts w:hint="default"/>
                      <w:color w:val="auto"/>
                      <w:lang w:val="en-US" w:eastAsia="zh-CN"/>
                    </w:rPr>
                  </w:pPr>
                  <w:r>
                    <w:rPr>
                      <w:rFonts w:hint="default"/>
                      <w:color w:val="auto"/>
                      <w:lang w:val="en-US" w:eastAsia="zh-CN"/>
                    </w:rPr>
                    <w:t>禁止在长江干支流、重要湖泊岸线一公里范围内新建、扩建化工园区和化工项目。</w:t>
                  </w:r>
                </w:p>
              </w:tc>
              <w:tc>
                <w:tcPr>
                  <w:tcW w:w="1995" w:type="dxa"/>
                  <w:tcBorders>
                    <w:top w:val="nil"/>
                    <w:left w:val="nil"/>
                    <w:bottom w:val="single" w:color="000000" w:sz="8" w:space="0"/>
                    <w:right w:val="single" w:color="000000" w:sz="8" w:space="0"/>
                  </w:tcBorders>
                  <w:shd w:val="clear" w:color="auto" w:fill="auto"/>
                  <w:vAlign w:val="center"/>
                </w:tcPr>
                <w:p w14:paraId="3B2F2D66">
                  <w:pPr>
                    <w:pStyle w:val="23"/>
                    <w:bidi w:val="0"/>
                    <w:jc w:val="both"/>
                    <w:rPr>
                      <w:rFonts w:hint="eastAsia" w:eastAsia="宋体"/>
                      <w:color w:val="auto"/>
                      <w:lang w:val="en-US" w:eastAsia="zh-CN"/>
                    </w:rPr>
                  </w:pPr>
                  <w:r>
                    <w:rPr>
                      <w:rFonts w:hint="eastAsia"/>
                      <w:color w:val="auto"/>
                      <w:lang w:val="en-US" w:eastAsia="zh-CN"/>
                    </w:rPr>
                    <w:t>本项目为城市道路建设项目，不属于化工园区和化工项目。</w:t>
                  </w:r>
                </w:p>
              </w:tc>
              <w:tc>
                <w:tcPr>
                  <w:tcW w:w="898" w:type="dxa"/>
                  <w:tcBorders>
                    <w:top w:val="nil"/>
                    <w:left w:val="nil"/>
                    <w:bottom w:val="single" w:color="000000" w:sz="8" w:space="0"/>
                    <w:right w:val="nil"/>
                  </w:tcBorders>
                  <w:shd w:val="clear" w:color="auto" w:fill="auto"/>
                  <w:vAlign w:val="center"/>
                </w:tcPr>
                <w:p w14:paraId="6C2B6DE4">
                  <w:pPr>
                    <w:pStyle w:val="23"/>
                    <w:bidi w:val="0"/>
                    <w:rPr>
                      <w:color w:val="auto"/>
                    </w:rPr>
                  </w:pPr>
                  <w:r>
                    <w:rPr>
                      <w:color w:val="auto"/>
                    </w:rPr>
                    <w:t>符合</w:t>
                  </w:r>
                </w:p>
              </w:tc>
            </w:tr>
            <w:tr w14:paraId="30645D72">
              <w:tblPrEx>
                <w:tblCellMar>
                  <w:top w:w="0" w:type="dxa"/>
                  <w:left w:w="108" w:type="dxa"/>
                  <w:bottom w:w="0" w:type="dxa"/>
                  <w:right w:w="108" w:type="dxa"/>
                </w:tblCellMar>
              </w:tblPrEx>
              <w:trPr>
                <w:trHeight w:val="249" w:hRule="atLeast"/>
              </w:trPr>
              <w:tc>
                <w:tcPr>
                  <w:tcW w:w="617" w:type="dxa"/>
                  <w:tcBorders>
                    <w:top w:val="nil"/>
                    <w:left w:val="nil"/>
                    <w:bottom w:val="single" w:color="000000" w:sz="8" w:space="0"/>
                    <w:right w:val="single" w:color="000000" w:sz="8" w:space="0"/>
                  </w:tcBorders>
                  <w:shd w:val="clear" w:color="auto" w:fill="auto"/>
                  <w:vAlign w:val="center"/>
                </w:tcPr>
                <w:p w14:paraId="7803B882">
                  <w:pPr>
                    <w:pStyle w:val="23"/>
                    <w:bidi w:val="0"/>
                    <w:rPr>
                      <w:color w:val="auto"/>
                    </w:rPr>
                  </w:pPr>
                  <w:r>
                    <w:rPr>
                      <w:color w:val="auto"/>
                    </w:rPr>
                    <w:t>11</w:t>
                  </w:r>
                </w:p>
              </w:tc>
              <w:tc>
                <w:tcPr>
                  <w:tcW w:w="4006" w:type="dxa"/>
                  <w:tcBorders>
                    <w:top w:val="nil"/>
                    <w:left w:val="nil"/>
                    <w:bottom w:val="single" w:color="auto" w:sz="4" w:space="0"/>
                    <w:right w:val="single" w:color="000000" w:sz="8" w:space="0"/>
                  </w:tcBorders>
                  <w:shd w:val="clear" w:color="auto" w:fill="auto"/>
                  <w:vAlign w:val="center"/>
                </w:tcPr>
                <w:p w14:paraId="0EC0D948">
                  <w:pPr>
                    <w:pStyle w:val="23"/>
                    <w:bidi w:val="0"/>
                    <w:jc w:val="both"/>
                    <w:rPr>
                      <w:rFonts w:hint="default"/>
                      <w:color w:val="auto"/>
                      <w:lang w:val="en-US" w:eastAsia="zh-CN"/>
                    </w:rPr>
                  </w:pPr>
                  <w:r>
                    <w:rPr>
                      <w:rFonts w:hint="default"/>
                      <w:color w:val="auto"/>
                      <w:lang w:val="en-US" w:eastAsia="zh-CN"/>
                    </w:rPr>
                    <w:t>禁止在长江干流岸线三公里范围内和重要支流岸线一公里范围内新建、改建、扩建尾矿库、冶炼渣库、磷石膏库，以提升安全、生态环境保护水平为目的的改建除外。</w:t>
                  </w:r>
                </w:p>
              </w:tc>
              <w:tc>
                <w:tcPr>
                  <w:tcW w:w="1995" w:type="dxa"/>
                  <w:tcBorders>
                    <w:top w:val="nil"/>
                    <w:left w:val="nil"/>
                    <w:bottom w:val="single" w:color="auto" w:sz="4" w:space="0"/>
                    <w:right w:val="single" w:color="000000" w:sz="8" w:space="0"/>
                  </w:tcBorders>
                  <w:shd w:val="clear" w:color="auto" w:fill="auto"/>
                  <w:vAlign w:val="center"/>
                </w:tcPr>
                <w:p w14:paraId="344C0C25">
                  <w:pPr>
                    <w:pStyle w:val="23"/>
                    <w:bidi w:val="0"/>
                    <w:jc w:val="both"/>
                    <w:rPr>
                      <w:color w:val="auto"/>
                    </w:rPr>
                  </w:pPr>
                  <w:r>
                    <w:rPr>
                      <w:rFonts w:hint="eastAsia"/>
                      <w:color w:val="auto"/>
                      <w:lang w:val="en-US" w:eastAsia="zh-CN"/>
                    </w:rPr>
                    <w:t>本项目为城市道路建设项目，</w:t>
                  </w:r>
                  <w:r>
                    <w:rPr>
                      <w:rFonts w:hint="default"/>
                      <w:color w:val="auto"/>
                      <w:lang w:val="en-US" w:eastAsia="zh-CN"/>
                    </w:rPr>
                    <w:t>不属于尾矿库、冶炼渣库和磷石膏库。</w:t>
                  </w:r>
                </w:p>
              </w:tc>
              <w:tc>
                <w:tcPr>
                  <w:tcW w:w="898" w:type="dxa"/>
                  <w:tcBorders>
                    <w:top w:val="nil"/>
                    <w:left w:val="nil"/>
                    <w:bottom w:val="single" w:color="000000" w:sz="8" w:space="0"/>
                    <w:right w:val="nil"/>
                  </w:tcBorders>
                  <w:shd w:val="clear" w:color="auto" w:fill="auto"/>
                  <w:vAlign w:val="center"/>
                </w:tcPr>
                <w:p w14:paraId="777876FE">
                  <w:pPr>
                    <w:pStyle w:val="23"/>
                    <w:bidi w:val="0"/>
                    <w:rPr>
                      <w:color w:val="auto"/>
                    </w:rPr>
                  </w:pPr>
                  <w:r>
                    <w:rPr>
                      <w:color w:val="auto"/>
                    </w:rPr>
                    <w:t>符合</w:t>
                  </w:r>
                </w:p>
              </w:tc>
            </w:tr>
            <w:tr w14:paraId="302A662B">
              <w:tblPrEx>
                <w:tblCellMar>
                  <w:top w:w="0" w:type="dxa"/>
                  <w:left w:w="108" w:type="dxa"/>
                  <w:bottom w:w="0" w:type="dxa"/>
                  <w:right w:w="108" w:type="dxa"/>
                </w:tblCellMar>
              </w:tblPrEx>
              <w:trPr>
                <w:trHeight w:val="623" w:hRule="atLeast"/>
              </w:trPr>
              <w:tc>
                <w:tcPr>
                  <w:tcW w:w="617" w:type="dxa"/>
                  <w:tcBorders>
                    <w:top w:val="nil"/>
                    <w:left w:val="nil"/>
                    <w:bottom w:val="single" w:color="000000" w:sz="8" w:space="0"/>
                    <w:right w:val="single" w:color="000000" w:sz="8" w:space="0"/>
                  </w:tcBorders>
                  <w:shd w:val="clear" w:color="auto" w:fill="auto"/>
                  <w:vAlign w:val="center"/>
                </w:tcPr>
                <w:p w14:paraId="06208F54">
                  <w:pPr>
                    <w:pStyle w:val="23"/>
                    <w:bidi w:val="0"/>
                    <w:rPr>
                      <w:color w:val="auto"/>
                    </w:rPr>
                  </w:pPr>
                  <w:r>
                    <w:rPr>
                      <w:color w:val="auto"/>
                    </w:rPr>
                    <w:t>12</w:t>
                  </w:r>
                </w:p>
              </w:tc>
              <w:tc>
                <w:tcPr>
                  <w:tcW w:w="4006" w:type="dxa"/>
                  <w:tcBorders>
                    <w:top w:val="single" w:color="auto" w:sz="4" w:space="0"/>
                    <w:left w:val="nil"/>
                    <w:bottom w:val="single" w:color="000000" w:sz="8" w:space="0"/>
                    <w:right w:val="single" w:color="000000" w:sz="8" w:space="0"/>
                  </w:tcBorders>
                  <w:shd w:val="clear" w:color="auto" w:fill="auto"/>
                  <w:vAlign w:val="center"/>
                </w:tcPr>
                <w:p w14:paraId="30756C7D">
                  <w:pPr>
                    <w:pStyle w:val="23"/>
                    <w:bidi w:val="0"/>
                    <w:jc w:val="both"/>
                    <w:rPr>
                      <w:rFonts w:hint="default"/>
                      <w:color w:val="auto"/>
                      <w:lang w:val="en-US" w:eastAsia="zh-CN"/>
                    </w:rPr>
                  </w:pPr>
                  <w:r>
                    <w:rPr>
                      <w:rFonts w:hint="default"/>
                      <w:color w:val="auto"/>
                      <w:lang w:val="en-US" w:eastAsia="zh-CN"/>
                    </w:rPr>
                    <w:t>禁止在生态保护红线区域、永久基本农田集中区域和其他需要特别保护的区域内选址建设尾矿库﹑冶炼渣库、磷石膏库。</w:t>
                  </w:r>
                </w:p>
              </w:tc>
              <w:tc>
                <w:tcPr>
                  <w:tcW w:w="1995" w:type="dxa"/>
                  <w:tcBorders>
                    <w:top w:val="single" w:color="auto" w:sz="4" w:space="0"/>
                    <w:left w:val="nil"/>
                    <w:bottom w:val="single" w:color="000000" w:sz="8" w:space="0"/>
                    <w:right w:val="single" w:color="000000" w:sz="8" w:space="0"/>
                  </w:tcBorders>
                  <w:vAlign w:val="center"/>
                </w:tcPr>
                <w:p w14:paraId="73E9A1C1">
                  <w:pPr>
                    <w:pStyle w:val="23"/>
                    <w:bidi w:val="0"/>
                    <w:jc w:val="both"/>
                    <w:rPr>
                      <w:rFonts w:hint="default"/>
                      <w:color w:val="auto"/>
                      <w:lang w:val="en-US"/>
                    </w:rPr>
                  </w:pPr>
                  <w:r>
                    <w:rPr>
                      <w:rFonts w:hint="eastAsia"/>
                      <w:color w:val="auto"/>
                      <w:lang w:val="en-US" w:eastAsia="zh-CN"/>
                    </w:rPr>
                    <w:t>本项目不涉及生态保护红线区域、永久基本农田集中区域和其他需要特别保护的区域。</w:t>
                  </w:r>
                </w:p>
              </w:tc>
              <w:tc>
                <w:tcPr>
                  <w:tcW w:w="898" w:type="dxa"/>
                  <w:tcBorders>
                    <w:top w:val="nil"/>
                    <w:left w:val="nil"/>
                    <w:bottom w:val="single" w:color="000000" w:sz="8" w:space="0"/>
                    <w:right w:val="nil"/>
                  </w:tcBorders>
                  <w:shd w:val="clear" w:color="auto" w:fill="auto"/>
                  <w:vAlign w:val="center"/>
                </w:tcPr>
                <w:p w14:paraId="61FBC581">
                  <w:pPr>
                    <w:pStyle w:val="23"/>
                    <w:bidi w:val="0"/>
                    <w:rPr>
                      <w:color w:val="auto"/>
                    </w:rPr>
                  </w:pPr>
                  <w:r>
                    <w:rPr>
                      <w:color w:val="auto"/>
                    </w:rPr>
                    <w:t>符合</w:t>
                  </w:r>
                </w:p>
              </w:tc>
            </w:tr>
            <w:tr w14:paraId="6C77B90B">
              <w:tblPrEx>
                <w:tblCellMar>
                  <w:top w:w="0" w:type="dxa"/>
                  <w:left w:w="108" w:type="dxa"/>
                  <w:bottom w:w="0" w:type="dxa"/>
                  <w:right w:w="108" w:type="dxa"/>
                </w:tblCellMar>
              </w:tblPrEx>
              <w:trPr>
                <w:trHeight w:val="381" w:hRule="atLeast"/>
              </w:trPr>
              <w:tc>
                <w:tcPr>
                  <w:tcW w:w="617" w:type="dxa"/>
                  <w:tcBorders>
                    <w:top w:val="nil"/>
                    <w:left w:val="nil"/>
                    <w:bottom w:val="single" w:color="000000" w:sz="8" w:space="0"/>
                    <w:right w:val="single" w:color="000000" w:sz="8" w:space="0"/>
                  </w:tcBorders>
                  <w:shd w:val="clear" w:color="auto" w:fill="auto"/>
                  <w:vAlign w:val="center"/>
                </w:tcPr>
                <w:p w14:paraId="70D6B2CA">
                  <w:pPr>
                    <w:pStyle w:val="23"/>
                    <w:bidi w:val="0"/>
                    <w:rPr>
                      <w:color w:val="auto"/>
                    </w:rPr>
                  </w:pPr>
                  <w:r>
                    <w:rPr>
                      <w:color w:val="auto"/>
                    </w:rPr>
                    <w:t>13</w:t>
                  </w:r>
                </w:p>
              </w:tc>
              <w:tc>
                <w:tcPr>
                  <w:tcW w:w="4006" w:type="dxa"/>
                  <w:tcBorders>
                    <w:top w:val="nil"/>
                    <w:left w:val="nil"/>
                    <w:bottom w:val="single" w:color="000000" w:sz="8" w:space="0"/>
                    <w:right w:val="single" w:color="000000" w:sz="8" w:space="0"/>
                  </w:tcBorders>
                  <w:shd w:val="clear" w:color="auto" w:fill="auto"/>
                  <w:vAlign w:val="center"/>
                </w:tcPr>
                <w:p w14:paraId="4EF9DE26">
                  <w:pPr>
                    <w:pStyle w:val="23"/>
                    <w:bidi w:val="0"/>
                    <w:jc w:val="both"/>
                    <w:rPr>
                      <w:rFonts w:hint="default"/>
                      <w:color w:val="auto"/>
                      <w:lang w:val="en-US" w:eastAsia="zh-CN"/>
                    </w:rPr>
                  </w:pPr>
                  <w:r>
                    <w:rPr>
                      <w:rFonts w:hint="default"/>
                      <w:color w:val="auto"/>
                      <w:lang w:val="en-US" w:eastAsia="zh-CN"/>
                    </w:rPr>
                    <w:t>禁止在合规园区外新建、扩建钢铁、石化、化工、焦化、建材、有色、制浆造纸等高污染项目。</w:t>
                  </w:r>
                </w:p>
              </w:tc>
              <w:tc>
                <w:tcPr>
                  <w:tcW w:w="1995" w:type="dxa"/>
                  <w:tcBorders>
                    <w:top w:val="nil"/>
                    <w:left w:val="nil"/>
                    <w:bottom w:val="single" w:color="000000" w:sz="8" w:space="0"/>
                    <w:right w:val="single" w:color="000000" w:sz="8" w:space="0"/>
                  </w:tcBorders>
                  <w:shd w:val="clear" w:color="auto" w:fill="auto"/>
                  <w:vAlign w:val="center"/>
                </w:tcPr>
                <w:p w14:paraId="70EBF567">
                  <w:pPr>
                    <w:pStyle w:val="23"/>
                    <w:bidi w:val="0"/>
                    <w:jc w:val="both"/>
                    <w:rPr>
                      <w:rFonts w:hint="default"/>
                      <w:color w:val="auto"/>
                      <w:lang w:val="en-US"/>
                    </w:rPr>
                  </w:pPr>
                  <w:r>
                    <w:rPr>
                      <w:rFonts w:hint="eastAsia"/>
                      <w:color w:val="auto"/>
                      <w:lang w:val="en-US" w:eastAsia="zh-CN"/>
                    </w:rPr>
                    <w:t>本项目为城市道路建设项目，不属于工业项目。</w:t>
                  </w:r>
                </w:p>
              </w:tc>
              <w:tc>
                <w:tcPr>
                  <w:tcW w:w="898" w:type="dxa"/>
                  <w:tcBorders>
                    <w:top w:val="nil"/>
                    <w:left w:val="nil"/>
                    <w:bottom w:val="single" w:color="000000" w:sz="8" w:space="0"/>
                    <w:right w:val="nil"/>
                  </w:tcBorders>
                  <w:shd w:val="clear" w:color="auto" w:fill="auto"/>
                  <w:vAlign w:val="center"/>
                </w:tcPr>
                <w:p w14:paraId="7CD61DA9">
                  <w:pPr>
                    <w:pStyle w:val="23"/>
                    <w:bidi w:val="0"/>
                    <w:rPr>
                      <w:color w:val="auto"/>
                    </w:rPr>
                  </w:pPr>
                  <w:r>
                    <w:rPr>
                      <w:color w:val="auto"/>
                    </w:rPr>
                    <w:t>符合</w:t>
                  </w:r>
                </w:p>
              </w:tc>
            </w:tr>
            <w:tr w14:paraId="0FDEBCC8">
              <w:tblPrEx>
                <w:tblCellMar>
                  <w:top w:w="0" w:type="dxa"/>
                  <w:left w:w="108" w:type="dxa"/>
                  <w:bottom w:w="0" w:type="dxa"/>
                  <w:right w:w="108" w:type="dxa"/>
                </w:tblCellMar>
              </w:tblPrEx>
              <w:trPr>
                <w:trHeight w:val="667" w:hRule="atLeast"/>
              </w:trPr>
              <w:tc>
                <w:tcPr>
                  <w:tcW w:w="617" w:type="dxa"/>
                  <w:tcBorders>
                    <w:top w:val="nil"/>
                    <w:left w:val="nil"/>
                    <w:bottom w:val="single" w:color="000000" w:sz="8" w:space="0"/>
                    <w:right w:val="single" w:color="000000" w:sz="8" w:space="0"/>
                  </w:tcBorders>
                  <w:shd w:val="clear" w:color="auto" w:fill="auto"/>
                  <w:vAlign w:val="center"/>
                </w:tcPr>
                <w:p w14:paraId="310FDC73">
                  <w:pPr>
                    <w:pStyle w:val="23"/>
                    <w:bidi w:val="0"/>
                    <w:rPr>
                      <w:color w:val="auto"/>
                    </w:rPr>
                  </w:pPr>
                  <w:r>
                    <w:rPr>
                      <w:color w:val="auto"/>
                    </w:rPr>
                    <w:t>14</w:t>
                  </w:r>
                </w:p>
              </w:tc>
              <w:tc>
                <w:tcPr>
                  <w:tcW w:w="4006" w:type="dxa"/>
                  <w:tcBorders>
                    <w:top w:val="nil"/>
                    <w:left w:val="nil"/>
                    <w:bottom w:val="single" w:color="000000" w:sz="8" w:space="0"/>
                    <w:right w:val="single" w:color="000000" w:sz="8" w:space="0"/>
                  </w:tcBorders>
                  <w:shd w:val="clear" w:color="auto" w:fill="auto"/>
                  <w:vAlign w:val="center"/>
                </w:tcPr>
                <w:p w14:paraId="1F9150E2">
                  <w:pPr>
                    <w:pStyle w:val="23"/>
                    <w:bidi w:val="0"/>
                    <w:jc w:val="both"/>
                    <w:rPr>
                      <w:rFonts w:hint="default"/>
                      <w:color w:val="auto"/>
                      <w:lang w:val="en-US" w:eastAsia="zh-CN"/>
                    </w:rPr>
                  </w:pPr>
                  <w:r>
                    <w:rPr>
                      <w:rFonts w:hint="default"/>
                      <w:color w:val="auto"/>
                      <w:lang w:val="en-US" w:eastAsia="zh-CN"/>
                    </w:rPr>
                    <w:t>禁止新建、扩建不符合国家石化、现代煤化工等产业布局规划的项目。</w:t>
                  </w:r>
                </w:p>
              </w:tc>
              <w:tc>
                <w:tcPr>
                  <w:tcW w:w="1995" w:type="dxa"/>
                  <w:tcBorders>
                    <w:top w:val="nil"/>
                    <w:left w:val="nil"/>
                    <w:bottom w:val="single" w:color="000000" w:sz="8" w:space="0"/>
                    <w:right w:val="single" w:color="000000" w:sz="8" w:space="0"/>
                  </w:tcBorders>
                  <w:shd w:val="clear" w:color="auto" w:fill="auto"/>
                  <w:vAlign w:val="center"/>
                </w:tcPr>
                <w:p w14:paraId="0AAB6D0B">
                  <w:pPr>
                    <w:pStyle w:val="23"/>
                    <w:bidi w:val="0"/>
                    <w:jc w:val="both"/>
                    <w:rPr>
                      <w:color w:val="auto"/>
                    </w:rPr>
                  </w:pPr>
                  <w:r>
                    <w:rPr>
                      <w:rFonts w:hint="eastAsia"/>
                      <w:color w:val="auto"/>
                      <w:lang w:val="en-US" w:eastAsia="zh-CN"/>
                    </w:rPr>
                    <w:t>本项目为城市道路建设项目，不属于工业项目。</w:t>
                  </w:r>
                </w:p>
              </w:tc>
              <w:tc>
                <w:tcPr>
                  <w:tcW w:w="898" w:type="dxa"/>
                  <w:tcBorders>
                    <w:top w:val="nil"/>
                    <w:left w:val="nil"/>
                    <w:bottom w:val="single" w:color="000000" w:sz="8" w:space="0"/>
                    <w:right w:val="nil"/>
                  </w:tcBorders>
                  <w:shd w:val="clear" w:color="auto" w:fill="auto"/>
                  <w:vAlign w:val="center"/>
                </w:tcPr>
                <w:p w14:paraId="1E562337">
                  <w:pPr>
                    <w:pStyle w:val="23"/>
                    <w:bidi w:val="0"/>
                    <w:rPr>
                      <w:color w:val="auto"/>
                    </w:rPr>
                  </w:pPr>
                  <w:r>
                    <w:rPr>
                      <w:color w:val="auto"/>
                    </w:rPr>
                    <w:t>符合</w:t>
                  </w:r>
                </w:p>
              </w:tc>
            </w:tr>
            <w:tr w14:paraId="05D5C8C7">
              <w:tblPrEx>
                <w:tblCellMar>
                  <w:top w:w="0" w:type="dxa"/>
                  <w:left w:w="108" w:type="dxa"/>
                  <w:bottom w:w="0" w:type="dxa"/>
                  <w:right w:w="108" w:type="dxa"/>
                </w:tblCellMar>
              </w:tblPrEx>
              <w:trPr>
                <w:trHeight w:val="1408" w:hRule="atLeast"/>
              </w:trPr>
              <w:tc>
                <w:tcPr>
                  <w:tcW w:w="617" w:type="dxa"/>
                  <w:tcBorders>
                    <w:top w:val="nil"/>
                    <w:left w:val="nil"/>
                    <w:bottom w:val="single" w:color="000000" w:sz="8" w:space="0"/>
                    <w:right w:val="single" w:color="000000" w:sz="8" w:space="0"/>
                  </w:tcBorders>
                  <w:shd w:val="clear" w:color="auto" w:fill="auto"/>
                  <w:vAlign w:val="center"/>
                </w:tcPr>
                <w:p w14:paraId="05F441F9">
                  <w:pPr>
                    <w:pStyle w:val="23"/>
                    <w:bidi w:val="0"/>
                    <w:rPr>
                      <w:color w:val="auto"/>
                    </w:rPr>
                  </w:pPr>
                  <w:r>
                    <w:rPr>
                      <w:color w:val="auto"/>
                    </w:rPr>
                    <w:t>15</w:t>
                  </w:r>
                </w:p>
              </w:tc>
              <w:tc>
                <w:tcPr>
                  <w:tcW w:w="4006" w:type="dxa"/>
                  <w:tcBorders>
                    <w:top w:val="nil"/>
                    <w:left w:val="nil"/>
                    <w:bottom w:val="single" w:color="000000" w:sz="8" w:space="0"/>
                    <w:right w:val="single" w:color="000000" w:sz="8" w:space="0"/>
                  </w:tcBorders>
                  <w:shd w:val="clear" w:color="auto" w:fill="auto"/>
                  <w:vAlign w:val="center"/>
                </w:tcPr>
                <w:p w14:paraId="57BE2280">
                  <w:pPr>
                    <w:pStyle w:val="23"/>
                    <w:bidi w:val="0"/>
                    <w:jc w:val="both"/>
                    <w:rPr>
                      <w:rFonts w:hint="default"/>
                      <w:color w:val="auto"/>
                      <w:lang w:val="en-US" w:eastAsia="zh-CN"/>
                    </w:rPr>
                  </w:pPr>
                  <w:r>
                    <w:rPr>
                      <w:rFonts w:hint="default"/>
                      <w:color w:val="auto"/>
                      <w:lang w:val="en-US" w:eastAsia="zh-CN"/>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995" w:type="dxa"/>
                  <w:tcBorders>
                    <w:top w:val="nil"/>
                    <w:left w:val="nil"/>
                    <w:bottom w:val="single" w:color="000000" w:sz="8" w:space="0"/>
                    <w:right w:val="single" w:color="000000" w:sz="8" w:space="0"/>
                  </w:tcBorders>
                  <w:shd w:val="clear" w:color="auto" w:fill="auto"/>
                  <w:vAlign w:val="center"/>
                </w:tcPr>
                <w:p w14:paraId="6D022D43">
                  <w:pPr>
                    <w:pStyle w:val="23"/>
                    <w:bidi w:val="0"/>
                    <w:jc w:val="both"/>
                    <w:rPr>
                      <w:color w:val="auto"/>
                    </w:rPr>
                  </w:pPr>
                  <w:r>
                    <w:rPr>
                      <w:rFonts w:hint="eastAsia"/>
                      <w:color w:val="auto"/>
                      <w:lang w:val="en-US" w:eastAsia="zh-CN"/>
                    </w:rPr>
                    <w:t>本项目为城市道路建设项目，属于鼓励类项目。</w:t>
                  </w:r>
                </w:p>
              </w:tc>
              <w:tc>
                <w:tcPr>
                  <w:tcW w:w="898" w:type="dxa"/>
                  <w:tcBorders>
                    <w:top w:val="nil"/>
                    <w:left w:val="nil"/>
                    <w:bottom w:val="single" w:color="000000" w:sz="8" w:space="0"/>
                    <w:right w:val="nil"/>
                  </w:tcBorders>
                  <w:shd w:val="clear" w:color="auto" w:fill="auto"/>
                  <w:vAlign w:val="center"/>
                </w:tcPr>
                <w:p w14:paraId="0A13EA5C">
                  <w:pPr>
                    <w:pStyle w:val="23"/>
                    <w:bidi w:val="0"/>
                    <w:rPr>
                      <w:color w:val="auto"/>
                    </w:rPr>
                  </w:pPr>
                  <w:r>
                    <w:rPr>
                      <w:color w:val="auto"/>
                    </w:rPr>
                    <w:t>符合</w:t>
                  </w:r>
                </w:p>
              </w:tc>
            </w:tr>
            <w:tr w14:paraId="7690DE49">
              <w:tblPrEx>
                <w:tblCellMar>
                  <w:top w:w="0" w:type="dxa"/>
                  <w:left w:w="108" w:type="dxa"/>
                  <w:bottom w:w="0" w:type="dxa"/>
                  <w:right w:w="108" w:type="dxa"/>
                </w:tblCellMar>
              </w:tblPrEx>
              <w:trPr>
                <w:trHeight w:val="1488" w:hRule="atLeast"/>
              </w:trPr>
              <w:tc>
                <w:tcPr>
                  <w:tcW w:w="617" w:type="dxa"/>
                  <w:tcBorders>
                    <w:top w:val="nil"/>
                    <w:left w:val="nil"/>
                    <w:bottom w:val="single" w:color="000000" w:sz="8" w:space="0"/>
                    <w:right w:val="single" w:color="000000" w:sz="8" w:space="0"/>
                  </w:tcBorders>
                  <w:shd w:val="clear" w:color="auto" w:fill="auto"/>
                  <w:vAlign w:val="center"/>
                </w:tcPr>
                <w:p w14:paraId="61C93BEA">
                  <w:pPr>
                    <w:pStyle w:val="23"/>
                    <w:bidi w:val="0"/>
                    <w:rPr>
                      <w:color w:val="auto"/>
                    </w:rPr>
                  </w:pPr>
                  <w:r>
                    <w:rPr>
                      <w:color w:val="auto"/>
                    </w:rPr>
                    <w:t>16</w:t>
                  </w:r>
                </w:p>
              </w:tc>
              <w:tc>
                <w:tcPr>
                  <w:tcW w:w="4006" w:type="dxa"/>
                  <w:tcBorders>
                    <w:top w:val="nil"/>
                    <w:left w:val="nil"/>
                    <w:bottom w:val="single" w:color="000000" w:sz="8" w:space="0"/>
                    <w:right w:val="single" w:color="000000" w:sz="8" w:space="0"/>
                  </w:tcBorders>
                  <w:shd w:val="clear" w:color="auto" w:fill="auto"/>
                  <w:vAlign w:val="center"/>
                </w:tcPr>
                <w:p w14:paraId="4876BAF3">
                  <w:pPr>
                    <w:pStyle w:val="23"/>
                    <w:bidi w:val="0"/>
                    <w:jc w:val="both"/>
                    <w:rPr>
                      <w:rFonts w:hint="default"/>
                      <w:color w:val="auto"/>
                      <w:lang w:val="en-US" w:eastAsia="zh-CN"/>
                    </w:rPr>
                  </w:pPr>
                  <w:r>
                    <w:rPr>
                      <w:rFonts w:hint="default"/>
                      <w:color w:val="auto"/>
                      <w:lang w:val="en-US" w:eastAsia="zh-CN"/>
                    </w:rPr>
                    <w:t>禁止新建、扩建不符合国家产能置换要求的严重过剩产能行业的项目。对于不符合国家产能置换要求的严重过剩产能行业，不得以其他任何名义、任何方式备案新增产能项目。</w:t>
                  </w:r>
                </w:p>
              </w:tc>
              <w:tc>
                <w:tcPr>
                  <w:tcW w:w="1995" w:type="dxa"/>
                  <w:tcBorders>
                    <w:top w:val="nil"/>
                    <w:left w:val="nil"/>
                    <w:bottom w:val="single" w:color="000000" w:sz="8" w:space="0"/>
                    <w:right w:val="single" w:color="000000" w:sz="8" w:space="0"/>
                  </w:tcBorders>
                  <w:shd w:val="clear" w:color="auto" w:fill="auto"/>
                  <w:vAlign w:val="center"/>
                </w:tcPr>
                <w:p w14:paraId="173FEFBB">
                  <w:pPr>
                    <w:pStyle w:val="23"/>
                    <w:bidi w:val="0"/>
                    <w:jc w:val="both"/>
                    <w:rPr>
                      <w:color w:val="auto"/>
                    </w:rPr>
                  </w:pPr>
                  <w:r>
                    <w:rPr>
                      <w:rFonts w:hint="eastAsia"/>
                      <w:color w:val="auto"/>
                      <w:lang w:val="en-US" w:eastAsia="zh-CN"/>
                    </w:rPr>
                    <w:t>本项目为城市道路建设项目，不属于禁止新建、扩建不符合国家产能置换要求的严重过剩产能行业的项目。</w:t>
                  </w:r>
                </w:p>
              </w:tc>
              <w:tc>
                <w:tcPr>
                  <w:tcW w:w="898" w:type="dxa"/>
                  <w:tcBorders>
                    <w:top w:val="nil"/>
                    <w:left w:val="nil"/>
                    <w:bottom w:val="single" w:color="000000" w:sz="8" w:space="0"/>
                    <w:right w:val="nil"/>
                  </w:tcBorders>
                  <w:shd w:val="clear" w:color="auto" w:fill="auto"/>
                  <w:vAlign w:val="center"/>
                </w:tcPr>
                <w:p w14:paraId="3CADB284">
                  <w:pPr>
                    <w:pStyle w:val="23"/>
                    <w:bidi w:val="0"/>
                    <w:rPr>
                      <w:color w:val="auto"/>
                    </w:rPr>
                  </w:pPr>
                  <w:r>
                    <w:rPr>
                      <w:color w:val="auto"/>
                    </w:rPr>
                    <w:t>符合</w:t>
                  </w:r>
                </w:p>
              </w:tc>
            </w:tr>
            <w:tr w14:paraId="60BF578B">
              <w:tblPrEx>
                <w:tblCellMar>
                  <w:top w:w="0" w:type="dxa"/>
                  <w:left w:w="108" w:type="dxa"/>
                  <w:bottom w:w="0" w:type="dxa"/>
                  <w:right w:w="108" w:type="dxa"/>
                </w:tblCellMar>
              </w:tblPrEx>
              <w:trPr>
                <w:trHeight w:val="781" w:hRule="atLeast"/>
              </w:trPr>
              <w:tc>
                <w:tcPr>
                  <w:tcW w:w="617" w:type="dxa"/>
                  <w:tcBorders>
                    <w:top w:val="nil"/>
                    <w:left w:val="nil"/>
                    <w:bottom w:val="single" w:color="000000" w:sz="8" w:space="0"/>
                    <w:right w:val="single" w:color="000000" w:sz="8" w:space="0"/>
                  </w:tcBorders>
                  <w:shd w:val="clear" w:color="auto" w:fill="auto"/>
                  <w:vAlign w:val="center"/>
                </w:tcPr>
                <w:p w14:paraId="574045EC">
                  <w:pPr>
                    <w:pStyle w:val="23"/>
                    <w:bidi w:val="0"/>
                    <w:rPr>
                      <w:color w:val="auto"/>
                    </w:rPr>
                  </w:pPr>
                  <w:r>
                    <w:rPr>
                      <w:color w:val="auto"/>
                    </w:rPr>
                    <w:t>17</w:t>
                  </w:r>
                </w:p>
              </w:tc>
              <w:tc>
                <w:tcPr>
                  <w:tcW w:w="4006" w:type="dxa"/>
                  <w:tcBorders>
                    <w:top w:val="nil"/>
                    <w:left w:val="nil"/>
                    <w:bottom w:val="single" w:color="000000" w:sz="8" w:space="0"/>
                    <w:right w:val="single" w:color="000000" w:sz="8" w:space="0"/>
                  </w:tcBorders>
                  <w:shd w:val="clear" w:color="auto" w:fill="auto"/>
                  <w:vAlign w:val="center"/>
                </w:tcPr>
                <w:p w14:paraId="6B5D911C">
                  <w:pPr>
                    <w:pStyle w:val="23"/>
                    <w:bidi w:val="0"/>
                    <w:jc w:val="both"/>
                    <w:rPr>
                      <w:rFonts w:hint="default"/>
                      <w:color w:val="auto"/>
                      <w:lang w:val="en-US" w:eastAsia="zh-CN"/>
                    </w:rPr>
                  </w:pPr>
                  <w:r>
                    <w:rPr>
                      <w:rFonts w:hint="default"/>
                      <w:color w:val="auto"/>
                      <w:lang w:val="en-US" w:eastAsia="zh-CN"/>
                    </w:rPr>
                    <w:t>禁止新建、扩建不符合要求的高耗能、高排放、低水平项目。</w:t>
                  </w:r>
                </w:p>
              </w:tc>
              <w:tc>
                <w:tcPr>
                  <w:tcW w:w="1995" w:type="dxa"/>
                  <w:tcBorders>
                    <w:top w:val="nil"/>
                    <w:left w:val="nil"/>
                    <w:bottom w:val="single" w:color="000000" w:sz="8" w:space="0"/>
                    <w:right w:val="single" w:color="000000" w:sz="8" w:space="0"/>
                  </w:tcBorders>
                  <w:shd w:val="clear" w:color="auto" w:fill="auto"/>
                  <w:vAlign w:val="center"/>
                </w:tcPr>
                <w:p w14:paraId="135593F1">
                  <w:pPr>
                    <w:pStyle w:val="23"/>
                    <w:bidi w:val="0"/>
                    <w:jc w:val="both"/>
                    <w:rPr>
                      <w:rFonts w:hint="default"/>
                      <w:color w:val="auto"/>
                      <w:lang w:val="en-US"/>
                    </w:rPr>
                  </w:pPr>
                  <w:r>
                    <w:rPr>
                      <w:rFonts w:hint="eastAsia"/>
                      <w:color w:val="auto"/>
                      <w:lang w:val="en-US" w:eastAsia="zh-CN"/>
                    </w:rPr>
                    <w:t>本项目为城市道路建设项目，不属于高耗能、高排放、低水平项目。</w:t>
                  </w:r>
                </w:p>
              </w:tc>
              <w:tc>
                <w:tcPr>
                  <w:tcW w:w="898" w:type="dxa"/>
                  <w:tcBorders>
                    <w:top w:val="nil"/>
                    <w:left w:val="nil"/>
                    <w:bottom w:val="single" w:color="000000" w:sz="8" w:space="0"/>
                    <w:right w:val="nil"/>
                  </w:tcBorders>
                  <w:shd w:val="clear" w:color="auto" w:fill="auto"/>
                  <w:vAlign w:val="center"/>
                </w:tcPr>
                <w:p w14:paraId="434C87A0">
                  <w:pPr>
                    <w:pStyle w:val="23"/>
                    <w:bidi w:val="0"/>
                    <w:rPr>
                      <w:color w:val="auto"/>
                    </w:rPr>
                  </w:pPr>
                  <w:r>
                    <w:rPr>
                      <w:color w:val="auto"/>
                    </w:rPr>
                    <w:t>符合</w:t>
                  </w:r>
                </w:p>
              </w:tc>
            </w:tr>
          </w:tbl>
          <w:p w14:paraId="2E8972EC">
            <w:pPr>
              <w:pStyle w:val="21"/>
              <w:bidi w:val="0"/>
              <w:rPr>
                <w:color w:val="auto"/>
              </w:rPr>
            </w:pPr>
            <w:r>
              <w:rPr>
                <w:rFonts w:hint="eastAsia"/>
                <w:color w:val="auto"/>
                <w:lang w:val="en-US" w:eastAsia="zh-CN"/>
              </w:rPr>
              <w:t>综上分析，</w:t>
            </w:r>
            <w:r>
              <w:rPr>
                <w:rFonts w:hint="eastAsia"/>
                <w:color w:val="auto"/>
              </w:rPr>
              <w:t>本项目</w:t>
            </w:r>
            <w:r>
              <w:rPr>
                <w:rFonts w:hint="eastAsia"/>
                <w:color w:val="auto"/>
                <w:lang w:val="en-US" w:eastAsia="zh-CN"/>
              </w:rPr>
              <w:t>符合《四川省、重庆市长江经济带发展负面清单实施细则（试行，2022年版）》（川长江办〔2022〕17号）要求</w:t>
            </w:r>
            <w:r>
              <w:rPr>
                <w:rFonts w:hint="eastAsia"/>
                <w:color w:val="auto"/>
              </w:rPr>
              <w:t>。</w:t>
            </w:r>
          </w:p>
          <w:p w14:paraId="44038744">
            <w:pPr>
              <w:rPr>
                <w:b/>
                <w:bCs/>
                <w:caps/>
                <w:color w:val="auto"/>
              </w:rPr>
            </w:pPr>
          </w:p>
        </w:tc>
      </w:tr>
    </w:tbl>
    <w:p w14:paraId="7A779107">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4739AA5">
      <w:pPr>
        <w:pStyle w:val="2"/>
        <w:spacing w:after="312"/>
        <w:rPr>
          <w:color w:val="auto"/>
        </w:rPr>
      </w:pPr>
      <w:r>
        <w:rPr>
          <w:rFonts w:hint="eastAsia"/>
          <w:color w:val="auto"/>
        </w:rPr>
        <w:t>建设内容</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55"/>
        <w:gridCol w:w="8495"/>
      </w:tblGrid>
      <w:tr w14:paraId="577ED3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5" w:type="dxa"/>
            <w:vAlign w:val="center"/>
          </w:tcPr>
          <w:p w14:paraId="2E02C0C6">
            <w:pPr>
              <w:rPr>
                <w:rFonts w:hint="eastAsia"/>
                <w:color w:val="auto"/>
              </w:rPr>
            </w:pPr>
            <w:r>
              <w:rPr>
                <w:rFonts w:hint="eastAsia"/>
                <w:color w:val="auto"/>
              </w:rPr>
              <w:t>地理位置</w:t>
            </w:r>
          </w:p>
        </w:tc>
        <w:tc>
          <w:tcPr>
            <w:tcW w:w="8495" w:type="dxa"/>
            <w:vAlign w:val="center"/>
          </w:tcPr>
          <w:p w14:paraId="1972BF5F">
            <w:pPr>
              <w:pStyle w:val="21"/>
              <w:bidi w:val="0"/>
              <w:jc w:val="both"/>
              <w:rPr>
                <w:rFonts w:hint="eastAsia"/>
                <w:color w:val="auto"/>
                <w:lang w:val="en-US" w:eastAsia="zh-CN"/>
              </w:rPr>
            </w:pPr>
            <w:r>
              <w:rPr>
                <w:rFonts w:hint="eastAsia"/>
                <w:color w:val="auto"/>
                <w:lang w:val="en-US" w:eastAsia="zh-CN"/>
              </w:rPr>
              <w:t>本</w:t>
            </w:r>
            <w:r>
              <w:rPr>
                <w:rFonts w:hint="eastAsia"/>
                <w:color w:val="auto"/>
              </w:rPr>
              <w:t>项目位于奉节县夔州街道胡家社区、冒峰社区</w:t>
            </w:r>
            <w:r>
              <w:rPr>
                <w:rFonts w:hint="eastAsia"/>
                <w:color w:val="auto"/>
                <w:lang w:eastAsia="zh-CN"/>
              </w:rPr>
              <w:t>。</w:t>
            </w:r>
            <w:r>
              <w:rPr>
                <w:rFonts w:hint="eastAsia"/>
                <w:color w:val="auto"/>
                <w:lang w:val="en-US" w:eastAsia="zh-CN"/>
              </w:rPr>
              <w:t>1号桥为城市次干路，起点接甘溪街，向东跨甘溪沟后终点接万达车库出入口，路线长52.009</w:t>
            </w:r>
            <w:r>
              <w:rPr>
                <w:rFonts w:hint="default" w:ascii="Times New Roman" w:hAnsi="Times New Roman" w:cs="Times New Roman"/>
                <w:color w:val="auto"/>
                <w:lang w:val="en-US" w:eastAsia="zh-CN"/>
              </w:rPr>
              <w:t>m</w:t>
            </w:r>
            <w:r>
              <w:rPr>
                <w:rFonts w:hint="eastAsia"/>
                <w:color w:val="auto"/>
                <w:lang w:val="en-US" w:eastAsia="zh-CN"/>
              </w:rPr>
              <w:t>；2号桥为人行桥，起点接甘溪街，向东跨甘溪沟后终点接万达地面广场，桥长27m；连接道路为城市支路，起点接万胜路辅道，向南延伸，终点与夔州西路相交，路线长298.327m。</w:t>
            </w:r>
          </w:p>
          <w:p w14:paraId="1B79B908">
            <w:pPr>
              <w:pStyle w:val="21"/>
              <w:bidi w:val="0"/>
              <w:jc w:val="both"/>
              <w:rPr>
                <w:color w:val="auto"/>
              </w:rPr>
            </w:pPr>
            <w:r>
              <w:rPr>
                <w:rFonts w:hint="eastAsia"/>
                <w:color w:val="auto"/>
                <w:lang w:val="en-US" w:eastAsia="zh-CN"/>
              </w:rPr>
              <w:t>项目</w:t>
            </w:r>
            <w:r>
              <w:rPr>
                <w:color w:val="auto"/>
              </w:rPr>
              <w:t>地理位置见附图</w:t>
            </w:r>
            <w:r>
              <w:rPr>
                <w:rFonts w:hint="eastAsia"/>
                <w:color w:val="auto"/>
                <w:lang w:val="en-US" w:eastAsia="zh-CN"/>
              </w:rPr>
              <w:t>1</w:t>
            </w:r>
            <w:r>
              <w:rPr>
                <w:color w:val="auto"/>
              </w:rPr>
              <w:t>。</w:t>
            </w:r>
          </w:p>
        </w:tc>
      </w:tr>
      <w:tr w14:paraId="1D9BD6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84" w:hRule="atLeast"/>
        </w:trPr>
        <w:tc>
          <w:tcPr>
            <w:tcW w:w="555" w:type="dxa"/>
            <w:vAlign w:val="center"/>
          </w:tcPr>
          <w:p w14:paraId="0CB3CB79">
            <w:pPr>
              <w:rPr>
                <w:color w:val="auto"/>
              </w:rPr>
            </w:pPr>
            <w:r>
              <w:rPr>
                <w:rFonts w:hint="eastAsia"/>
                <w:color w:val="auto"/>
              </w:rPr>
              <w:t>项目组成及规模</w:t>
            </w:r>
          </w:p>
        </w:tc>
        <w:tc>
          <w:tcPr>
            <w:tcW w:w="8495" w:type="dxa"/>
            <w:vAlign w:val="center"/>
          </w:tcPr>
          <w:p w14:paraId="60F32979">
            <w:pPr>
              <w:pStyle w:val="3"/>
              <w:rPr>
                <w:color w:val="auto"/>
              </w:rPr>
            </w:pPr>
            <w:r>
              <w:rPr>
                <w:rFonts w:hint="eastAsia"/>
                <w:color w:val="auto"/>
                <w:lang w:val="en-US" w:eastAsia="zh-CN"/>
              </w:rPr>
              <w:t>项目由来</w:t>
            </w:r>
          </w:p>
          <w:p w14:paraId="1F74E869">
            <w:pPr>
              <w:pStyle w:val="21"/>
              <w:bidi w:val="0"/>
              <w:jc w:val="both"/>
              <w:rPr>
                <w:rFonts w:hint="eastAsia"/>
                <w:color w:val="auto"/>
              </w:rPr>
            </w:pPr>
            <w:r>
              <w:rPr>
                <w:rFonts w:hint="eastAsia"/>
                <w:color w:val="auto"/>
              </w:rPr>
              <w:t>奉节西部新区的定位是建成“现代宜居城市”和“未来奉节城市中心”</w:t>
            </w:r>
            <w:r>
              <w:rPr>
                <w:rFonts w:hint="eastAsia"/>
                <w:color w:val="auto"/>
                <w:lang w:eastAsia="zh-CN"/>
              </w:rPr>
              <w:t>，</w:t>
            </w:r>
            <w:r>
              <w:rPr>
                <w:rFonts w:hint="eastAsia"/>
                <w:color w:val="auto"/>
              </w:rPr>
              <w:t>集生态、旅游、休闲、居住为一体。同时，奉节西部新区也是渝鄂陕边区区域性中心城市的核心区及三峡库区旅游接待基地。随着郑万高铁的实施，依托高铁枢纽站为中心，西部新区的基础设施建设面临着空前良好的局面。项目位于奉节县西部新区夔州街道，万胜路以南、甘溪街以东、夔州西路以北、冒峰街以西。随着万达广场的建设，急需在周边道路增加车行及人行出入通道，解决地块出行问题，故本项目的建设迫在眉睫。</w:t>
            </w:r>
          </w:p>
          <w:p w14:paraId="1B413608">
            <w:pPr>
              <w:pStyle w:val="21"/>
              <w:bidi w:val="0"/>
              <w:jc w:val="both"/>
              <w:rPr>
                <w:rFonts w:hint="default"/>
                <w:color w:val="auto"/>
                <w:lang w:eastAsia="zh-CN"/>
              </w:rPr>
            </w:pPr>
            <w:r>
              <w:rPr>
                <w:rFonts w:hint="eastAsia"/>
                <w:color w:val="auto"/>
                <w:lang w:val="en-US" w:eastAsia="zh-CN"/>
              </w:rPr>
              <w:t>因此，中交一公局重庆奉节建设有限公司拟投资3267.56万元，在奉节县西部新区夔州街道建设“奉节县夔州街道魏家社区移民安置区人居环境改善工程（周边配套项目）”（以下简称“本项目”），以完善万达广场周边路网。项目于2022年12月取得了奉节县发展和改革委员会《关于同意奉节高铁生态城纵三路以东路网完善工程立项的批复》（奉节发改投〔2022〕809号），本项目属于奉节高铁生态城纵三路以东路网完善工程的子项工程，即新建甘溪沟万达广场周边配套设施道路约684.8m。2023年7月完成了《奉节县夔州街道魏家社区移民安置区人居环境改善工程（周边配套项目）初步设计》，根据区域路网规划及初步设计，该子项工程实际建设内容及规模由“新建甘溪沟万达广场周边配套设施道路约684.8m”调整为“主要建设城市次干路1号桥，路线长52.009m；人行桥2号桥，桥长27m；以及城市支路连接道路，路线长298.327m”，立项情况说明见附件1-2。2024年8月取得了《奉节县住房和城乡建设委员会关于奉节高铁生态城纵三路以东路网完善工程—奉节县夔州街道魏家社区移民安置区人居环境改善工程（周边配套项目)初步设计的批复》（奉节住建委发〔2024〕149号）。2024年5月取得了重庆市奉节县规划和自然资源局《建设项目用地预审与选址意见书》（用字第市政500236202400006号）</w:t>
            </w:r>
            <w:r>
              <w:rPr>
                <w:rFonts w:hint="default"/>
                <w:color w:val="auto"/>
                <w:lang w:eastAsia="zh-CN"/>
              </w:rPr>
              <w:t>。</w:t>
            </w:r>
            <w:r>
              <w:rPr>
                <w:rFonts w:hint="eastAsia"/>
                <w:color w:val="auto"/>
                <w:lang w:val="en-US" w:eastAsia="zh-CN"/>
              </w:rPr>
              <w:t>项目</w:t>
            </w:r>
            <w:r>
              <w:rPr>
                <w:rFonts w:hint="default"/>
                <w:color w:val="auto"/>
                <w:lang w:eastAsia="zh-CN"/>
              </w:rPr>
              <w:t>实际</w:t>
            </w:r>
            <w:r>
              <w:rPr>
                <w:rFonts w:hint="eastAsia"/>
                <w:color w:val="auto"/>
                <w:lang w:val="en-US" w:eastAsia="zh-CN"/>
              </w:rPr>
              <w:t>总用地面积5964.56m</w:t>
            </w:r>
            <w:r>
              <w:rPr>
                <w:rFonts w:hint="eastAsia"/>
                <w:color w:val="auto"/>
                <w:vertAlign w:val="superscript"/>
                <w:lang w:val="en-US" w:eastAsia="zh-CN"/>
              </w:rPr>
              <w:t>2</w:t>
            </w:r>
            <w:r>
              <w:rPr>
                <w:rFonts w:hint="eastAsia"/>
                <w:color w:val="auto"/>
                <w:lang w:val="en-US" w:eastAsia="zh-CN"/>
              </w:rPr>
              <w:t>，其中1号桥和2号桥用地面积2843m</w:t>
            </w:r>
            <w:r>
              <w:rPr>
                <w:rFonts w:hint="eastAsia"/>
                <w:color w:val="auto"/>
                <w:vertAlign w:val="superscript"/>
                <w:lang w:val="en-US" w:eastAsia="zh-CN"/>
              </w:rPr>
              <w:t>2</w:t>
            </w:r>
            <w:r>
              <w:rPr>
                <w:rFonts w:hint="eastAsia"/>
                <w:color w:val="auto"/>
                <w:lang w:val="en-US" w:eastAsia="zh-CN"/>
              </w:rPr>
              <w:t>，连接道路用地面积3121.56m</w:t>
            </w:r>
            <w:r>
              <w:rPr>
                <w:rFonts w:hint="eastAsia"/>
                <w:color w:val="auto"/>
                <w:vertAlign w:val="superscript"/>
                <w:lang w:val="en-US" w:eastAsia="zh-CN"/>
              </w:rPr>
              <w:t>2</w:t>
            </w:r>
            <w:r>
              <w:rPr>
                <w:rFonts w:hint="eastAsia"/>
                <w:color w:val="auto"/>
                <w:lang w:val="en-US" w:eastAsia="zh-CN"/>
              </w:rPr>
              <w:t>已出让给重庆飞洋控股（集团）有限公司</w:t>
            </w:r>
            <w:r>
              <w:rPr>
                <w:rFonts w:hint="default"/>
                <w:color w:val="auto"/>
                <w:lang w:eastAsia="zh-CN"/>
              </w:rPr>
              <w:t>，本次仅负责建设，故用地预审与选址意见书拟用地面积仅为</w:t>
            </w:r>
            <w:r>
              <w:rPr>
                <w:rFonts w:hint="default"/>
                <w:color w:val="auto"/>
                <w:lang w:val="en-US" w:eastAsia="zh-CN"/>
              </w:rPr>
              <w:t>1号桥和2号桥用地面积</w:t>
            </w:r>
            <w:r>
              <w:rPr>
                <w:rFonts w:hint="default"/>
                <w:color w:val="auto"/>
                <w:lang w:eastAsia="zh-CN"/>
              </w:rPr>
              <w:t>2843m</w:t>
            </w:r>
            <w:r>
              <w:rPr>
                <w:rFonts w:hint="default"/>
                <w:color w:val="auto"/>
                <w:vertAlign w:val="superscript"/>
                <w:lang w:eastAsia="zh-CN"/>
              </w:rPr>
              <w:t>2</w:t>
            </w:r>
            <w:r>
              <w:rPr>
                <w:rFonts w:hint="default"/>
                <w:color w:val="auto"/>
                <w:lang w:eastAsia="zh-CN"/>
              </w:rPr>
              <w:t>。</w:t>
            </w:r>
          </w:p>
          <w:p w14:paraId="605F462E">
            <w:pPr>
              <w:pStyle w:val="21"/>
              <w:bidi w:val="0"/>
              <w:jc w:val="both"/>
              <w:rPr>
                <w:rFonts w:hint="default"/>
                <w:color w:val="auto"/>
              </w:rPr>
            </w:pPr>
            <w:r>
              <w:rPr>
                <w:rFonts w:hint="default"/>
                <w:color w:val="auto"/>
              </w:rPr>
              <w:t>根据《建设项目环境影响评价分类管理名录（2021年版）》（生态环境部令第16号），本项目属于“</w:t>
            </w:r>
            <w:r>
              <w:rPr>
                <w:rFonts w:hint="default"/>
                <w:color w:val="auto"/>
                <w:lang w:val="en-US" w:eastAsia="zh-CN"/>
              </w:rPr>
              <w:t>五十二、交通运输业、管道运输业</w:t>
            </w:r>
            <w:r>
              <w:rPr>
                <w:rFonts w:hint="default"/>
                <w:color w:val="auto"/>
              </w:rPr>
              <w:t>”中“</w:t>
            </w:r>
            <w:r>
              <w:rPr>
                <w:rFonts w:hint="default"/>
                <w:color w:val="auto"/>
                <w:lang w:val="en-US" w:eastAsia="zh-CN"/>
              </w:rPr>
              <w:t>131城市道路（不含维护；不含支路、人行天桥、人行地道）</w:t>
            </w:r>
            <w:r>
              <w:rPr>
                <w:rFonts w:hint="default"/>
                <w:color w:val="auto"/>
              </w:rPr>
              <w:t>”</w:t>
            </w:r>
            <w:r>
              <w:rPr>
                <w:rFonts w:hint="eastAsia"/>
                <w:color w:val="auto"/>
                <w:lang w:val="en-US" w:eastAsia="zh-CN"/>
              </w:rPr>
              <w:t>中“城市桥梁”</w:t>
            </w:r>
            <w:r>
              <w:rPr>
                <w:rFonts w:hint="default"/>
                <w:color w:val="auto"/>
                <w:lang w:eastAsia="zh-CN"/>
              </w:rPr>
              <w:t>，</w:t>
            </w:r>
            <w:r>
              <w:rPr>
                <w:rFonts w:hint="default"/>
                <w:color w:val="auto"/>
              </w:rPr>
              <w:t>应当编制环境影响报告表，</w:t>
            </w:r>
            <w:r>
              <w:rPr>
                <w:rFonts w:hint="default"/>
                <w:color w:val="auto"/>
                <w:lang w:val="en-US" w:eastAsia="zh-CN"/>
              </w:rPr>
              <w:t>中交一公局重庆奉节建设有限公司</w:t>
            </w:r>
            <w:r>
              <w:rPr>
                <w:rFonts w:hint="default"/>
                <w:color w:val="auto"/>
              </w:rPr>
              <w:t>委托我公司承担该项目的环境影响评价工作，编制完成了《</w:t>
            </w:r>
            <w:r>
              <w:rPr>
                <w:rFonts w:hint="default"/>
                <w:color w:val="auto"/>
                <w:lang w:val="en-US" w:eastAsia="zh-CN"/>
              </w:rPr>
              <w:t>奉节高铁生态纵三路以东路网完善工程—奉节县夔州街道魏家社区移民安置区人居环境改善工程（周边配套项目）</w:t>
            </w:r>
            <w:r>
              <w:rPr>
                <w:rFonts w:hint="eastAsia"/>
                <w:color w:val="auto"/>
                <w:lang w:val="en-US" w:eastAsia="zh-CN"/>
              </w:rPr>
              <w:t>环</w:t>
            </w:r>
            <w:r>
              <w:rPr>
                <w:rFonts w:hint="default"/>
                <w:color w:val="auto"/>
              </w:rPr>
              <w:t>境影响报告表》。</w:t>
            </w:r>
          </w:p>
          <w:p w14:paraId="6D1AED94">
            <w:pPr>
              <w:pStyle w:val="3"/>
              <w:rPr>
                <w:color w:val="auto"/>
              </w:rPr>
            </w:pPr>
            <w:r>
              <w:rPr>
                <w:rFonts w:hint="eastAsia"/>
                <w:color w:val="auto"/>
              </w:rPr>
              <w:t>建设内容</w:t>
            </w:r>
          </w:p>
          <w:p w14:paraId="12FE8BF9">
            <w:pPr>
              <w:pStyle w:val="4"/>
              <w:rPr>
                <w:color w:val="auto"/>
              </w:rPr>
            </w:pPr>
            <w:r>
              <w:rPr>
                <w:rFonts w:hint="eastAsia"/>
                <w:color w:val="auto"/>
              </w:rPr>
              <w:t>项目</w:t>
            </w:r>
            <w:r>
              <w:rPr>
                <w:rFonts w:hint="eastAsia"/>
                <w:color w:val="auto"/>
                <w:lang w:val="en-US" w:eastAsia="zh-CN"/>
              </w:rPr>
              <w:t>基本情况</w:t>
            </w:r>
          </w:p>
          <w:p w14:paraId="6DFD3C24">
            <w:pPr>
              <w:pStyle w:val="21"/>
              <w:rPr>
                <w:color w:val="auto"/>
              </w:rPr>
            </w:pPr>
            <w:r>
              <w:rPr>
                <w:rFonts w:hint="eastAsia"/>
                <w:color w:val="auto"/>
              </w:rPr>
              <w:t>项目名称：奉节</w:t>
            </w:r>
            <w:r>
              <w:rPr>
                <w:rFonts w:hint="eastAsia"/>
                <w:color w:val="auto"/>
                <w:lang w:val="en-US" w:eastAsia="zh-CN"/>
              </w:rPr>
              <w:t>高铁生态纵三路以东路网完善工程—</w:t>
            </w:r>
            <w:r>
              <w:rPr>
                <w:rFonts w:hint="eastAsia"/>
                <w:color w:val="auto"/>
              </w:rPr>
              <w:t>奉节县夔州街道魏家社区移民安置区人居环境改善工程（周边配套项目）；</w:t>
            </w:r>
          </w:p>
          <w:p w14:paraId="3F691DD1">
            <w:pPr>
              <w:pStyle w:val="21"/>
              <w:rPr>
                <w:color w:val="auto"/>
              </w:rPr>
            </w:pPr>
            <w:r>
              <w:rPr>
                <w:rFonts w:hint="eastAsia"/>
                <w:color w:val="auto"/>
              </w:rPr>
              <w:t>建设单位：</w:t>
            </w:r>
            <w:r>
              <w:rPr>
                <w:rFonts w:hint="eastAsia"/>
                <w:color w:val="auto"/>
                <w:lang w:val="en-US" w:eastAsia="zh-CN"/>
              </w:rPr>
              <w:t>中交一公局重庆奉节建设有限公司</w:t>
            </w:r>
            <w:r>
              <w:rPr>
                <w:rFonts w:hint="eastAsia"/>
                <w:color w:val="auto"/>
              </w:rPr>
              <w:t>；</w:t>
            </w:r>
          </w:p>
          <w:p w14:paraId="147D384A">
            <w:pPr>
              <w:pStyle w:val="21"/>
              <w:rPr>
                <w:color w:val="auto"/>
              </w:rPr>
            </w:pPr>
            <w:r>
              <w:rPr>
                <w:rFonts w:hint="eastAsia"/>
                <w:color w:val="auto"/>
              </w:rPr>
              <w:t>建设地点：奉节县夔州街道胡家社区、冒峰社区；</w:t>
            </w:r>
          </w:p>
          <w:p w14:paraId="1470D1A1">
            <w:pPr>
              <w:pStyle w:val="21"/>
              <w:rPr>
                <w:color w:val="auto"/>
              </w:rPr>
            </w:pPr>
            <w:r>
              <w:rPr>
                <w:rFonts w:hint="eastAsia"/>
                <w:color w:val="auto"/>
              </w:rPr>
              <w:t>建设性质：新建；</w:t>
            </w:r>
          </w:p>
          <w:p w14:paraId="327385A8">
            <w:pPr>
              <w:pStyle w:val="21"/>
              <w:rPr>
                <w:color w:val="auto"/>
              </w:rPr>
            </w:pPr>
            <w:r>
              <w:rPr>
                <w:rFonts w:hint="eastAsia"/>
                <w:color w:val="auto"/>
              </w:rPr>
              <w:t>项目投资：总投资</w:t>
            </w:r>
            <w:r>
              <w:rPr>
                <w:rFonts w:hint="eastAsia"/>
                <w:color w:val="auto"/>
                <w:lang w:val="en-US" w:eastAsia="zh-CN"/>
              </w:rPr>
              <w:t>3267.56</w:t>
            </w:r>
            <w:r>
              <w:rPr>
                <w:rFonts w:hint="eastAsia"/>
                <w:color w:val="auto"/>
              </w:rPr>
              <w:t>万元，其中环保投资5</w:t>
            </w:r>
            <w:r>
              <w:rPr>
                <w:rFonts w:hint="eastAsia"/>
                <w:color w:val="auto"/>
                <w:lang w:val="en-US" w:eastAsia="zh-CN"/>
              </w:rPr>
              <w:t>2.0</w:t>
            </w:r>
            <w:r>
              <w:rPr>
                <w:rFonts w:hint="eastAsia"/>
                <w:color w:val="auto"/>
              </w:rPr>
              <w:t>万元，占总投资的</w:t>
            </w:r>
            <w:r>
              <w:rPr>
                <w:rFonts w:hint="eastAsia"/>
                <w:color w:val="auto"/>
                <w:lang w:val="en-US" w:eastAsia="zh-CN"/>
              </w:rPr>
              <w:t>1.59</w:t>
            </w:r>
            <w:r>
              <w:rPr>
                <w:rFonts w:hint="eastAsia"/>
                <w:color w:val="auto"/>
              </w:rPr>
              <w:t>%；</w:t>
            </w:r>
          </w:p>
          <w:p w14:paraId="194E1425">
            <w:pPr>
              <w:pStyle w:val="21"/>
              <w:rPr>
                <w:color w:val="auto"/>
              </w:rPr>
            </w:pPr>
            <w:r>
              <w:rPr>
                <w:rFonts w:hint="eastAsia"/>
                <w:color w:val="auto"/>
              </w:rPr>
              <w:t>施工工期：预计建设周期</w:t>
            </w:r>
            <w:r>
              <w:rPr>
                <w:rFonts w:hint="eastAsia"/>
                <w:color w:val="auto"/>
                <w:lang w:val="en-US" w:eastAsia="zh-CN"/>
              </w:rPr>
              <w:t>12</w:t>
            </w:r>
            <w:r>
              <w:rPr>
                <w:rFonts w:hint="eastAsia"/>
                <w:color w:val="auto"/>
              </w:rPr>
              <w:t>个月；</w:t>
            </w:r>
          </w:p>
          <w:p w14:paraId="06FD14E8">
            <w:pPr>
              <w:pStyle w:val="21"/>
              <w:jc w:val="both"/>
              <w:rPr>
                <w:rFonts w:hint="eastAsia"/>
                <w:color w:val="auto"/>
                <w:lang w:val="en-US" w:eastAsia="zh-CN"/>
              </w:rPr>
            </w:pPr>
            <w:r>
              <w:rPr>
                <w:rFonts w:hint="eastAsia"/>
                <w:color w:val="auto"/>
              </w:rPr>
              <w:t>建设内容及规模：包含新建桥梁2座</w:t>
            </w:r>
            <w:r>
              <w:rPr>
                <w:rFonts w:hint="eastAsia"/>
                <w:color w:val="auto"/>
                <w:lang w:eastAsia="zh-CN"/>
              </w:rPr>
              <w:t>、</w:t>
            </w:r>
            <w:r>
              <w:rPr>
                <w:rFonts w:hint="eastAsia"/>
                <w:color w:val="auto"/>
                <w:lang w:val="en-US" w:eastAsia="zh-CN"/>
              </w:rPr>
              <w:t>连接道路</w:t>
            </w:r>
            <w:r>
              <w:rPr>
                <w:rFonts w:hint="eastAsia"/>
                <w:color w:val="auto"/>
                <w:lang w:eastAsia="zh-CN"/>
              </w:rPr>
              <w:t>，</w:t>
            </w:r>
            <w:r>
              <w:rPr>
                <w:rFonts w:hint="eastAsia"/>
                <w:color w:val="auto"/>
                <w:lang w:val="en-US" w:eastAsia="zh-CN"/>
              </w:rPr>
              <w:t>其中1号桥为城市次干路，设计速度30km/h，双向四车道，路线长52.009m，包含1座27m长的现浇简支预应力混凝土箱梁桥；2号桥为人行桥，桥长27m；连接道路为城市支路，设计速度20km/h，双向两车道，路线长298.327m。</w:t>
            </w:r>
          </w:p>
          <w:p w14:paraId="25FF8909">
            <w:pPr>
              <w:pStyle w:val="4"/>
              <w:rPr>
                <w:rFonts w:hint="default"/>
                <w:color w:val="auto"/>
                <w:lang w:val="en-US"/>
              </w:rPr>
            </w:pPr>
            <w:r>
              <w:rPr>
                <w:rFonts w:hint="eastAsia"/>
                <w:color w:val="auto"/>
              </w:rPr>
              <w:t>项目</w:t>
            </w:r>
            <w:r>
              <w:rPr>
                <w:rFonts w:hint="eastAsia"/>
                <w:color w:val="auto"/>
                <w:lang w:val="en-US" w:eastAsia="zh-CN"/>
              </w:rPr>
              <w:t>组成</w:t>
            </w:r>
          </w:p>
          <w:p w14:paraId="60ABFADD">
            <w:pPr>
              <w:pStyle w:val="21"/>
              <w:jc w:val="both"/>
              <w:rPr>
                <w:color w:val="auto"/>
              </w:rPr>
            </w:pPr>
            <w:r>
              <w:rPr>
                <w:rFonts w:hint="eastAsia"/>
                <w:color w:val="auto"/>
              </w:rPr>
              <w:t>本项目</w:t>
            </w:r>
            <w:r>
              <w:rPr>
                <w:rFonts w:hint="eastAsia"/>
                <w:color w:val="auto"/>
                <w:lang w:val="en-US" w:eastAsia="zh-CN"/>
              </w:rPr>
              <w:t>主要建设内容</w:t>
            </w:r>
            <w:r>
              <w:rPr>
                <w:rFonts w:hint="eastAsia"/>
                <w:color w:val="auto"/>
                <w:lang w:eastAsia="zh-CN"/>
              </w:rPr>
              <w:t>见下表</w:t>
            </w:r>
            <w:r>
              <w:rPr>
                <w:rFonts w:hint="eastAsia"/>
                <w:color w:val="auto"/>
              </w:rPr>
              <w:t>。</w:t>
            </w:r>
          </w:p>
          <w:p w14:paraId="5502D38A">
            <w:pPr>
              <w:pStyle w:val="6"/>
              <w:spacing w:before="156"/>
              <w:rPr>
                <w:color w:val="auto"/>
              </w:rPr>
            </w:pPr>
            <w:r>
              <w:rPr>
                <w:rFonts w:hint="eastAsia"/>
                <w:color w:val="auto"/>
              </w:rPr>
              <w:t>项目主要建设内容一览表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157"/>
              <w:gridCol w:w="6493"/>
            </w:tblGrid>
            <w:tr w14:paraId="61B97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77" w:type="pct"/>
                  <w:gridSpan w:val="2"/>
                  <w:vAlign w:val="center"/>
                </w:tcPr>
                <w:p w14:paraId="6579532B">
                  <w:pPr>
                    <w:pStyle w:val="23"/>
                    <w:bidi w:val="0"/>
                    <w:rPr>
                      <w:color w:val="auto"/>
                    </w:rPr>
                  </w:pPr>
                  <w:r>
                    <w:rPr>
                      <w:rFonts w:hint="eastAsia"/>
                      <w:color w:val="auto"/>
                    </w:rPr>
                    <w:t>项目名称</w:t>
                  </w:r>
                </w:p>
              </w:tc>
              <w:tc>
                <w:tcPr>
                  <w:tcW w:w="3922" w:type="pct"/>
                  <w:vAlign w:val="center"/>
                </w:tcPr>
                <w:p w14:paraId="3143FDE2">
                  <w:pPr>
                    <w:pStyle w:val="23"/>
                    <w:bidi w:val="0"/>
                    <w:rPr>
                      <w:color w:val="auto"/>
                    </w:rPr>
                  </w:pPr>
                  <w:r>
                    <w:rPr>
                      <w:rFonts w:hint="eastAsia"/>
                      <w:color w:val="auto"/>
                    </w:rPr>
                    <w:t>建设内容</w:t>
                  </w:r>
                </w:p>
              </w:tc>
            </w:tr>
            <w:tr w14:paraId="1EED4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restart"/>
                  <w:vAlign w:val="center"/>
                </w:tcPr>
                <w:p w14:paraId="7C56A971">
                  <w:pPr>
                    <w:pStyle w:val="23"/>
                    <w:bidi w:val="0"/>
                    <w:rPr>
                      <w:color w:val="auto"/>
                    </w:rPr>
                  </w:pPr>
                  <w:r>
                    <w:rPr>
                      <w:rFonts w:hint="eastAsia"/>
                      <w:color w:val="auto"/>
                    </w:rPr>
                    <w:t>主体工程</w:t>
                  </w:r>
                </w:p>
              </w:tc>
              <w:tc>
                <w:tcPr>
                  <w:tcW w:w="699" w:type="pct"/>
                  <w:vAlign w:val="center"/>
                </w:tcPr>
                <w:p w14:paraId="5F18AD33">
                  <w:pPr>
                    <w:pStyle w:val="23"/>
                    <w:bidi w:val="0"/>
                    <w:rPr>
                      <w:color w:val="auto"/>
                    </w:rPr>
                  </w:pPr>
                  <w:r>
                    <w:rPr>
                      <w:rFonts w:hint="eastAsia"/>
                      <w:color w:val="auto"/>
                      <w:lang w:val="zh-CN"/>
                    </w:rPr>
                    <w:t>道路工程</w:t>
                  </w:r>
                </w:p>
              </w:tc>
              <w:tc>
                <w:tcPr>
                  <w:tcW w:w="3922" w:type="pct"/>
                  <w:vAlign w:val="center"/>
                </w:tcPr>
                <w:p w14:paraId="59B66EEC">
                  <w:pPr>
                    <w:pStyle w:val="23"/>
                    <w:bidi w:val="0"/>
                    <w:jc w:val="both"/>
                    <w:rPr>
                      <w:rFonts w:hint="default" w:eastAsia="宋体"/>
                      <w:color w:val="auto"/>
                      <w:lang w:val="en-US" w:eastAsia="zh-CN"/>
                    </w:rPr>
                  </w:pPr>
                  <w:r>
                    <w:rPr>
                      <w:rFonts w:hint="default" w:eastAsia="宋体"/>
                      <w:color w:val="auto"/>
                      <w:lang w:val="en-US" w:eastAsia="zh-CN"/>
                    </w:rPr>
                    <w:t>连接道路：起点接万胜路辅道，向南延伸，终点与夔州西路相交，路线长298.327m，起止点桩号为K0+000.000~K0+298.327，道路等级为城市支路，设计时速20km/h，路幅宽10.5m，双向两车道。</w:t>
                  </w:r>
                </w:p>
              </w:tc>
            </w:tr>
            <w:tr w14:paraId="528E6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49749DC8">
                  <w:pPr>
                    <w:pStyle w:val="23"/>
                    <w:bidi w:val="0"/>
                    <w:rPr>
                      <w:rFonts w:hint="eastAsia"/>
                      <w:color w:val="auto"/>
                    </w:rPr>
                  </w:pPr>
                </w:p>
              </w:tc>
              <w:tc>
                <w:tcPr>
                  <w:tcW w:w="699" w:type="pct"/>
                  <w:vMerge w:val="restart"/>
                  <w:vAlign w:val="center"/>
                </w:tcPr>
                <w:p w14:paraId="7A2884E2">
                  <w:pPr>
                    <w:pStyle w:val="23"/>
                    <w:bidi w:val="0"/>
                    <w:rPr>
                      <w:color w:val="auto"/>
                    </w:rPr>
                  </w:pPr>
                  <w:r>
                    <w:rPr>
                      <w:rFonts w:hint="eastAsia"/>
                      <w:color w:val="auto"/>
                      <w:lang w:val="zh-CN"/>
                    </w:rPr>
                    <w:t>桥梁工程</w:t>
                  </w:r>
                </w:p>
              </w:tc>
              <w:tc>
                <w:tcPr>
                  <w:tcW w:w="3922" w:type="pct"/>
                  <w:vAlign w:val="center"/>
                </w:tcPr>
                <w:p w14:paraId="316F7D1B">
                  <w:pPr>
                    <w:pStyle w:val="23"/>
                    <w:bidi w:val="0"/>
                    <w:jc w:val="both"/>
                    <w:rPr>
                      <w:rFonts w:hint="eastAsia"/>
                      <w:color w:val="auto"/>
                      <w:lang w:val="en-US" w:eastAsia="zh-CN"/>
                    </w:rPr>
                  </w:pPr>
                  <w:r>
                    <w:rPr>
                      <w:rFonts w:hint="default"/>
                      <w:color w:val="auto"/>
                    </w:rPr>
                    <w:t>1号桥</w:t>
                  </w:r>
                  <w:r>
                    <w:rPr>
                      <w:rFonts w:hint="eastAsia"/>
                      <w:color w:val="auto"/>
                      <w:lang w:eastAsia="zh-CN"/>
                    </w:rPr>
                    <w:t>：</w:t>
                  </w:r>
                  <w:r>
                    <w:rPr>
                      <w:rFonts w:hint="eastAsia"/>
                      <w:color w:val="auto"/>
                      <w:lang w:val="en-US" w:eastAsia="zh-CN"/>
                    </w:rPr>
                    <w:t>起点接甘溪街，向东跨甘溪沟后终点接万达车库出入口，路线长52.009m，起止点桩号为K0+000.000~K0+052.009，道路等级为城市次干路，设计时速30km/h，路幅宽34.30m，双向四车道。</w:t>
                  </w:r>
                </w:p>
                <w:p w14:paraId="536D1395">
                  <w:pPr>
                    <w:pStyle w:val="23"/>
                    <w:bidi w:val="0"/>
                    <w:jc w:val="both"/>
                    <w:rPr>
                      <w:rFonts w:hint="eastAsia" w:eastAsia="宋体"/>
                      <w:color w:val="auto"/>
                      <w:lang w:eastAsia="zh-CN"/>
                    </w:rPr>
                  </w:pPr>
                  <w:r>
                    <w:rPr>
                      <w:rFonts w:hint="eastAsia"/>
                      <w:color w:val="auto"/>
                      <w:lang w:val="en-US" w:eastAsia="zh-CN"/>
                    </w:rPr>
                    <w:t>其中桥梁由西向东跨越甘溪沟，桥梁起止点桩号为K0+018.033~K0+045.033，桥长27.0m，桥宽34.3m，一跨过河，跨径布置为1×25m，采用现浇简支预应力混凝土箱梁。</w:t>
                  </w:r>
                </w:p>
              </w:tc>
            </w:tr>
            <w:tr w14:paraId="75FC0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14EB86E5">
                  <w:pPr>
                    <w:pStyle w:val="23"/>
                    <w:bidi w:val="0"/>
                    <w:rPr>
                      <w:rFonts w:hint="eastAsia"/>
                      <w:color w:val="auto"/>
                    </w:rPr>
                  </w:pPr>
                </w:p>
              </w:tc>
              <w:tc>
                <w:tcPr>
                  <w:tcW w:w="699" w:type="pct"/>
                  <w:vMerge w:val="continue"/>
                  <w:vAlign w:val="center"/>
                </w:tcPr>
                <w:p w14:paraId="6280BF45">
                  <w:pPr>
                    <w:pStyle w:val="23"/>
                    <w:bidi w:val="0"/>
                    <w:rPr>
                      <w:rFonts w:hint="eastAsia"/>
                      <w:color w:val="auto"/>
                      <w:lang w:val="zh-CN"/>
                    </w:rPr>
                  </w:pPr>
                </w:p>
              </w:tc>
              <w:tc>
                <w:tcPr>
                  <w:tcW w:w="3922" w:type="pct"/>
                  <w:vAlign w:val="center"/>
                </w:tcPr>
                <w:p w14:paraId="5FA0933B">
                  <w:pPr>
                    <w:pStyle w:val="23"/>
                    <w:bidi w:val="0"/>
                    <w:jc w:val="both"/>
                    <w:rPr>
                      <w:rFonts w:hint="eastAsia" w:eastAsia="宋体"/>
                      <w:color w:val="auto"/>
                      <w:lang w:eastAsia="zh-CN"/>
                    </w:rPr>
                  </w:pPr>
                  <w:r>
                    <w:rPr>
                      <w:rFonts w:hint="default"/>
                      <w:color w:val="auto"/>
                    </w:rPr>
                    <w:t>2号桥</w:t>
                  </w:r>
                  <w:r>
                    <w:rPr>
                      <w:rFonts w:hint="eastAsia"/>
                      <w:color w:val="auto"/>
                      <w:lang w:eastAsia="zh-CN"/>
                    </w:rPr>
                    <w:t>：</w:t>
                  </w:r>
                  <w:r>
                    <w:rPr>
                      <w:rFonts w:hint="eastAsia"/>
                      <w:color w:val="auto"/>
                      <w:lang w:val="en-US" w:eastAsia="zh-CN"/>
                    </w:rPr>
                    <w:t>起点接甘溪街，向东跨甘溪沟后终点接万达地面广场，桥梁起止点桩号为K0+000.000~K0+027.000，桥长27.0m，桥宽49.0m，一跨过河，跨径布置为1×25m，采用现浇简支预应力混凝土箱梁。</w:t>
                  </w:r>
                </w:p>
              </w:tc>
            </w:tr>
            <w:tr w14:paraId="69CDE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74BF3FC5">
                  <w:pPr>
                    <w:pStyle w:val="23"/>
                    <w:bidi w:val="0"/>
                    <w:rPr>
                      <w:rFonts w:hint="eastAsia"/>
                      <w:color w:val="auto"/>
                    </w:rPr>
                  </w:pPr>
                </w:p>
              </w:tc>
              <w:tc>
                <w:tcPr>
                  <w:tcW w:w="699" w:type="pct"/>
                  <w:vAlign w:val="center"/>
                </w:tcPr>
                <w:p w14:paraId="6A6D48AE">
                  <w:pPr>
                    <w:pStyle w:val="23"/>
                    <w:bidi w:val="0"/>
                    <w:rPr>
                      <w:color w:val="auto"/>
                    </w:rPr>
                  </w:pPr>
                  <w:r>
                    <w:rPr>
                      <w:rFonts w:hint="eastAsia"/>
                      <w:color w:val="auto"/>
                      <w:lang w:val="zh-CN"/>
                    </w:rPr>
                    <w:t>交叉工程</w:t>
                  </w:r>
                </w:p>
              </w:tc>
              <w:tc>
                <w:tcPr>
                  <w:tcW w:w="3922" w:type="pct"/>
                  <w:vAlign w:val="center"/>
                </w:tcPr>
                <w:p w14:paraId="310A640D">
                  <w:pPr>
                    <w:pStyle w:val="23"/>
                    <w:bidi w:val="0"/>
                    <w:jc w:val="both"/>
                    <w:rPr>
                      <w:rFonts w:hint="default" w:eastAsia="宋体"/>
                      <w:color w:val="auto"/>
                      <w:lang w:val="en-US" w:eastAsia="zh-CN"/>
                    </w:rPr>
                  </w:pPr>
                  <w:r>
                    <w:rPr>
                      <w:rFonts w:hint="default"/>
                      <w:color w:val="auto"/>
                    </w:rPr>
                    <w:t>共有3处交叉口</w:t>
                  </w:r>
                  <w:r>
                    <w:rPr>
                      <w:rFonts w:hint="eastAsia"/>
                      <w:color w:val="auto"/>
                      <w:lang w:eastAsia="zh-CN"/>
                    </w:rPr>
                    <w:t>，</w:t>
                  </w:r>
                  <w:r>
                    <w:rPr>
                      <w:rFonts w:hint="eastAsia"/>
                      <w:color w:val="auto"/>
                      <w:lang w:val="en-US" w:eastAsia="zh-CN"/>
                    </w:rPr>
                    <w:t>分别为1号桥与甘溪街交叉口、连接道路与万胜路辅道交叉口、连接道路与夔州西路交叉口，均为T形平交。</w:t>
                  </w:r>
                </w:p>
              </w:tc>
            </w:tr>
            <w:tr w14:paraId="0C93E2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restart"/>
                  <w:vAlign w:val="center"/>
                </w:tcPr>
                <w:p w14:paraId="4F05DB4E">
                  <w:pPr>
                    <w:pStyle w:val="23"/>
                    <w:bidi w:val="0"/>
                    <w:rPr>
                      <w:color w:val="auto"/>
                    </w:rPr>
                  </w:pPr>
                  <w:r>
                    <w:rPr>
                      <w:rFonts w:hint="eastAsia"/>
                      <w:color w:val="auto"/>
                    </w:rPr>
                    <w:t>辅助工程</w:t>
                  </w:r>
                </w:p>
              </w:tc>
              <w:tc>
                <w:tcPr>
                  <w:tcW w:w="699" w:type="pct"/>
                  <w:vAlign w:val="center"/>
                </w:tcPr>
                <w:p w14:paraId="06BBD5DF">
                  <w:pPr>
                    <w:pStyle w:val="23"/>
                    <w:bidi w:val="0"/>
                    <w:rPr>
                      <w:color w:val="auto"/>
                    </w:rPr>
                  </w:pPr>
                  <w:r>
                    <w:rPr>
                      <w:rFonts w:hint="eastAsia"/>
                      <w:color w:val="auto"/>
                      <w:lang w:val="en-US" w:eastAsia="zh-CN"/>
                    </w:rPr>
                    <w:t>给</w:t>
                  </w:r>
                  <w:r>
                    <w:rPr>
                      <w:rFonts w:hint="eastAsia"/>
                      <w:color w:val="auto"/>
                    </w:rPr>
                    <w:t>排水工程</w:t>
                  </w:r>
                </w:p>
              </w:tc>
              <w:tc>
                <w:tcPr>
                  <w:tcW w:w="3922" w:type="pct"/>
                  <w:vAlign w:val="center"/>
                </w:tcPr>
                <w:p w14:paraId="24799406">
                  <w:pPr>
                    <w:pStyle w:val="23"/>
                    <w:bidi w:val="0"/>
                    <w:jc w:val="both"/>
                    <w:rPr>
                      <w:rFonts w:hint="eastAsia"/>
                      <w:color w:val="auto"/>
                      <w:lang w:val="en-US" w:eastAsia="zh-CN"/>
                    </w:rPr>
                  </w:pPr>
                  <w:r>
                    <w:rPr>
                      <w:rFonts w:hint="eastAsia"/>
                      <w:color w:val="auto"/>
                      <w:lang w:val="en-US" w:eastAsia="zh-CN"/>
                    </w:rPr>
                    <w:t>给水：在新建连接道路人行道下新建一根DN300给水管道，并对受新建桥梁影响的现状给水管道进行迁改。新建给水管道长约290m，迁改给水管道长约110m。</w:t>
                  </w:r>
                </w:p>
                <w:p w14:paraId="0C868657">
                  <w:pPr>
                    <w:pStyle w:val="23"/>
                    <w:bidi w:val="0"/>
                    <w:jc w:val="both"/>
                    <w:rPr>
                      <w:rFonts w:hint="eastAsia"/>
                      <w:color w:val="auto"/>
                      <w:lang w:val="en-US" w:eastAsia="zh-CN"/>
                    </w:rPr>
                  </w:pPr>
                  <w:r>
                    <w:rPr>
                      <w:rFonts w:hint="eastAsia"/>
                      <w:color w:val="auto"/>
                      <w:lang w:val="en-US" w:eastAsia="zh-CN"/>
                    </w:rPr>
                    <w:t>雨水：单侧布置于新建连接道路东侧车行道下，在道路桩号K0+280处逆道路坡向，排入夔州西路现状DN900雨水管道，新建雨水管道约350m。</w:t>
                  </w:r>
                </w:p>
                <w:p w14:paraId="5D24FFE8">
                  <w:pPr>
                    <w:pStyle w:val="23"/>
                    <w:bidi w:val="0"/>
                    <w:jc w:val="both"/>
                    <w:rPr>
                      <w:color w:val="auto"/>
                    </w:rPr>
                  </w:pPr>
                  <w:r>
                    <w:rPr>
                      <w:rFonts w:hint="eastAsia"/>
                      <w:color w:val="auto"/>
                      <w:lang w:val="en-US" w:eastAsia="zh-CN"/>
                    </w:rPr>
                    <w:t>污水：污水系统单侧布置于新建连接道路西侧车行道下，在道路桩号K0+280处排入下游夔州西路现状DN400污水管道，新建污水管道约280m。</w:t>
                  </w:r>
                </w:p>
              </w:tc>
            </w:tr>
            <w:tr w14:paraId="6E5C45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3E5DC2D6">
                  <w:pPr>
                    <w:pStyle w:val="23"/>
                    <w:bidi w:val="0"/>
                    <w:rPr>
                      <w:rFonts w:hint="eastAsia"/>
                      <w:color w:val="auto"/>
                    </w:rPr>
                  </w:pPr>
                </w:p>
              </w:tc>
              <w:tc>
                <w:tcPr>
                  <w:tcW w:w="699" w:type="pct"/>
                  <w:vAlign w:val="center"/>
                </w:tcPr>
                <w:p w14:paraId="3297EDCC">
                  <w:pPr>
                    <w:pStyle w:val="23"/>
                    <w:bidi w:val="0"/>
                    <w:rPr>
                      <w:color w:val="auto"/>
                    </w:rPr>
                  </w:pPr>
                  <w:r>
                    <w:rPr>
                      <w:rFonts w:hint="eastAsia"/>
                      <w:color w:val="auto"/>
                    </w:rPr>
                    <w:t>照明工程</w:t>
                  </w:r>
                </w:p>
              </w:tc>
              <w:tc>
                <w:tcPr>
                  <w:tcW w:w="3922" w:type="pct"/>
                  <w:vAlign w:val="center"/>
                </w:tcPr>
                <w:p w14:paraId="3BD961C4">
                  <w:pPr>
                    <w:pStyle w:val="23"/>
                    <w:bidi w:val="0"/>
                    <w:jc w:val="both"/>
                    <w:rPr>
                      <w:color w:val="auto"/>
                    </w:rPr>
                  </w:pPr>
                  <w:r>
                    <w:rPr>
                      <w:rFonts w:hint="default"/>
                      <w:color w:val="auto"/>
                      <w:lang w:val="en-US" w:eastAsia="zh-CN"/>
                    </w:rPr>
                    <w:t>工程负荷等级按三级负荷设计</w:t>
                  </w:r>
                  <w:r>
                    <w:rPr>
                      <w:rFonts w:hint="eastAsia"/>
                      <w:color w:val="auto"/>
                      <w:lang w:val="en-US" w:eastAsia="zh-CN"/>
                    </w:rPr>
                    <w:t>，</w:t>
                  </w:r>
                  <w:r>
                    <w:rPr>
                      <w:rFonts w:hint="default"/>
                      <w:color w:val="auto"/>
                      <w:lang w:val="en-US" w:eastAsia="zh-CN"/>
                    </w:rPr>
                    <w:t>各照明回路采用AC380/220V供电。1号桥路灯采取双侧对称布置，灯杆形式为玉兰灯</w:t>
                  </w:r>
                  <w:r>
                    <w:rPr>
                      <w:rFonts w:hint="eastAsia"/>
                      <w:color w:val="auto"/>
                      <w:lang w:val="en-US" w:eastAsia="zh-CN"/>
                    </w:rPr>
                    <w:t>；2号桥、连接道路采取单侧布置，灯杆形式为单臂灯杆；主要布置在人行道，灯杆中心距离车行道侧路缘石边缘1m，采用LED路灯。</w:t>
                  </w:r>
                </w:p>
              </w:tc>
            </w:tr>
            <w:tr w14:paraId="4BC53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378" w:type="pct"/>
                  <w:vMerge w:val="continue"/>
                  <w:vAlign w:val="center"/>
                </w:tcPr>
                <w:p w14:paraId="0ED0AE02">
                  <w:pPr>
                    <w:pStyle w:val="23"/>
                    <w:bidi w:val="0"/>
                    <w:rPr>
                      <w:rFonts w:hint="eastAsia"/>
                      <w:color w:val="auto"/>
                    </w:rPr>
                  </w:pPr>
                </w:p>
              </w:tc>
              <w:tc>
                <w:tcPr>
                  <w:tcW w:w="699" w:type="pct"/>
                  <w:vAlign w:val="center"/>
                </w:tcPr>
                <w:p w14:paraId="76CCF9DF">
                  <w:pPr>
                    <w:pStyle w:val="23"/>
                    <w:bidi w:val="0"/>
                    <w:rPr>
                      <w:color w:val="auto"/>
                    </w:rPr>
                  </w:pPr>
                  <w:r>
                    <w:rPr>
                      <w:rFonts w:hint="eastAsia"/>
                      <w:color w:val="auto"/>
                    </w:rPr>
                    <w:t>交通工程</w:t>
                  </w:r>
                </w:p>
              </w:tc>
              <w:tc>
                <w:tcPr>
                  <w:tcW w:w="3922" w:type="pct"/>
                  <w:vAlign w:val="center"/>
                </w:tcPr>
                <w:p w14:paraId="638AF09E">
                  <w:pPr>
                    <w:pStyle w:val="23"/>
                    <w:bidi w:val="0"/>
                    <w:jc w:val="both"/>
                    <w:rPr>
                      <w:color w:val="auto"/>
                    </w:rPr>
                  </w:pPr>
                  <w:r>
                    <w:rPr>
                      <w:rFonts w:hint="eastAsia"/>
                      <w:color w:val="auto"/>
                    </w:rPr>
                    <w:t>按照相关标准设置交通安全设施、标志、标线等。</w:t>
                  </w:r>
                </w:p>
              </w:tc>
            </w:tr>
            <w:tr w14:paraId="32472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76C2BD45">
                  <w:pPr>
                    <w:pStyle w:val="23"/>
                    <w:bidi w:val="0"/>
                    <w:rPr>
                      <w:rFonts w:hint="eastAsia"/>
                      <w:color w:val="auto"/>
                    </w:rPr>
                  </w:pPr>
                </w:p>
              </w:tc>
              <w:tc>
                <w:tcPr>
                  <w:tcW w:w="699" w:type="pct"/>
                  <w:vAlign w:val="center"/>
                </w:tcPr>
                <w:p w14:paraId="65F3200F">
                  <w:pPr>
                    <w:pStyle w:val="23"/>
                    <w:bidi w:val="0"/>
                    <w:rPr>
                      <w:color w:val="auto"/>
                    </w:rPr>
                  </w:pPr>
                  <w:r>
                    <w:rPr>
                      <w:rFonts w:hint="eastAsia"/>
                      <w:color w:val="auto"/>
                      <w:lang w:val="en-US" w:eastAsia="zh-CN"/>
                    </w:rPr>
                    <w:t>公交及人行系统</w:t>
                  </w:r>
                </w:p>
              </w:tc>
              <w:tc>
                <w:tcPr>
                  <w:tcW w:w="3922" w:type="pct"/>
                  <w:vAlign w:val="center"/>
                </w:tcPr>
                <w:p w14:paraId="158E5E6A">
                  <w:pPr>
                    <w:pStyle w:val="23"/>
                    <w:bidi w:val="0"/>
                    <w:jc w:val="both"/>
                    <w:rPr>
                      <w:color w:val="auto"/>
                    </w:rPr>
                  </w:pPr>
                  <w:r>
                    <w:rPr>
                      <w:rFonts w:hint="default"/>
                      <w:color w:val="auto"/>
                      <w:lang w:val="en-US" w:eastAsia="zh-CN"/>
                    </w:rPr>
                    <w:t>本次设计未新增公交停车港。在道路交叉口及连接道路万达人行出入口处设置人行过街斑马</w:t>
                  </w:r>
                  <w:r>
                    <w:rPr>
                      <w:rFonts w:hint="eastAsia"/>
                      <w:color w:val="auto"/>
                      <w:lang w:val="en-US" w:eastAsia="zh-CN"/>
                    </w:rPr>
                    <w:t>。</w:t>
                  </w:r>
                </w:p>
              </w:tc>
            </w:tr>
            <w:tr w14:paraId="7C862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7665EE6A">
                  <w:pPr>
                    <w:pStyle w:val="23"/>
                    <w:bidi w:val="0"/>
                    <w:rPr>
                      <w:rFonts w:hint="eastAsia"/>
                      <w:color w:val="auto"/>
                    </w:rPr>
                  </w:pPr>
                </w:p>
              </w:tc>
              <w:tc>
                <w:tcPr>
                  <w:tcW w:w="699" w:type="pct"/>
                  <w:vAlign w:val="center"/>
                </w:tcPr>
                <w:p w14:paraId="44EA3698">
                  <w:pPr>
                    <w:pStyle w:val="23"/>
                    <w:bidi w:val="0"/>
                    <w:rPr>
                      <w:color w:val="auto"/>
                    </w:rPr>
                  </w:pPr>
                  <w:r>
                    <w:rPr>
                      <w:rFonts w:hint="eastAsia"/>
                      <w:color w:val="auto"/>
                      <w:lang w:val="en-US" w:eastAsia="zh-CN"/>
                    </w:rPr>
                    <w:t>景观工程</w:t>
                  </w:r>
                </w:p>
              </w:tc>
              <w:tc>
                <w:tcPr>
                  <w:tcW w:w="3922" w:type="pct"/>
                  <w:vAlign w:val="center"/>
                </w:tcPr>
                <w:p w14:paraId="6444BA59">
                  <w:pPr>
                    <w:pStyle w:val="23"/>
                    <w:bidi w:val="0"/>
                    <w:jc w:val="both"/>
                    <w:rPr>
                      <w:color w:val="auto"/>
                    </w:rPr>
                  </w:pPr>
                  <w:r>
                    <w:rPr>
                      <w:rFonts w:hint="default"/>
                      <w:color w:val="auto"/>
                      <w:lang w:val="en-US" w:eastAsia="zh-CN"/>
                    </w:rPr>
                    <w:t>1号桥景观面积约1126m</w:t>
                  </w:r>
                  <w:r>
                    <w:rPr>
                      <w:rFonts w:hint="default"/>
                      <w:color w:val="auto"/>
                      <w:vertAlign w:val="superscript"/>
                      <w:lang w:val="en-US" w:eastAsia="zh-CN"/>
                    </w:rPr>
                    <w:t>2</w:t>
                  </w:r>
                  <w:r>
                    <w:rPr>
                      <w:rFonts w:hint="default"/>
                      <w:color w:val="auto"/>
                      <w:lang w:val="en-US" w:eastAsia="zh-CN"/>
                    </w:rPr>
                    <w:t>，2号桥景观面积约2327m</w:t>
                  </w:r>
                  <w:r>
                    <w:rPr>
                      <w:rFonts w:hint="default"/>
                      <w:color w:val="auto"/>
                      <w:vertAlign w:val="superscript"/>
                      <w:lang w:val="en-US" w:eastAsia="zh-CN"/>
                    </w:rPr>
                    <w:t>2</w:t>
                  </w:r>
                  <w:r>
                    <w:rPr>
                      <w:rFonts w:hint="eastAsia"/>
                      <w:color w:val="auto"/>
                      <w:lang w:val="en-US" w:eastAsia="zh-CN"/>
                    </w:rPr>
                    <w:t>，</w:t>
                  </w:r>
                  <w:r>
                    <w:rPr>
                      <w:rFonts w:hint="default"/>
                      <w:color w:val="auto"/>
                      <w:lang w:val="en-US" w:eastAsia="zh-CN"/>
                    </w:rPr>
                    <w:t>主要包含铺装、花池、景观照明、绿化</w:t>
                  </w:r>
                  <w:r>
                    <w:rPr>
                      <w:rFonts w:hint="eastAsia"/>
                      <w:color w:val="auto"/>
                      <w:lang w:val="en-US" w:eastAsia="zh-CN"/>
                    </w:rPr>
                    <w:t>。</w:t>
                  </w:r>
                </w:p>
              </w:tc>
            </w:tr>
            <w:tr w14:paraId="513A9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restart"/>
                  <w:vAlign w:val="center"/>
                </w:tcPr>
                <w:p w14:paraId="4E898D28">
                  <w:pPr>
                    <w:pStyle w:val="23"/>
                    <w:bidi w:val="0"/>
                    <w:rPr>
                      <w:color w:val="auto"/>
                    </w:rPr>
                  </w:pPr>
                  <w:r>
                    <w:rPr>
                      <w:rFonts w:hint="eastAsia"/>
                      <w:color w:val="auto"/>
                    </w:rPr>
                    <w:t>临时工程</w:t>
                  </w:r>
                </w:p>
              </w:tc>
              <w:tc>
                <w:tcPr>
                  <w:tcW w:w="699" w:type="pct"/>
                  <w:vAlign w:val="center"/>
                </w:tcPr>
                <w:p w14:paraId="2EA97067">
                  <w:pPr>
                    <w:pStyle w:val="23"/>
                    <w:bidi w:val="0"/>
                    <w:rPr>
                      <w:color w:val="auto"/>
                    </w:rPr>
                  </w:pPr>
                  <w:r>
                    <w:rPr>
                      <w:rFonts w:hint="eastAsia"/>
                      <w:color w:val="auto"/>
                    </w:rPr>
                    <w:t>施工场地</w:t>
                  </w:r>
                </w:p>
              </w:tc>
              <w:tc>
                <w:tcPr>
                  <w:tcW w:w="3922" w:type="pct"/>
                  <w:vAlign w:val="center"/>
                </w:tcPr>
                <w:p w14:paraId="2D559545">
                  <w:pPr>
                    <w:pStyle w:val="23"/>
                    <w:bidi w:val="0"/>
                    <w:jc w:val="both"/>
                    <w:rPr>
                      <w:rFonts w:hint="default" w:eastAsia="宋体"/>
                      <w:color w:val="auto"/>
                      <w:lang w:val="en-US" w:eastAsia="zh-CN"/>
                    </w:rPr>
                  </w:pPr>
                  <w:r>
                    <w:rPr>
                      <w:rFonts w:hint="eastAsia"/>
                      <w:color w:val="auto"/>
                      <w:lang w:val="en-US" w:eastAsia="zh-CN"/>
                    </w:rPr>
                    <w:t>2处，其中在1号桥</w:t>
                  </w:r>
                  <w:r>
                    <w:rPr>
                      <w:rFonts w:hint="eastAsia"/>
                      <w:color w:val="auto"/>
                    </w:rPr>
                    <w:t>K0+</w:t>
                  </w:r>
                  <w:r>
                    <w:rPr>
                      <w:rFonts w:hint="eastAsia"/>
                      <w:color w:val="auto"/>
                      <w:lang w:val="en-US" w:eastAsia="zh-CN"/>
                    </w:rPr>
                    <w:t>052.000东侧</w:t>
                  </w:r>
                  <w:r>
                    <w:rPr>
                      <w:rFonts w:hint="eastAsia"/>
                      <w:color w:val="auto"/>
                    </w:rPr>
                    <w:t>，占地面积约</w:t>
                  </w:r>
                  <w:r>
                    <w:rPr>
                      <w:rFonts w:hint="eastAsia"/>
                      <w:color w:val="auto"/>
                      <w:lang w:val="en-US" w:eastAsia="zh-CN"/>
                    </w:rPr>
                    <w:t>100</w:t>
                  </w:r>
                  <w:r>
                    <w:rPr>
                      <w:color w:val="auto"/>
                    </w:rPr>
                    <w:t>0m</w:t>
                  </w:r>
                  <w:r>
                    <w:rPr>
                      <w:color w:val="auto"/>
                      <w:vertAlign w:val="superscript"/>
                    </w:rPr>
                    <w:t>2</w:t>
                  </w:r>
                  <w:r>
                    <w:rPr>
                      <w:rFonts w:hint="eastAsia"/>
                      <w:color w:val="auto"/>
                    </w:rPr>
                    <w:t>，主要用于</w:t>
                  </w:r>
                  <w:r>
                    <w:rPr>
                      <w:color w:val="auto"/>
                    </w:rPr>
                    <w:t>材料堆放及</w:t>
                  </w:r>
                  <w:r>
                    <w:rPr>
                      <w:rFonts w:hint="eastAsia"/>
                      <w:color w:val="auto"/>
                      <w:lang w:val="en-US" w:eastAsia="zh-CN"/>
                    </w:rPr>
                    <w:t>钢筋</w:t>
                  </w:r>
                  <w:r>
                    <w:rPr>
                      <w:color w:val="auto"/>
                    </w:rPr>
                    <w:t>加工、机械设备停放、表土</w:t>
                  </w:r>
                  <w:r>
                    <w:rPr>
                      <w:rFonts w:hint="eastAsia"/>
                      <w:color w:val="auto"/>
                      <w:lang w:val="en-US" w:eastAsia="zh-CN"/>
                    </w:rPr>
                    <w:t>临时</w:t>
                  </w:r>
                  <w:r>
                    <w:rPr>
                      <w:color w:val="auto"/>
                    </w:rPr>
                    <w:t>堆放等</w:t>
                  </w:r>
                  <w:r>
                    <w:rPr>
                      <w:rFonts w:hint="eastAsia"/>
                      <w:color w:val="auto"/>
                      <w:lang w:eastAsia="zh-CN"/>
                    </w:rPr>
                    <w:t>；</w:t>
                  </w:r>
                  <w:r>
                    <w:rPr>
                      <w:rFonts w:hint="eastAsia"/>
                      <w:color w:val="auto"/>
                      <w:lang w:val="en-US" w:eastAsia="zh-CN"/>
                    </w:rPr>
                    <w:t>在连接道路K0+200.000右侧设置1处材料堆场，占地面积约300m</w:t>
                  </w:r>
                  <w:r>
                    <w:rPr>
                      <w:rFonts w:hint="eastAsia"/>
                      <w:color w:val="auto"/>
                      <w:vertAlign w:val="superscript"/>
                      <w:lang w:val="en-US" w:eastAsia="zh-CN"/>
                    </w:rPr>
                    <w:t>2</w:t>
                  </w:r>
                  <w:r>
                    <w:rPr>
                      <w:rFonts w:hint="eastAsia"/>
                      <w:color w:val="auto"/>
                      <w:lang w:val="en-US" w:eastAsia="zh-CN"/>
                    </w:rPr>
                    <w:t>，主要用于材料堆放。项目</w:t>
                  </w:r>
                  <w:r>
                    <w:rPr>
                      <w:rFonts w:hint="eastAsia"/>
                      <w:color w:val="auto"/>
                    </w:rPr>
                    <w:t>施工办公</w:t>
                  </w:r>
                  <w:r>
                    <w:rPr>
                      <w:rFonts w:hint="eastAsia"/>
                      <w:color w:val="auto"/>
                      <w:lang w:val="en-US" w:eastAsia="zh-CN"/>
                    </w:rPr>
                    <w:t>生活采用租赁周边现有房屋</w:t>
                  </w:r>
                  <w:r>
                    <w:rPr>
                      <w:rFonts w:hint="eastAsia"/>
                      <w:color w:val="auto"/>
                    </w:rPr>
                    <w:t>，</w:t>
                  </w:r>
                  <w:r>
                    <w:rPr>
                      <w:rFonts w:hint="eastAsia"/>
                      <w:color w:val="auto"/>
                      <w:lang w:val="en-US" w:eastAsia="zh-CN"/>
                    </w:rPr>
                    <w:t>施工区内不单独设置。</w:t>
                  </w:r>
                </w:p>
                <w:p w14:paraId="46B1222A">
                  <w:pPr>
                    <w:pStyle w:val="23"/>
                    <w:bidi w:val="0"/>
                    <w:jc w:val="both"/>
                    <w:rPr>
                      <w:color w:val="auto"/>
                    </w:rPr>
                  </w:pPr>
                  <w:r>
                    <w:rPr>
                      <w:rFonts w:hint="eastAsia"/>
                      <w:color w:val="auto"/>
                    </w:rPr>
                    <w:t>施工采用商品混凝土和商品沥青混凝土，不设置沥青拌合站和混凝土拌合站。</w:t>
                  </w:r>
                </w:p>
              </w:tc>
            </w:tr>
            <w:tr w14:paraId="1E9DF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378" w:type="pct"/>
                  <w:vMerge w:val="continue"/>
                  <w:vAlign w:val="center"/>
                </w:tcPr>
                <w:p w14:paraId="77054440">
                  <w:pPr>
                    <w:pStyle w:val="23"/>
                    <w:bidi w:val="0"/>
                    <w:rPr>
                      <w:rFonts w:hint="eastAsia"/>
                      <w:color w:val="auto"/>
                    </w:rPr>
                  </w:pPr>
                </w:p>
              </w:tc>
              <w:tc>
                <w:tcPr>
                  <w:tcW w:w="699" w:type="pct"/>
                  <w:vAlign w:val="center"/>
                </w:tcPr>
                <w:p w14:paraId="7404D7CA">
                  <w:pPr>
                    <w:pStyle w:val="23"/>
                    <w:bidi w:val="0"/>
                    <w:rPr>
                      <w:rFonts w:hint="eastAsia"/>
                      <w:color w:val="auto"/>
                    </w:rPr>
                  </w:pPr>
                  <w:r>
                    <w:rPr>
                      <w:rFonts w:hint="eastAsia"/>
                      <w:color w:val="auto"/>
                    </w:rPr>
                    <w:t>施工便道</w:t>
                  </w:r>
                </w:p>
              </w:tc>
              <w:tc>
                <w:tcPr>
                  <w:tcW w:w="3922" w:type="pct"/>
                  <w:vAlign w:val="center"/>
                </w:tcPr>
                <w:p w14:paraId="1DBEE511">
                  <w:pPr>
                    <w:pStyle w:val="23"/>
                    <w:bidi w:val="0"/>
                    <w:jc w:val="both"/>
                    <w:rPr>
                      <w:color w:val="auto"/>
                    </w:rPr>
                  </w:pPr>
                  <w:r>
                    <w:rPr>
                      <w:rFonts w:hint="eastAsia"/>
                      <w:color w:val="auto"/>
                    </w:rPr>
                    <w:t>项目周边有</w:t>
                  </w:r>
                  <w:r>
                    <w:rPr>
                      <w:rFonts w:hint="eastAsia"/>
                      <w:color w:val="auto"/>
                      <w:lang w:val="en-US" w:eastAsia="zh-CN"/>
                    </w:rPr>
                    <w:t>夔州西路、万胜路、甘溪街等</w:t>
                  </w:r>
                  <w:r>
                    <w:rPr>
                      <w:rFonts w:hint="eastAsia"/>
                      <w:color w:val="auto"/>
                    </w:rPr>
                    <w:t>多条</w:t>
                  </w:r>
                  <w:r>
                    <w:rPr>
                      <w:rFonts w:hint="eastAsia"/>
                      <w:color w:val="auto"/>
                      <w:lang w:val="en-US" w:eastAsia="zh-CN"/>
                    </w:rPr>
                    <w:t>市政道路</w:t>
                  </w:r>
                  <w:r>
                    <w:rPr>
                      <w:rFonts w:hint="eastAsia"/>
                      <w:color w:val="auto"/>
                    </w:rPr>
                    <w:t>可直达项目施工区域，故本项目不设施工便道。</w:t>
                  </w:r>
                </w:p>
              </w:tc>
            </w:tr>
            <w:tr w14:paraId="71DAA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12DA7C71">
                  <w:pPr>
                    <w:pStyle w:val="23"/>
                    <w:bidi w:val="0"/>
                    <w:rPr>
                      <w:rFonts w:hint="eastAsia"/>
                      <w:color w:val="auto"/>
                    </w:rPr>
                  </w:pPr>
                </w:p>
              </w:tc>
              <w:tc>
                <w:tcPr>
                  <w:tcW w:w="699" w:type="pct"/>
                  <w:vAlign w:val="center"/>
                </w:tcPr>
                <w:p w14:paraId="19207B66">
                  <w:pPr>
                    <w:pStyle w:val="23"/>
                    <w:bidi w:val="0"/>
                    <w:rPr>
                      <w:rFonts w:hint="eastAsia"/>
                      <w:color w:val="auto"/>
                    </w:rPr>
                  </w:pPr>
                  <w:r>
                    <w:rPr>
                      <w:rFonts w:hint="eastAsia"/>
                      <w:color w:val="auto"/>
                    </w:rPr>
                    <w:t>料场</w:t>
                  </w:r>
                </w:p>
              </w:tc>
              <w:tc>
                <w:tcPr>
                  <w:tcW w:w="3922" w:type="pct"/>
                  <w:vAlign w:val="center"/>
                </w:tcPr>
                <w:p w14:paraId="223F30E1">
                  <w:pPr>
                    <w:pStyle w:val="23"/>
                    <w:bidi w:val="0"/>
                    <w:jc w:val="both"/>
                    <w:rPr>
                      <w:color w:val="auto"/>
                    </w:rPr>
                  </w:pPr>
                  <w:r>
                    <w:rPr>
                      <w:rFonts w:hint="eastAsia"/>
                      <w:color w:val="auto"/>
                    </w:rPr>
                    <w:t>项目</w:t>
                  </w:r>
                  <w:r>
                    <w:rPr>
                      <w:color w:val="auto"/>
                    </w:rPr>
                    <w:t>不设料场</w:t>
                  </w:r>
                  <w:r>
                    <w:rPr>
                      <w:rFonts w:hint="eastAsia"/>
                      <w:color w:val="auto"/>
                    </w:rPr>
                    <w:t>，砂石料</w:t>
                  </w:r>
                  <w:r>
                    <w:rPr>
                      <w:rFonts w:hint="eastAsia"/>
                      <w:color w:val="auto"/>
                      <w:lang w:eastAsia="zh-CN"/>
                    </w:rPr>
                    <w:t>均</w:t>
                  </w:r>
                  <w:r>
                    <w:rPr>
                      <w:rFonts w:hint="eastAsia"/>
                      <w:color w:val="auto"/>
                      <w:lang w:val="en-US" w:eastAsia="zh-CN"/>
                    </w:rPr>
                    <w:t>在奉节县及周边合法料场</w:t>
                  </w:r>
                  <w:r>
                    <w:rPr>
                      <w:rFonts w:hint="eastAsia"/>
                      <w:color w:val="auto"/>
                      <w:lang w:eastAsia="zh-CN"/>
                    </w:rPr>
                    <w:t>外购</w:t>
                  </w:r>
                  <w:r>
                    <w:rPr>
                      <w:rFonts w:hint="eastAsia"/>
                      <w:color w:val="auto"/>
                    </w:rPr>
                    <w:t>。</w:t>
                  </w:r>
                </w:p>
              </w:tc>
            </w:tr>
            <w:tr w14:paraId="57C89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641BE461">
                  <w:pPr>
                    <w:pStyle w:val="23"/>
                    <w:bidi w:val="0"/>
                    <w:rPr>
                      <w:rFonts w:hint="eastAsia"/>
                      <w:color w:val="auto"/>
                    </w:rPr>
                  </w:pPr>
                </w:p>
              </w:tc>
              <w:tc>
                <w:tcPr>
                  <w:tcW w:w="699" w:type="pct"/>
                  <w:vAlign w:val="center"/>
                </w:tcPr>
                <w:p w14:paraId="337D7B41">
                  <w:pPr>
                    <w:pStyle w:val="23"/>
                    <w:bidi w:val="0"/>
                    <w:rPr>
                      <w:rFonts w:hint="eastAsia"/>
                      <w:color w:val="auto"/>
                    </w:rPr>
                  </w:pPr>
                  <w:r>
                    <w:rPr>
                      <w:rFonts w:hint="eastAsia"/>
                      <w:color w:val="auto"/>
                    </w:rPr>
                    <w:t>取、弃土场</w:t>
                  </w:r>
                </w:p>
              </w:tc>
              <w:tc>
                <w:tcPr>
                  <w:tcW w:w="3922" w:type="pct"/>
                  <w:vAlign w:val="center"/>
                </w:tcPr>
                <w:p w14:paraId="5A513D39">
                  <w:pPr>
                    <w:pStyle w:val="23"/>
                    <w:bidi w:val="0"/>
                    <w:jc w:val="both"/>
                    <w:rPr>
                      <w:color w:val="auto"/>
                    </w:rPr>
                  </w:pPr>
                  <w:r>
                    <w:rPr>
                      <w:color w:val="auto"/>
                    </w:rPr>
                    <w:t>项目弃方</w:t>
                  </w:r>
                  <w:r>
                    <w:rPr>
                      <w:rFonts w:hint="eastAsia"/>
                      <w:color w:val="auto"/>
                    </w:rPr>
                    <w:t>约1342m</w:t>
                  </w:r>
                  <w:r>
                    <w:rPr>
                      <w:rFonts w:hint="eastAsia"/>
                      <w:color w:val="auto"/>
                      <w:vertAlign w:val="superscript"/>
                    </w:rPr>
                    <w:t>3</w:t>
                  </w:r>
                  <w:r>
                    <w:rPr>
                      <w:color w:val="auto"/>
                    </w:rPr>
                    <w:t>，</w:t>
                  </w:r>
                  <w:r>
                    <w:rPr>
                      <w:rFonts w:hint="eastAsia"/>
                      <w:color w:val="auto"/>
                      <w:lang w:val="en-US" w:eastAsia="zh-CN"/>
                    </w:rPr>
                    <w:t>调运至</w:t>
                  </w:r>
                  <w:r>
                    <w:rPr>
                      <w:rFonts w:hint="eastAsia"/>
                      <w:color w:val="auto"/>
                    </w:rPr>
                    <w:t>周边</w:t>
                  </w:r>
                  <w:r>
                    <w:rPr>
                      <w:rFonts w:hint="eastAsia"/>
                      <w:color w:val="auto"/>
                      <w:lang w:val="en-US" w:eastAsia="zh-CN"/>
                    </w:rPr>
                    <w:t>建设项目进行平衡</w:t>
                  </w:r>
                  <w:r>
                    <w:rPr>
                      <w:color w:val="auto"/>
                    </w:rPr>
                    <w:t>，故不设取、弃土场。</w:t>
                  </w:r>
                </w:p>
              </w:tc>
            </w:tr>
            <w:tr w14:paraId="57382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139ADFF7">
                  <w:pPr>
                    <w:pStyle w:val="23"/>
                    <w:bidi w:val="0"/>
                    <w:rPr>
                      <w:rFonts w:hint="eastAsia"/>
                      <w:color w:val="auto"/>
                    </w:rPr>
                  </w:pPr>
                </w:p>
              </w:tc>
              <w:tc>
                <w:tcPr>
                  <w:tcW w:w="699" w:type="pct"/>
                  <w:vAlign w:val="center"/>
                </w:tcPr>
                <w:p w14:paraId="59CB3303">
                  <w:pPr>
                    <w:pStyle w:val="23"/>
                    <w:bidi w:val="0"/>
                    <w:rPr>
                      <w:rFonts w:hint="eastAsia"/>
                      <w:color w:val="auto"/>
                    </w:rPr>
                  </w:pPr>
                  <w:r>
                    <w:rPr>
                      <w:rFonts w:hint="eastAsia"/>
                      <w:color w:val="auto"/>
                    </w:rPr>
                    <w:t>表土堆场</w:t>
                  </w:r>
                </w:p>
              </w:tc>
              <w:tc>
                <w:tcPr>
                  <w:tcW w:w="3922" w:type="pct"/>
                  <w:vAlign w:val="center"/>
                </w:tcPr>
                <w:p w14:paraId="6815B01B">
                  <w:pPr>
                    <w:pStyle w:val="23"/>
                    <w:bidi w:val="0"/>
                    <w:jc w:val="both"/>
                    <w:rPr>
                      <w:color w:val="auto"/>
                    </w:rPr>
                  </w:pPr>
                  <w:r>
                    <w:rPr>
                      <w:color w:val="auto"/>
                    </w:rPr>
                    <w:t>项目剥离表土量</w:t>
                  </w:r>
                  <w:r>
                    <w:rPr>
                      <w:rFonts w:hint="eastAsia"/>
                      <w:color w:val="auto"/>
                      <w:lang w:val="en-US" w:eastAsia="zh-CN"/>
                    </w:rPr>
                    <w:t>约500</w:t>
                  </w:r>
                  <w:r>
                    <w:rPr>
                      <w:color w:val="auto"/>
                    </w:rPr>
                    <w:t>m</w:t>
                  </w:r>
                  <w:r>
                    <w:rPr>
                      <w:color w:val="auto"/>
                      <w:vertAlign w:val="superscript"/>
                    </w:rPr>
                    <w:t>3</w:t>
                  </w:r>
                  <w:r>
                    <w:rPr>
                      <w:rFonts w:hint="eastAsia"/>
                      <w:color w:val="auto"/>
                      <w:lang w:eastAsia="zh-CN"/>
                    </w:rPr>
                    <w:t>，</w:t>
                  </w:r>
                  <w:r>
                    <w:rPr>
                      <w:color w:val="auto"/>
                    </w:rPr>
                    <w:t>在施工场地内设置表土</w:t>
                  </w:r>
                  <w:r>
                    <w:rPr>
                      <w:rFonts w:hint="eastAsia"/>
                      <w:color w:val="auto"/>
                      <w:lang w:val="en-US" w:eastAsia="zh-CN"/>
                    </w:rPr>
                    <w:t>临时</w:t>
                  </w:r>
                  <w:r>
                    <w:rPr>
                      <w:color w:val="auto"/>
                    </w:rPr>
                    <w:t>堆场区，</w:t>
                  </w:r>
                  <w:r>
                    <w:rPr>
                      <w:rFonts w:hint="eastAsia"/>
                      <w:color w:val="auto"/>
                    </w:rPr>
                    <w:t>不单独设置表土堆场</w:t>
                  </w:r>
                  <w:r>
                    <w:rPr>
                      <w:color w:val="auto"/>
                    </w:rPr>
                    <w:t>。</w:t>
                  </w:r>
                </w:p>
              </w:tc>
            </w:tr>
            <w:tr w14:paraId="4BFE2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restart"/>
                  <w:vAlign w:val="center"/>
                </w:tcPr>
                <w:p w14:paraId="54E65707">
                  <w:pPr>
                    <w:pStyle w:val="23"/>
                    <w:bidi w:val="0"/>
                    <w:rPr>
                      <w:rFonts w:hint="default" w:eastAsia="宋体"/>
                      <w:color w:val="auto"/>
                      <w:lang w:val="en-US" w:eastAsia="zh-CN"/>
                    </w:rPr>
                  </w:pPr>
                  <w:r>
                    <w:rPr>
                      <w:rFonts w:hint="eastAsia"/>
                      <w:color w:val="auto"/>
                      <w:lang w:val="en-US" w:eastAsia="zh-CN"/>
                    </w:rPr>
                    <w:t>环保工程</w:t>
                  </w:r>
                </w:p>
              </w:tc>
              <w:tc>
                <w:tcPr>
                  <w:tcW w:w="699" w:type="pct"/>
                  <w:vAlign w:val="center"/>
                </w:tcPr>
                <w:p w14:paraId="39BA5371">
                  <w:pPr>
                    <w:pStyle w:val="23"/>
                    <w:bidi w:val="0"/>
                    <w:rPr>
                      <w:rFonts w:hint="eastAsia" w:eastAsia="宋体"/>
                      <w:color w:val="auto"/>
                      <w:lang w:val="en-US" w:eastAsia="zh-CN"/>
                    </w:rPr>
                  </w:pPr>
                  <w:r>
                    <w:rPr>
                      <w:rFonts w:hint="eastAsia"/>
                      <w:color w:val="auto"/>
                      <w:lang w:val="en-US" w:eastAsia="zh-CN"/>
                    </w:rPr>
                    <w:t>废气</w:t>
                  </w:r>
                </w:p>
              </w:tc>
              <w:tc>
                <w:tcPr>
                  <w:tcW w:w="3922" w:type="pct"/>
                  <w:vAlign w:val="center"/>
                </w:tcPr>
                <w:p w14:paraId="0C64246A">
                  <w:pPr>
                    <w:pStyle w:val="23"/>
                    <w:bidi w:val="0"/>
                    <w:jc w:val="both"/>
                    <w:rPr>
                      <w:rFonts w:hint="eastAsia"/>
                      <w:color w:val="auto"/>
                      <w:lang w:eastAsia="zh-CN"/>
                    </w:rPr>
                  </w:pPr>
                  <w:r>
                    <w:rPr>
                      <w:color w:val="auto"/>
                    </w:rPr>
                    <w:t>施工期：</w:t>
                  </w:r>
                  <w:r>
                    <w:rPr>
                      <w:rFonts w:hint="eastAsia"/>
                      <w:color w:val="auto"/>
                      <w:lang w:val="en-US" w:eastAsia="zh-CN"/>
                    </w:rPr>
                    <w:t>施工场地采取湿式作业，配备洒水、喷淋等降尘措施；</w:t>
                  </w:r>
                  <w:r>
                    <w:rPr>
                      <w:color w:val="auto"/>
                    </w:rPr>
                    <w:t>设置车辆冲洗设施</w:t>
                  </w:r>
                  <w:r>
                    <w:rPr>
                      <w:rFonts w:hint="eastAsia"/>
                      <w:color w:val="auto"/>
                      <w:lang w:eastAsia="zh-CN"/>
                    </w:rPr>
                    <w:t>，</w:t>
                  </w:r>
                  <w:r>
                    <w:rPr>
                      <w:rFonts w:hint="eastAsia"/>
                      <w:color w:val="auto"/>
                      <w:lang w:val="en-US" w:eastAsia="zh-CN"/>
                    </w:rPr>
                    <w:t>严禁带泥上路</w:t>
                  </w:r>
                  <w:r>
                    <w:rPr>
                      <w:color w:val="auto"/>
                    </w:rPr>
                    <w:t>；施工</w:t>
                  </w:r>
                  <w:r>
                    <w:rPr>
                      <w:rFonts w:hint="eastAsia"/>
                      <w:color w:val="auto"/>
                      <w:lang w:val="en-US" w:eastAsia="zh-CN"/>
                    </w:rPr>
                    <w:t>场地</w:t>
                  </w:r>
                  <w:r>
                    <w:rPr>
                      <w:color w:val="auto"/>
                    </w:rPr>
                    <w:t>周围设围挡；</w:t>
                  </w:r>
                  <w:r>
                    <w:rPr>
                      <w:rFonts w:hint="eastAsia"/>
                      <w:color w:val="auto"/>
                    </w:rPr>
                    <w:t>易撒漏</w:t>
                  </w:r>
                  <w:r>
                    <w:rPr>
                      <w:color w:val="auto"/>
                    </w:rPr>
                    <w:t>物料</w:t>
                  </w:r>
                  <w:r>
                    <w:rPr>
                      <w:rFonts w:hint="eastAsia"/>
                      <w:color w:val="auto"/>
                      <w:lang w:val="en-US" w:eastAsia="zh-CN"/>
                    </w:rPr>
                    <w:t>采用密闭运输，易扬尘物料、表土堆放过程采取覆盖措施；</w:t>
                  </w:r>
                  <w:r>
                    <w:rPr>
                      <w:color w:val="auto"/>
                    </w:rPr>
                    <w:t>加强施工机械维护和保养</w:t>
                  </w:r>
                  <w:r>
                    <w:rPr>
                      <w:rFonts w:hint="eastAsia"/>
                      <w:color w:val="auto"/>
                      <w:lang w:eastAsia="zh-CN"/>
                    </w:rPr>
                    <w:t>。</w:t>
                  </w:r>
                </w:p>
                <w:p w14:paraId="71AC92E5">
                  <w:pPr>
                    <w:pStyle w:val="23"/>
                    <w:bidi w:val="0"/>
                    <w:jc w:val="both"/>
                    <w:rPr>
                      <w:color w:val="auto"/>
                    </w:rPr>
                  </w:pPr>
                  <w:r>
                    <w:rPr>
                      <w:color w:val="auto"/>
                    </w:rPr>
                    <w:t>运营期：加强绿化；严格执行汽车排放车检制度，限制尾气排放</w:t>
                  </w:r>
                  <w:r>
                    <w:rPr>
                      <w:rFonts w:hint="eastAsia"/>
                      <w:color w:val="auto"/>
                      <w:lang w:val="en-US" w:eastAsia="zh-CN"/>
                    </w:rPr>
                    <w:t>不达标</w:t>
                  </w:r>
                  <w:r>
                    <w:rPr>
                      <w:color w:val="auto"/>
                    </w:rPr>
                    <w:t>车辆上路；加强路面的清扫。</w:t>
                  </w:r>
                </w:p>
              </w:tc>
            </w:tr>
            <w:tr w14:paraId="69F25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7DD57C96">
                  <w:pPr>
                    <w:pStyle w:val="23"/>
                    <w:bidi w:val="0"/>
                    <w:rPr>
                      <w:rFonts w:hint="eastAsia"/>
                      <w:color w:val="auto"/>
                      <w:lang w:val="en-US" w:eastAsia="zh-CN"/>
                    </w:rPr>
                  </w:pPr>
                </w:p>
              </w:tc>
              <w:tc>
                <w:tcPr>
                  <w:tcW w:w="699" w:type="pct"/>
                  <w:vAlign w:val="center"/>
                </w:tcPr>
                <w:p w14:paraId="43E05827">
                  <w:pPr>
                    <w:pStyle w:val="23"/>
                    <w:bidi w:val="0"/>
                    <w:rPr>
                      <w:rFonts w:hint="default"/>
                      <w:color w:val="auto"/>
                      <w:lang w:val="en-US" w:eastAsia="zh-CN"/>
                    </w:rPr>
                  </w:pPr>
                  <w:r>
                    <w:rPr>
                      <w:rFonts w:hint="eastAsia"/>
                      <w:color w:val="auto"/>
                      <w:lang w:val="en-US" w:eastAsia="zh-CN"/>
                    </w:rPr>
                    <w:t>废水</w:t>
                  </w:r>
                </w:p>
              </w:tc>
              <w:tc>
                <w:tcPr>
                  <w:tcW w:w="3922" w:type="pct"/>
                  <w:vAlign w:val="center"/>
                </w:tcPr>
                <w:p w14:paraId="7C0F48DD">
                  <w:pPr>
                    <w:pStyle w:val="23"/>
                    <w:bidi w:val="0"/>
                    <w:jc w:val="both"/>
                    <w:rPr>
                      <w:rFonts w:hint="default" w:eastAsia="宋体"/>
                      <w:color w:val="auto"/>
                      <w:lang w:val="en-US" w:eastAsia="zh-CN"/>
                    </w:rPr>
                  </w:pPr>
                  <w:r>
                    <w:rPr>
                      <w:color w:val="auto"/>
                    </w:rPr>
                    <w:t>施工期：</w:t>
                  </w:r>
                  <w:r>
                    <w:rPr>
                      <w:rFonts w:hint="eastAsia"/>
                      <w:color w:val="auto"/>
                      <w:lang w:eastAsia="zh-CN"/>
                    </w:rPr>
                    <w:t>施工场地内设置</w:t>
                  </w:r>
                  <w:r>
                    <w:rPr>
                      <w:rFonts w:hint="eastAsia"/>
                      <w:color w:val="auto"/>
                      <w:lang w:val="en-US" w:eastAsia="zh-CN"/>
                    </w:rPr>
                    <w:t>隔油</w:t>
                  </w:r>
                  <w:r>
                    <w:rPr>
                      <w:rFonts w:hint="eastAsia"/>
                      <w:color w:val="auto"/>
                      <w:lang w:eastAsia="zh-CN"/>
                    </w:rPr>
                    <w:t>沉淀池，场地进出口设置车辆清洗池，</w:t>
                  </w:r>
                  <w:r>
                    <w:rPr>
                      <w:rFonts w:hint="eastAsia"/>
                      <w:color w:val="auto"/>
                      <w:lang w:val="en-US" w:eastAsia="zh-CN"/>
                    </w:rPr>
                    <w:t>设备及</w:t>
                  </w:r>
                  <w:r>
                    <w:rPr>
                      <w:rFonts w:hint="eastAsia"/>
                      <w:color w:val="auto"/>
                      <w:lang w:eastAsia="zh-CN"/>
                    </w:rPr>
                    <w:t>运输车辆冲洗废水、</w:t>
                  </w:r>
                  <w:r>
                    <w:rPr>
                      <w:rFonts w:hint="eastAsia"/>
                      <w:color w:val="auto"/>
                      <w:lang w:val="en-US" w:eastAsia="zh-CN"/>
                    </w:rPr>
                    <w:t>桥梁</w:t>
                  </w:r>
                  <w:r>
                    <w:rPr>
                      <w:rFonts w:hint="eastAsia"/>
                      <w:color w:val="auto"/>
                      <w:lang w:eastAsia="zh-CN"/>
                    </w:rPr>
                    <w:t>基坑废水</w:t>
                  </w:r>
                  <w:r>
                    <w:rPr>
                      <w:rFonts w:hint="eastAsia"/>
                      <w:color w:val="auto"/>
                      <w:lang w:val="en-US" w:eastAsia="zh-CN"/>
                    </w:rPr>
                    <w:t>等</w:t>
                  </w:r>
                  <w:r>
                    <w:rPr>
                      <w:rFonts w:hint="eastAsia"/>
                      <w:color w:val="auto"/>
                      <w:lang w:eastAsia="zh-CN"/>
                    </w:rPr>
                    <w:t>施工废水经</w:t>
                  </w:r>
                  <w:r>
                    <w:rPr>
                      <w:rFonts w:hint="eastAsia"/>
                      <w:color w:val="auto"/>
                      <w:lang w:val="en-US" w:eastAsia="zh-CN"/>
                    </w:rPr>
                    <w:t>隔油</w:t>
                  </w:r>
                  <w:r>
                    <w:rPr>
                      <w:rFonts w:hint="eastAsia"/>
                      <w:color w:val="auto"/>
                      <w:lang w:eastAsia="zh-CN"/>
                    </w:rPr>
                    <w:t>沉淀处理后</w:t>
                  </w:r>
                  <w:r>
                    <w:rPr>
                      <w:color w:val="auto"/>
                    </w:rPr>
                    <w:t>回用于冲洗、洒水降尘。</w:t>
                  </w:r>
                  <w:r>
                    <w:rPr>
                      <w:rFonts w:hint="eastAsia"/>
                      <w:color w:val="auto"/>
                      <w:lang w:val="en-US" w:eastAsia="zh-CN"/>
                    </w:rPr>
                    <w:t>施工人员办公生活产生的生活污水依托周边现有的污水设施处理后经市政污水管网进入奉节西部新区污水处理厂处理。</w:t>
                  </w:r>
                </w:p>
                <w:p w14:paraId="0C875ED2">
                  <w:pPr>
                    <w:pStyle w:val="23"/>
                    <w:bidi w:val="0"/>
                    <w:jc w:val="both"/>
                    <w:rPr>
                      <w:color w:val="auto"/>
                    </w:rPr>
                  </w:pPr>
                  <w:r>
                    <w:rPr>
                      <w:color w:val="auto"/>
                    </w:rPr>
                    <w:t>运营期：雨水经</w:t>
                  </w:r>
                  <w:r>
                    <w:rPr>
                      <w:rFonts w:hint="eastAsia"/>
                      <w:color w:val="auto"/>
                      <w:lang w:val="en-US" w:eastAsia="zh-CN"/>
                    </w:rPr>
                    <w:t>雨水管网</w:t>
                  </w:r>
                  <w:r>
                    <w:rPr>
                      <w:color w:val="auto"/>
                    </w:rPr>
                    <w:t>收集后排入</w:t>
                  </w:r>
                  <w:r>
                    <w:rPr>
                      <w:rFonts w:hint="eastAsia"/>
                      <w:color w:val="auto"/>
                      <w:lang w:val="en-US" w:eastAsia="zh-CN"/>
                    </w:rPr>
                    <w:t>现状</w:t>
                  </w:r>
                  <w:r>
                    <w:rPr>
                      <w:color w:val="auto"/>
                    </w:rPr>
                    <w:t>市政雨水管网；运营期加强排水系统维护，定期检查，确保降水畅通排泄。</w:t>
                  </w:r>
                </w:p>
              </w:tc>
            </w:tr>
            <w:tr w14:paraId="5AFD7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7840E1D5">
                  <w:pPr>
                    <w:pStyle w:val="23"/>
                    <w:bidi w:val="0"/>
                    <w:rPr>
                      <w:rFonts w:hint="eastAsia"/>
                      <w:color w:val="auto"/>
                      <w:lang w:val="en-US" w:eastAsia="zh-CN"/>
                    </w:rPr>
                  </w:pPr>
                </w:p>
              </w:tc>
              <w:tc>
                <w:tcPr>
                  <w:tcW w:w="699" w:type="pct"/>
                  <w:vAlign w:val="center"/>
                </w:tcPr>
                <w:p w14:paraId="21F977A3">
                  <w:pPr>
                    <w:pStyle w:val="23"/>
                    <w:bidi w:val="0"/>
                    <w:rPr>
                      <w:rFonts w:hint="default"/>
                      <w:color w:val="auto"/>
                      <w:lang w:val="en-US" w:eastAsia="zh-CN"/>
                    </w:rPr>
                  </w:pPr>
                  <w:r>
                    <w:rPr>
                      <w:rFonts w:hint="eastAsia"/>
                      <w:color w:val="auto"/>
                      <w:lang w:val="en-US" w:eastAsia="zh-CN"/>
                    </w:rPr>
                    <w:t>噪声</w:t>
                  </w:r>
                </w:p>
              </w:tc>
              <w:tc>
                <w:tcPr>
                  <w:tcW w:w="3922" w:type="pct"/>
                  <w:vAlign w:val="center"/>
                </w:tcPr>
                <w:p w14:paraId="34F4105B">
                  <w:pPr>
                    <w:pStyle w:val="23"/>
                    <w:bidi w:val="0"/>
                    <w:jc w:val="both"/>
                    <w:rPr>
                      <w:rFonts w:hint="default" w:ascii="Times New Roman" w:hAnsi="Times New Roman" w:eastAsia="宋体"/>
                      <w:color w:val="auto"/>
                      <w:lang w:val="en-US" w:eastAsia="zh-CN"/>
                    </w:rPr>
                  </w:pPr>
                  <w:r>
                    <w:rPr>
                      <w:rFonts w:ascii="Times New Roman" w:hAnsi="Times New Roman" w:eastAsia="宋体"/>
                      <w:color w:val="auto"/>
                    </w:rPr>
                    <w:t>施工期：</w:t>
                  </w:r>
                  <w:r>
                    <w:rPr>
                      <w:rFonts w:hint="eastAsia" w:ascii="Times New Roman" w:hAnsi="Times New Roman" w:eastAsia="宋体"/>
                      <w:color w:val="auto"/>
                      <w:lang w:val="en-US" w:eastAsia="zh-CN"/>
                    </w:rPr>
                    <w:t>合理安排施工时间，选用低噪声设备，施工工地内合理布置施工设备；施工场地周围设围挡，合理安排材料运输路线，运输车辆限速、禁鸣；加强施工现场管理，加强施工设备维护和保养。</w:t>
                  </w:r>
                </w:p>
                <w:p w14:paraId="1DF985C2">
                  <w:pPr>
                    <w:pStyle w:val="23"/>
                    <w:bidi w:val="0"/>
                    <w:jc w:val="both"/>
                    <w:rPr>
                      <w:rFonts w:ascii="Times New Roman" w:hAnsi="Times New Roman" w:eastAsia="宋体"/>
                      <w:color w:val="auto"/>
                    </w:rPr>
                  </w:pPr>
                  <w:r>
                    <w:rPr>
                      <w:rFonts w:ascii="Times New Roman" w:hAnsi="Times New Roman" w:eastAsia="宋体"/>
                      <w:color w:val="auto"/>
                    </w:rPr>
                    <w:t>运营期：</w:t>
                  </w:r>
                  <w:r>
                    <w:rPr>
                      <w:rFonts w:hint="eastAsia" w:ascii="Times New Roman" w:hAnsi="Times New Roman" w:eastAsia="宋体"/>
                      <w:color w:val="auto"/>
                      <w:lang w:val="en-US" w:eastAsia="zh-CN"/>
                    </w:rPr>
                    <w:t>加强绿化；</w:t>
                  </w:r>
                  <w:r>
                    <w:rPr>
                      <w:rFonts w:hint="eastAsia" w:ascii="Times New Roman" w:hAnsi="Times New Roman" w:eastAsia="宋体"/>
                      <w:color w:val="auto"/>
                    </w:rPr>
                    <w:t>加强道路运营期管理，合理设置禁鸣标志、限速标志</w:t>
                  </w:r>
                  <w:r>
                    <w:rPr>
                      <w:rFonts w:hint="eastAsia" w:ascii="Times New Roman" w:hAnsi="Times New Roman" w:eastAsia="宋体"/>
                      <w:color w:val="auto"/>
                      <w:lang w:eastAsia="zh-CN"/>
                    </w:rPr>
                    <w:t>；</w:t>
                  </w:r>
                  <w:r>
                    <w:rPr>
                      <w:rFonts w:hint="eastAsia" w:ascii="Times New Roman" w:hAnsi="Times New Roman" w:eastAsia="宋体"/>
                      <w:color w:val="auto"/>
                      <w:lang w:val="en-US" w:eastAsia="zh-CN"/>
                    </w:rPr>
                    <w:t>加强</w:t>
                  </w:r>
                  <w:r>
                    <w:rPr>
                      <w:rFonts w:hint="eastAsia" w:ascii="Times New Roman" w:hAnsi="Times New Roman" w:eastAsia="宋体"/>
                      <w:color w:val="auto"/>
                      <w:lang w:eastAsia="zh-CN"/>
                    </w:rPr>
                    <w:t>维护路面平整；</w:t>
                  </w:r>
                  <w:r>
                    <w:rPr>
                      <w:rFonts w:hint="eastAsia" w:ascii="Times New Roman" w:hAnsi="Times New Roman" w:eastAsia="宋体"/>
                      <w:color w:val="auto"/>
                      <w:lang w:val="en-US" w:eastAsia="zh-CN"/>
                    </w:rPr>
                    <w:t>预留跟踪监测及噪声治理等费用</w:t>
                  </w:r>
                  <w:r>
                    <w:rPr>
                      <w:rFonts w:ascii="Times New Roman" w:hAnsi="Times New Roman" w:eastAsia="宋体"/>
                      <w:color w:val="auto"/>
                    </w:rPr>
                    <w:t>。</w:t>
                  </w:r>
                </w:p>
              </w:tc>
            </w:tr>
            <w:tr w14:paraId="3C46A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1B980088">
                  <w:pPr>
                    <w:pStyle w:val="23"/>
                    <w:bidi w:val="0"/>
                    <w:rPr>
                      <w:rFonts w:hint="eastAsia"/>
                      <w:color w:val="auto"/>
                    </w:rPr>
                  </w:pPr>
                </w:p>
              </w:tc>
              <w:tc>
                <w:tcPr>
                  <w:tcW w:w="699" w:type="pct"/>
                  <w:vAlign w:val="center"/>
                </w:tcPr>
                <w:p w14:paraId="735B377F">
                  <w:pPr>
                    <w:pStyle w:val="23"/>
                    <w:bidi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固废</w:t>
                  </w:r>
                </w:p>
              </w:tc>
              <w:tc>
                <w:tcPr>
                  <w:tcW w:w="3922" w:type="pct"/>
                  <w:vAlign w:val="center"/>
                </w:tcPr>
                <w:p w14:paraId="560D3A04">
                  <w:pPr>
                    <w:pStyle w:val="23"/>
                    <w:bidi w:val="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施工期：表土堆放于施工场地的表土临时堆放区内，堆放过程采取覆盖、拦挡等措施，用于路基边坡、景观绿化用土；弃方调运至周边建设项目进行平衡；生活垃圾依托周边收集设施收集并由当地环卫系统收运处置。</w:t>
                  </w:r>
                </w:p>
                <w:p w14:paraId="35A6BBD5">
                  <w:pPr>
                    <w:pStyle w:val="23"/>
                    <w:bidi w:val="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运营期：定期清理路面垃圾，交由当地环卫系统收运处置。</w:t>
                  </w:r>
                </w:p>
              </w:tc>
            </w:tr>
            <w:tr w14:paraId="02AEC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vMerge w:val="continue"/>
                  <w:vAlign w:val="center"/>
                </w:tcPr>
                <w:p w14:paraId="3B163C6B">
                  <w:pPr>
                    <w:pStyle w:val="23"/>
                    <w:bidi w:val="0"/>
                    <w:rPr>
                      <w:rFonts w:hint="eastAsia"/>
                      <w:color w:val="auto"/>
                    </w:rPr>
                  </w:pPr>
                </w:p>
              </w:tc>
              <w:tc>
                <w:tcPr>
                  <w:tcW w:w="699" w:type="pct"/>
                  <w:vAlign w:val="center"/>
                </w:tcPr>
                <w:p w14:paraId="1B3FC6E1">
                  <w:pPr>
                    <w:pStyle w:val="23"/>
                    <w:bidi w:val="0"/>
                    <w:jc w:val="center"/>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生态</w:t>
                  </w:r>
                </w:p>
              </w:tc>
              <w:tc>
                <w:tcPr>
                  <w:tcW w:w="3922" w:type="pct"/>
                  <w:vAlign w:val="center"/>
                </w:tcPr>
                <w:p w14:paraId="705CA9CA">
                  <w:pPr>
                    <w:pStyle w:val="23"/>
                    <w:bidi w:val="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施工期：严格控制施工作业范围；进行占地范围内表土剥离并堆放于表土临时堆放区内，堆放过程采取覆盖、拦挡等措施，后期用于路基边坡、景观绿化用土；路基开挖尽量避开雨季施工，做好排水措施；按水土保持方案实施水土保持措施；完成道路边坡绿化、景观绿化；施工结束后拆除施工场地内的设施，进行场地清理和平整，该施工场地占地范围经修建为万达广场商业广场，无需进行生态恢复。</w:t>
                  </w:r>
                </w:p>
                <w:p w14:paraId="363A3AEF">
                  <w:pPr>
                    <w:pStyle w:val="23"/>
                    <w:bidi w:val="0"/>
                    <w:jc w:val="both"/>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运营期：加强道路边坡绿化、景观绿化维护。</w:t>
                  </w:r>
                </w:p>
              </w:tc>
            </w:tr>
          </w:tbl>
          <w:p w14:paraId="55E75E53">
            <w:pPr>
              <w:pStyle w:val="4"/>
              <w:rPr>
                <w:color w:val="auto"/>
              </w:rPr>
            </w:pPr>
            <w:r>
              <w:rPr>
                <w:rFonts w:hint="eastAsia"/>
                <w:color w:val="auto"/>
              </w:rPr>
              <w:t>主要技术指标</w:t>
            </w:r>
          </w:p>
          <w:p w14:paraId="10B86275">
            <w:pPr>
              <w:pStyle w:val="21"/>
              <w:jc w:val="both"/>
              <w:rPr>
                <w:rFonts w:hint="eastAsia"/>
                <w:color w:val="auto"/>
              </w:rPr>
            </w:pPr>
            <w:r>
              <w:rPr>
                <w:rFonts w:hint="eastAsia"/>
                <w:color w:val="auto"/>
              </w:rPr>
              <w:t>本项目主要技术指标见下表。</w:t>
            </w:r>
          </w:p>
          <w:p w14:paraId="3AE84834">
            <w:pPr>
              <w:pStyle w:val="6"/>
              <w:spacing w:before="156"/>
              <w:rPr>
                <w:color w:val="auto"/>
              </w:rPr>
            </w:pPr>
            <w:r>
              <w:rPr>
                <w:rFonts w:hint="eastAsia"/>
                <w:color w:val="auto"/>
              </w:rPr>
              <w:t>项目1号桥主要技术指标表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788"/>
              <w:gridCol w:w="2884"/>
              <w:gridCol w:w="2907"/>
            </w:tblGrid>
            <w:tr w14:paraId="5E2A7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1DC9A660">
                  <w:pPr>
                    <w:pStyle w:val="23"/>
                    <w:bidi w:val="0"/>
                    <w:rPr>
                      <w:rFonts w:hint="default"/>
                      <w:color w:val="auto"/>
                    </w:rPr>
                  </w:pPr>
                  <w:r>
                    <w:rPr>
                      <w:rFonts w:hint="default"/>
                      <w:color w:val="auto"/>
                    </w:rPr>
                    <w:t>序号</w:t>
                  </w:r>
                </w:p>
              </w:tc>
              <w:tc>
                <w:tcPr>
                  <w:tcW w:w="1080" w:type="pct"/>
                  <w:tcBorders>
                    <w:tl2br w:val="nil"/>
                    <w:tr2bl w:val="nil"/>
                  </w:tcBorders>
                  <w:vAlign w:val="center"/>
                </w:tcPr>
                <w:p w14:paraId="207A035B">
                  <w:pPr>
                    <w:pStyle w:val="23"/>
                    <w:bidi w:val="0"/>
                    <w:rPr>
                      <w:rFonts w:hint="default"/>
                      <w:color w:val="auto"/>
                    </w:rPr>
                  </w:pPr>
                  <w:r>
                    <w:rPr>
                      <w:rFonts w:hint="default"/>
                      <w:color w:val="auto"/>
                    </w:rPr>
                    <w:t>道路名称</w:t>
                  </w:r>
                </w:p>
              </w:tc>
              <w:tc>
                <w:tcPr>
                  <w:tcW w:w="1742" w:type="pct"/>
                  <w:tcBorders>
                    <w:tl2br w:val="nil"/>
                    <w:tr2bl w:val="nil"/>
                  </w:tcBorders>
                  <w:vAlign w:val="center"/>
                </w:tcPr>
                <w:p w14:paraId="44F84C9A">
                  <w:pPr>
                    <w:pStyle w:val="23"/>
                    <w:bidi w:val="0"/>
                    <w:rPr>
                      <w:rFonts w:hint="default"/>
                      <w:color w:val="auto"/>
                    </w:rPr>
                  </w:pPr>
                  <w:r>
                    <w:rPr>
                      <w:rFonts w:hint="default"/>
                      <w:color w:val="auto"/>
                    </w:rPr>
                    <w:t>规范值</w:t>
                  </w:r>
                </w:p>
              </w:tc>
              <w:tc>
                <w:tcPr>
                  <w:tcW w:w="1755" w:type="pct"/>
                  <w:tcBorders>
                    <w:tl2br w:val="nil"/>
                    <w:tr2bl w:val="nil"/>
                  </w:tcBorders>
                  <w:vAlign w:val="center"/>
                </w:tcPr>
                <w:p w14:paraId="4F59EAA6">
                  <w:pPr>
                    <w:pStyle w:val="23"/>
                    <w:bidi w:val="0"/>
                    <w:rPr>
                      <w:rFonts w:hint="default"/>
                      <w:color w:val="auto"/>
                    </w:rPr>
                  </w:pPr>
                  <w:r>
                    <w:rPr>
                      <w:rFonts w:hint="default"/>
                      <w:color w:val="auto"/>
                    </w:rPr>
                    <w:t>1号桥</w:t>
                  </w:r>
                </w:p>
              </w:tc>
            </w:tr>
            <w:tr w14:paraId="7822F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6A91D3A3">
                  <w:pPr>
                    <w:pStyle w:val="23"/>
                    <w:bidi w:val="0"/>
                    <w:rPr>
                      <w:rFonts w:hint="default"/>
                      <w:color w:val="auto"/>
                    </w:rPr>
                  </w:pPr>
                  <w:r>
                    <w:rPr>
                      <w:rFonts w:hint="default"/>
                      <w:color w:val="auto"/>
                    </w:rPr>
                    <w:t>1</w:t>
                  </w:r>
                </w:p>
              </w:tc>
              <w:tc>
                <w:tcPr>
                  <w:tcW w:w="1080" w:type="pct"/>
                  <w:tcBorders>
                    <w:tl2br w:val="nil"/>
                    <w:tr2bl w:val="nil"/>
                  </w:tcBorders>
                  <w:vAlign w:val="center"/>
                </w:tcPr>
                <w:p w14:paraId="267FD0D6">
                  <w:pPr>
                    <w:pStyle w:val="23"/>
                    <w:bidi w:val="0"/>
                    <w:rPr>
                      <w:rFonts w:hint="default"/>
                      <w:color w:val="auto"/>
                    </w:rPr>
                  </w:pPr>
                  <w:r>
                    <w:rPr>
                      <w:rFonts w:hint="default"/>
                      <w:color w:val="auto"/>
                    </w:rPr>
                    <w:t>道路等级</w:t>
                  </w:r>
                </w:p>
              </w:tc>
              <w:tc>
                <w:tcPr>
                  <w:tcW w:w="1742" w:type="pct"/>
                  <w:tcBorders>
                    <w:tl2br w:val="nil"/>
                    <w:tr2bl w:val="nil"/>
                  </w:tcBorders>
                  <w:vAlign w:val="center"/>
                </w:tcPr>
                <w:p w14:paraId="33812A9F">
                  <w:pPr>
                    <w:pStyle w:val="23"/>
                    <w:bidi w:val="0"/>
                    <w:rPr>
                      <w:rFonts w:hint="default"/>
                      <w:color w:val="auto"/>
                    </w:rPr>
                  </w:pPr>
                  <w:r>
                    <w:rPr>
                      <w:rFonts w:hint="default"/>
                      <w:color w:val="auto"/>
                    </w:rPr>
                    <w:t>城市次干路</w:t>
                  </w:r>
                </w:p>
              </w:tc>
              <w:tc>
                <w:tcPr>
                  <w:tcW w:w="1755" w:type="pct"/>
                  <w:tcBorders>
                    <w:tl2br w:val="nil"/>
                    <w:tr2bl w:val="nil"/>
                  </w:tcBorders>
                  <w:vAlign w:val="center"/>
                </w:tcPr>
                <w:p w14:paraId="576108F5">
                  <w:pPr>
                    <w:pStyle w:val="23"/>
                    <w:bidi w:val="0"/>
                    <w:rPr>
                      <w:rFonts w:hint="default"/>
                      <w:color w:val="auto"/>
                    </w:rPr>
                  </w:pPr>
                  <w:r>
                    <w:rPr>
                      <w:rFonts w:hint="default"/>
                      <w:color w:val="auto"/>
                    </w:rPr>
                    <w:t>城市次干路</w:t>
                  </w:r>
                </w:p>
              </w:tc>
            </w:tr>
            <w:tr w14:paraId="42769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51A3A8AB">
                  <w:pPr>
                    <w:pStyle w:val="23"/>
                    <w:bidi w:val="0"/>
                    <w:rPr>
                      <w:rFonts w:hint="default"/>
                      <w:color w:val="auto"/>
                    </w:rPr>
                  </w:pPr>
                  <w:r>
                    <w:rPr>
                      <w:rFonts w:hint="default"/>
                      <w:color w:val="auto"/>
                    </w:rPr>
                    <w:t>2</w:t>
                  </w:r>
                </w:p>
              </w:tc>
              <w:tc>
                <w:tcPr>
                  <w:tcW w:w="1080" w:type="pct"/>
                  <w:tcBorders>
                    <w:tl2br w:val="nil"/>
                    <w:tr2bl w:val="nil"/>
                  </w:tcBorders>
                  <w:vAlign w:val="center"/>
                </w:tcPr>
                <w:p w14:paraId="7E415B5E">
                  <w:pPr>
                    <w:pStyle w:val="23"/>
                    <w:bidi w:val="0"/>
                    <w:rPr>
                      <w:rFonts w:hint="default"/>
                      <w:color w:val="auto"/>
                    </w:rPr>
                  </w:pPr>
                  <w:r>
                    <w:rPr>
                      <w:rFonts w:hint="default"/>
                      <w:color w:val="auto"/>
                    </w:rPr>
                    <w:t>设计</w:t>
                  </w:r>
                  <w:r>
                    <w:rPr>
                      <w:rFonts w:hint="default"/>
                      <w:color w:val="auto"/>
                      <w:lang w:val="en-US" w:eastAsia="zh-CN"/>
                    </w:rPr>
                    <w:t>工作</w:t>
                  </w:r>
                  <w:r>
                    <w:rPr>
                      <w:rFonts w:hint="default"/>
                      <w:color w:val="auto"/>
                    </w:rPr>
                    <w:t>年限</w:t>
                  </w:r>
                </w:p>
              </w:tc>
              <w:tc>
                <w:tcPr>
                  <w:tcW w:w="3497" w:type="pct"/>
                  <w:gridSpan w:val="2"/>
                  <w:tcBorders>
                    <w:tl2br w:val="nil"/>
                    <w:tr2bl w:val="nil"/>
                  </w:tcBorders>
                  <w:vAlign w:val="center"/>
                </w:tcPr>
                <w:p w14:paraId="710B8F3E">
                  <w:pPr>
                    <w:pStyle w:val="23"/>
                    <w:bidi w:val="0"/>
                    <w:rPr>
                      <w:rFonts w:hint="default"/>
                      <w:color w:val="auto"/>
                    </w:rPr>
                  </w:pPr>
                  <w:r>
                    <w:rPr>
                      <w:rFonts w:hint="default"/>
                      <w:color w:val="auto"/>
                    </w:rPr>
                    <w:t>交通量饱和设计年限15年，</w:t>
                  </w:r>
                </w:p>
                <w:p w14:paraId="52F6424C">
                  <w:pPr>
                    <w:pStyle w:val="23"/>
                    <w:bidi w:val="0"/>
                    <w:rPr>
                      <w:rFonts w:hint="default"/>
                      <w:color w:val="auto"/>
                    </w:rPr>
                  </w:pPr>
                  <w:r>
                    <w:rPr>
                      <w:rFonts w:hint="default"/>
                      <w:color w:val="auto"/>
                    </w:rPr>
                    <w:t>SMA沥青砼路面结构设计年限15年</w:t>
                  </w:r>
                </w:p>
              </w:tc>
            </w:tr>
            <w:tr w14:paraId="6FAC4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6A8F19DB">
                  <w:pPr>
                    <w:pStyle w:val="23"/>
                    <w:bidi w:val="0"/>
                    <w:rPr>
                      <w:rFonts w:hint="default"/>
                      <w:color w:val="auto"/>
                    </w:rPr>
                  </w:pPr>
                  <w:r>
                    <w:rPr>
                      <w:rFonts w:hint="default"/>
                      <w:color w:val="auto"/>
                    </w:rPr>
                    <w:t>3</w:t>
                  </w:r>
                </w:p>
              </w:tc>
              <w:tc>
                <w:tcPr>
                  <w:tcW w:w="1080" w:type="pct"/>
                  <w:tcBorders>
                    <w:tl2br w:val="nil"/>
                    <w:tr2bl w:val="nil"/>
                  </w:tcBorders>
                  <w:vAlign w:val="center"/>
                </w:tcPr>
                <w:p w14:paraId="2218A495">
                  <w:pPr>
                    <w:pStyle w:val="23"/>
                    <w:bidi w:val="0"/>
                    <w:rPr>
                      <w:rFonts w:hint="default"/>
                      <w:color w:val="auto"/>
                    </w:rPr>
                  </w:pPr>
                  <w:r>
                    <w:rPr>
                      <w:rFonts w:hint="default"/>
                      <w:color w:val="auto"/>
                    </w:rPr>
                    <w:t>设计速度</w:t>
                  </w:r>
                </w:p>
              </w:tc>
              <w:tc>
                <w:tcPr>
                  <w:tcW w:w="1742" w:type="pct"/>
                  <w:tcBorders>
                    <w:tl2br w:val="nil"/>
                    <w:tr2bl w:val="nil"/>
                  </w:tcBorders>
                  <w:vAlign w:val="center"/>
                </w:tcPr>
                <w:p w14:paraId="08215F68">
                  <w:pPr>
                    <w:pStyle w:val="23"/>
                    <w:bidi w:val="0"/>
                    <w:rPr>
                      <w:rFonts w:hint="default"/>
                      <w:color w:val="auto"/>
                    </w:rPr>
                  </w:pPr>
                  <w:r>
                    <w:rPr>
                      <w:rFonts w:hint="default"/>
                      <w:color w:val="auto"/>
                    </w:rPr>
                    <w:t>30/40/50km/h</w:t>
                  </w:r>
                </w:p>
              </w:tc>
              <w:tc>
                <w:tcPr>
                  <w:tcW w:w="1755" w:type="pct"/>
                  <w:tcBorders>
                    <w:tl2br w:val="nil"/>
                    <w:tr2bl w:val="nil"/>
                  </w:tcBorders>
                  <w:vAlign w:val="center"/>
                </w:tcPr>
                <w:p w14:paraId="0E3E222D">
                  <w:pPr>
                    <w:pStyle w:val="23"/>
                    <w:bidi w:val="0"/>
                    <w:rPr>
                      <w:rFonts w:hint="default"/>
                      <w:color w:val="auto"/>
                    </w:rPr>
                  </w:pPr>
                  <w:r>
                    <w:rPr>
                      <w:rFonts w:hint="default"/>
                      <w:color w:val="auto"/>
                    </w:rPr>
                    <w:t>30km/h</w:t>
                  </w:r>
                </w:p>
              </w:tc>
            </w:tr>
            <w:tr w14:paraId="36BB2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5693083B">
                  <w:pPr>
                    <w:pStyle w:val="23"/>
                    <w:bidi w:val="0"/>
                    <w:rPr>
                      <w:rFonts w:hint="default"/>
                      <w:color w:val="auto"/>
                    </w:rPr>
                  </w:pPr>
                  <w:r>
                    <w:rPr>
                      <w:rFonts w:hint="default"/>
                      <w:color w:val="auto"/>
                    </w:rPr>
                    <w:t>4</w:t>
                  </w:r>
                </w:p>
              </w:tc>
              <w:tc>
                <w:tcPr>
                  <w:tcW w:w="1080" w:type="pct"/>
                  <w:tcBorders>
                    <w:tl2br w:val="nil"/>
                    <w:tr2bl w:val="nil"/>
                  </w:tcBorders>
                  <w:vAlign w:val="center"/>
                </w:tcPr>
                <w:p w14:paraId="65CB5EED">
                  <w:pPr>
                    <w:pStyle w:val="23"/>
                    <w:bidi w:val="0"/>
                    <w:rPr>
                      <w:rFonts w:hint="default"/>
                      <w:color w:val="auto"/>
                    </w:rPr>
                  </w:pPr>
                  <w:r>
                    <w:rPr>
                      <w:rFonts w:hint="default"/>
                      <w:color w:val="auto"/>
                    </w:rPr>
                    <w:t>桥梁总宽</w:t>
                  </w:r>
                </w:p>
              </w:tc>
              <w:tc>
                <w:tcPr>
                  <w:tcW w:w="3497" w:type="pct"/>
                  <w:gridSpan w:val="2"/>
                  <w:tcBorders>
                    <w:tl2br w:val="nil"/>
                    <w:tr2bl w:val="nil"/>
                  </w:tcBorders>
                  <w:vAlign w:val="center"/>
                </w:tcPr>
                <w:p w14:paraId="56EF914B">
                  <w:pPr>
                    <w:pStyle w:val="23"/>
                    <w:bidi w:val="0"/>
                    <w:rPr>
                      <w:rFonts w:hint="default"/>
                      <w:color w:val="auto"/>
                    </w:rPr>
                  </w:pPr>
                  <w:r>
                    <w:rPr>
                      <w:rFonts w:hint="default"/>
                      <w:color w:val="auto"/>
                    </w:rPr>
                    <w:t>34.30m</w:t>
                  </w:r>
                </w:p>
              </w:tc>
            </w:tr>
            <w:tr w14:paraId="434EC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1474DAC5">
                  <w:pPr>
                    <w:pStyle w:val="23"/>
                    <w:bidi w:val="0"/>
                    <w:rPr>
                      <w:rFonts w:hint="default"/>
                      <w:color w:val="auto"/>
                    </w:rPr>
                  </w:pPr>
                  <w:r>
                    <w:rPr>
                      <w:rFonts w:hint="default"/>
                      <w:color w:val="auto"/>
                    </w:rPr>
                    <w:t>5</w:t>
                  </w:r>
                </w:p>
              </w:tc>
              <w:tc>
                <w:tcPr>
                  <w:tcW w:w="1080" w:type="pct"/>
                  <w:tcBorders>
                    <w:tl2br w:val="nil"/>
                    <w:tr2bl w:val="nil"/>
                  </w:tcBorders>
                  <w:vAlign w:val="center"/>
                </w:tcPr>
                <w:p w14:paraId="259C7A83">
                  <w:pPr>
                    <w:pStyle w:val="23"/>
                    <w:bidi w:val="0"/>
                    <w:rPr>
                      <w:rFonts w:hint="default"/>
                      <w:color w:val="auto"/>
                    </w:rPr>
                  </w:pPr>
                  <w:r>
                    <w:rPr>
                      <w:rFonts w:hint="default"/>
                      <w:color w:val="auto"/>
                    </w:rPr>
                    <w:t>路线长</w:t>
                  </w:r>
                </w:p>
              </w:tc>
              <w:tc>
                <w:tcPr>
                  <w:tcW w:w="1742" w:type="pct"/>
                  <w:tcBorders>
                    <w:tl2br w:val="nil"/>
                    <w:tr2bl w:val="nil"/>
                  </w:tcBorders>
                  <w:vAlign w:val="center"/>
                </w:tcPr>
                <w:p w14:paraId="6FAF3534">
                  <w:pPr>
                    <w:pStyle w:val="23"/>
                    <w:bidi w:val="0"/>
                    <w:rPr>
                      <w:rFonts w:hint="default"/>
                      <w:color w:val="auto"/>
                    </w:rPr>
                  </w:pPr>
                  <w:r>
                    <w:rPr>
                      <w:rFonts w:hint="default"/>
                      <w:color w:val="auto"/>
                    </w:rPr>
                    <w:t>/</w:t>
                  </w:r>
                </w:p>
              </w:tc>
              <w:tc>
                <w:tcPr>
                  <w:tcW w:w="1755" w:type="pct"/>
                  <w:tcBorders>
                    <w:tl2br w:val="nil"/>
                    <w:tr2bl w:val="nil"/>
                  </w:tcBorders>
                  <w:vAlign w:val="center"/>
                </w:tcPr>
                <w:p w14:paraId="26B8D149">
                  <w:pPr>
                    <w:pStyle w:val="23"/>
                    <w:bidi w:val="0"/>
                    <w:rPr>
                      <w:rFonts w:hint="default"/>
                      <w:color w:val="auto"/>
                    </w:rPr>
                  </w:pPr>
                  <w:r>
                    <w:rPr>
                      <w:rFonts w:hint="default"/>
                      <w:color w:val="auto"/>
                    </w:rPr>
                    <w:t>52.009m</w:t>
                  </w:r>
                </w:p>
              </w:tc>
            </w:tr>
            <w:tr w14:paraId="757C6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289850CC">
                  <w:pPr>
                    <w:pStyle w:val="23"/>
                    <w:bidi w:val="0"/>
                    <w:rPr>
                      <w:rFonts w:hint="default"/>
                      <w:color w:val="auto"/>
                    </w:rPr>
                  </w:pPr>
                  <w:r>
                    <w:rPr>
                      <w:rFonts w:hint="default"/>
                      <w:color w:val="auto"/>
                    </w:rPr>
                    <w:t>6</w:t>
                  </w:r>
                </w:p>
              </w:tc>
              <w:tc>
                <w:tcPr>
                  <w:tcW w:w="1080" w:type="pct"/>
                  <w:tcBorders>
                    <w:tl2br w:val="nil"/>
                    <w:tr2bl w:val="nil"/>
                  </w:tcBorders>
                  <w:vAlign w:val="center"/>
                </w:tcPr>
                <w:p w14:paraId="7E45931F">
                  <w:pPr>
                    <w:pStyle w:val="23"/>
                    <w:bidi w:val="0"/>
                    <w:rPr>
                      <w:rFonts w:hint="default"/>
                      <w:color w:val="auto"/>
                    </w:rPr>
                  </w:pPr>
                  <w:r>
                    <w:rPr>
                      <w:rFonts w:hint="default"/>
                      <w:color w:val="auto"/>
                    </w:rPr>
                    <w:t>最大纵坡</w:t>
                  </w:r>
                </w:p>
              </w:tc>
              <w:tc>
                <w:tcPr>
                  <w:tcW w:w="1742" w:type="pct"/>
                  <w:tcBorders>
                    <w:tl2br w:val="nil"/>
                    <w:tr2bl w:val="nil"/>
                  </w:tcBorders>
                  <w:vAlign w:val="center"/>
                </w:tcPr>
                <w:p w14:paraId="39C52A41">
                  <w:pPr>
                    <w:pStyle w:val="23"/>
                    <w:bidi w:val="0"/>
                    <w:rPr>
                      <w:rFonts w:hint="default"/>
                      <w:color w:val="auto"/>
                    </w:rPr>
                  </w:pPr>
                  <w:r>
                    <w:rPr>
                      <w:rFonts w:hint="default"/>
                      <w:color w:val="auto"/>
                    </w:rPr>
                    <w:t>8%</w:t>
                  </w:r>
                </w:p>
              </w:tc>
              <w:tc>
                <w:tcPr>
                  <w:tcW w:w="1755" w:type="pct"/>
                  <w:tcBorders>
                    <w:tl2br w:val="nil"/>
                    <w:tr2bl w:val="nil"/>
                  </w:tcBorders>
                  <w:vAlign w:val="center"/>
                </w:tcPr>
                <w:p w14:paraId="229C00E4">
                  <w:pPr>
                    <w:pStyle w:val="23"/>
                    <w:bidi w:val="0"/>
                    <w:rPr>
                      <w:rFonts w:hint="default"/>
                      <w:color w:val="auto"/>
                    </w:rPr>
                  </w:pPr>
                  <w:r>
                    <w:rPr>
                      <w:rFonts w:hint="default"/>
                      <w:color w:val="auto"/>
                    </w:rPr>
                    <w:t>3%</w:t>
                  </w:r>
                </w:p>
              </w:tc>
            </w:tr>
            <w:tr w14:paraId="73D85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3007358F">
                  <w:pPr>
                    <w:pStyle w:val="23"/>
                    <w:bidi w:val="0"/>
                    <w:rPr>
                      <w:rFonts w:hint="default"/>
                      <w:color w:val="auto"/>
                    </w:rPr>
                  </w:pPr>
                  <w:r>
                    <w:rPr>
                      <w:rFonts w:hint="default"/>
                      <w:color w:val="auto"/>
                    </w:rPr>
                    <w:t>7</w:t>
                  </w:r>
                </w:p>
              </w:tc>
              <w:tc>
                <w:tcPr>
                  <w:tcW w:w="1080" w:type="pct"/>
                  <w:tcBorders>
                    <w:tl2br w:val="nil"/>
                    <w:tr2bl w:val="nil"/>
                  </w:tcBorders>
                  <w:vAlign w:val="center"/>
                </w:tcPr>
                <w:p w14:paraId="33DAA6ED">
                  <w:pPr>
                    <w:pStyle w:val="23"/>
                    <w:bidi w:val="0"/>
                    <w:rPr>
                      <w:rFonts w:hint="default"/>
                      <w:color w:val="auto"/>
                    </w:rPr>
                  </w:pPr>
                  <w:r>
                    <w:rPr>
                      <w:rFonts w:hint="default"/>
                      <w:color w:val="auto"/>
                    </w:rPr>
                    <w:t>最小圆曲线半径</w:t>
                  </w:r>
                </w:p>
              </w:tc>
              <w:tc>
                <w:tcPr>
                  <w:tcW w:w="1742" w:type="pct"/>
                  <w:tcBorders>
                    <w:tl2br w:val="nil"/>
                    <w:tr2bl w:val="nil"/>
                  </w:tcBorders>
                  <w:vAlign w:val="center"/>
                </w:tcPr>
                <w:p w14:paraId="64500194">
                  <w:pPr>
                    <w:pStyle w:val="23"/>
                    <w:bidi w:val="0"/>
                    <w:rPr>
                      <w:rFonts w:hint="default"/>
                      <w:color w:val="auto"/>
                    </w:rPr>
                  </w:pPr>
                  <w:r>
                    <w:rPr>
                      <w:rFonts w:hint="default"/>
                      <w:color w:val="auto"/>
                    </w:rPr>
                    <w:t>40m</w:t>
                  </w:r>
                </w:p>
              </w:tc>
              <w:tc>
                <w:tcPr>
                  <w:tcW w:w="1755" w:type="pct"/>
                  <w:tcBorders>
                    <w:tl2br w:val="nil"/>
                    <w:tr2bl w:val="nil"/>
                  </w:tcBorders>
                  <w:vAlign w:val="center"/>
                </w:tcPr>
                <w:p w14:paraId="10085830">
                  <w:pPr>
                    <w:pStyle w:val="23"/>
                    <w:bidi w:val="0"/>
                    <w:rPr>
                      <w:rFonts w:hint="default"/>
                      <w:color w:val="auto"/>
                    </w:rPr>
                  </w:pPr>
                  <w:r>
                    <w:rPr>
                      <w:rFonts w:hint="default"/>
                      <w:color w:val="auto"/>
                    </w:rPr>
                    <w:t>/</w:t>
                  </w:r>
                </w:p>
              </w:tc>
            </w:tr>
            <w:tr w14:paraId="3A16E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3577D6E9">
                  <w:pPr>
                    <w:pStyle w:val="23"/>
                    <w:bidi w:val="0"/>
                    <w:rPr>
                      <w:rFonts w:hint="default"/>
                      <w:color w:val="auto"/>
                    </w:rPr>
                  </w:pPr>
                  <w:r>
                    <w:rPr>
                      <w:rFonts w:hint="default"/>
                      <w:color w:val="auto"/>
                    </w:rPr>
                    <w:t>8</w:t>
                  </w:r>
                </w:p>
              </w:tc>
              <w:tc>
                <w:tcPr>
                  <w:tcW w:w="1080" w:type="pct"/>
                  <w:tcBorders>
                    <w:tl2br w:val="nil"/>
                    <w:tr2bl w:val="nil"/>
                  </w:tcBorders>
                  <w:vAlign w:val="center"/>
                </w:tcPr>
                <w:p w14:paraId="65D316A3">
                  <w:pPr>
                    <w:pStyle w:val="23"/>
                    <w:bidi w:val="0"/>
                    <w:rPr>
                      <w:rFonts w:hint="default"/>
                      <w:color w:val="auto"/>
                    </w:rPr>
                  </w:pPr>
                  <w:r>
                    <w:rPr>
                      <w:rFonts w:hint="default"/>
                      <w:color w:val="auto"/>
                    </w:rPr>
                    <w:t>最小竖曲线半径</w:t>
                  </w:r>
                </w:p>
              </w:tc>
              <w:tc>
                <w:tcPr>
                  <w:tcW w:w="1742" w:type="pct"/>
                  <w:tcBorders>
                    <w:tl2br w:val="nil"/>
                    <w:tr2bl w:val="nil"/>
                  </w:tcBorders>
                  <w:vAlign w:val="center"/>
                </w:tcPr>
                <w:p w14:paraId="37848FD1">
                  <w:pPr>
                    <w:pStyle w:val="23"/>
                    <w:bidi w:val="0"/>
                    <w:rPr>
                      <w:rFonts w:hint="default"/>
                      <w:color w:val="auto"/>
                    </w:rPr>
                  </w:pPr>
                  <w:r>
                    <w:rPr>
                      <w:rFonts w:hint="default"/>
                      <w:color w:val="auto"/>
                    </w:rPr>
                    <w:t>250m</w:t>
                  </w:r>
                  <w:r>
                    <w:rPr>
                      <w:rFonts w:hint="eastAsia"/>
                      <w:color w:val="auto"/>
                      <w:lang w:eastAsia="zh-CN"/>
                    </w:rPr>
                    <w:t>（</w:t>
                  </w:r>
                  <w:r>
                    <w:rPr>
                      <w:rFonts w:hint="default"/>
                      <w:color w:val="auto"/>
                    </w:rPr>
                    <w:t>凹</w:t>
                  </w:r>
                  <w:r>
                    <w:rPr>
                      <w:rFonts w:hint="default"/>
                      <w:color w:val="auto"/>
                      <w:lang w:eastAsia="zh-CN"/>
                    </w:rPr>
                    <w:t>）</w:t>
                  </w:r>
                  <w:r>
                    <w:rPr>
                      <w:rFonts w:hint="default"/>
                      <w:color w:val="auto"/>
                    </w:rPr>
                    <w:t>、250m（凸）</w:t>
                  </w:r>
                </w:p>
              </w:tc>
              <w:tc>
                <w:tcPr>
                  <w:tcW w:w="1755" w:type="pct"/>
                  <w:tcBorders>
                    <w:tl2br w:val="nil"/>
                    <w:tr2bl w:val="nil"/>
                  </w:tcBorders>
                  <w:vAlign w:val="center"/>
                </w:tcPr>
                <w:p w14:paraId="3539ED76">
                  <w:pPr>
                    <w:pStyle w:val="23"/>
                    <w:bidi w:val="0"/>
                    <w:rPr>
                      <w:rFonts w:hint="default"/>
                      <w:color w:val="auto"/>
                    </w:rPr>
                  </w:pPr>
                  <w:r>
                    <w:rPr>
                      <w:rFonts w:hint="default"/>
                      <w:color w:val="auto"/>
                    </w:rPr>
                    <w:t>500m（凸）</w:t>
                  </w:r>
                </w:p>
              </w:tc>
            </w:tr>
            <w:tr w14:paraId="0B6A2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1F58E1A4">
                  <w:pPr>
                    <w:pStyle w:val="23"/>
                    <w:bidi w:val="0"/>
                    <w:rPr>
                      <w:rFonts w:hint="default"/>
                      <w:color w:val="auto"/>
                    </w:rPr>
                  </w:pPr>
                  <w:r>
                    <w:rPr>
                      <w:rFonts w:hint="default"/>
                      <w:color w:val="auto"/>
                    </w:rPr>
                    <w:t>9</w:t>
                  </w:r>
                </w:p>
              </w:tc>
              <w:tc>
                <w:tcPr>
                  <w:tcW w:w="1080" w:type="pct"/>
                  <w:tcBorders>
                    <w:tl2br w:val="nil"/>
                    <w:tr2bl w:val="nil"/>
                  </w:tcBorders>
                  <w:vAlign w:val="center"/>
                </w:tcPr>
                <w:p w14:paraId="556BC9A5">
                  <w:pPr>
                    <w:pStyle w:val="23"/>
                    <w:bidi w:val="0"/>
                    <w:rPr>
                      <w:rFonts w:hint="default"/>
                      <w:color w:val="auto"/>
                    </w:rPr>
                  </w:pPr>
                  <w:r>
                    <w:rPr>
                      <w:rFonts w:hint="default"/>
                      <w:color w:val="auto"/>
                    </w:rPr>
                    <w:t>停车视距</w:t>
                  </w:r>
                </w:p>
              </w:tc>
              <w:tc>
                <w:tcPr>
                  <w:tcW w:w="1742" w:type="pct"/>
                  <w:tcBorders>
                    <w:tl2br w:val="nil"/>
                    <w:tr2bl w:val="nil"/>
                  </w:tcBorders>
                  <w:vAlign w:val="center"/>
                </w:tcPr>
                <w:p w14:paraId="4C70340D">
                  <w:pPr>
                    <w:pStyle w:val="23"/>
                    <w:bidi w:val="0"/>
                    <w:rPr>
                      <w:rFonts w:hint="default"/>
                      <w:color w:val="auto"/>
                    </w:rPr>
                  </w:pPr>
                  <w:r>
                    <w:rPr>
                      <w:rFonts w:hint="default"/>
                      <w:color w:val="auto"/>
                    </w:rPr>
                    <w:t>30m</w:t>
                  </w:r>
                </w:p>
              </w:tc>
              <w:tc>
                <w:tcPr>
                  <w:tcW w:w="1755" w:type="pct"/>
                  <w:tcBorders>
                    <w:tl2br w:val="nil"/>
                    <w:tr2bl w:val="nil"/>
                  </w:tcBorders>
                  <w:vAlign w:val="center"/>
                </w:tcPr>
                <w:p w14:paraId="4CDD3A72">
                  <w:pPr>
                    <w:pStyle w:val="23"/>
                    <w:bidi w:val="0"/>
                    <w:rPr>
                      <w:rFonts w:hint="default"/>
                      <w:color w:val="auto"/>
                    </w:rPr>
                  </w:pPr>
                  <w:r>
                    <w:rPr>
                      <w:rFonts w:hint="default"/>
                      <w:color w:val="auto"/>
                    </w:rPr>
                    <w:t>30m</w:t>
                  </w:r>
                </w:p>
              </w:tc>
            </w:tr>
            <w:tr w14:paraId="6C76F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24B80577">
                  <w:pPr>
                    <w:pStyle w:val="23"/>
                    <w:bidi w:val="0"/>
                    <w:rPr>
                      <w:rFonts w:hint="default"/>
                      <w:color w:val="auto"/>
                    </w:rPr>
                  </w:pPr>
                  <w:r>
                    <w:rPr>
                      <w:rFonts w:hint="default"/>
                      <w:color w:val="auto"/>
                    </w:rPr>
                    <w:t>10</w:t>
                  </w:r>
                </w:p>
              </w:tc>
              <w:tc>
                <w:tcPr>
                  <w:tcW w:w="1080" w:type="pct"/>
                  <w:tcBorders>
                    <w:tl2br w:val="nil"/>
                    <w:tr2bl w:val="nil"/>
                  </w:tcBorders>
                  <w:vAlign w:val="center"/>
                </w:tcPr>
                <w:p w14:paraId="07CBCF95">
                  <w:pPr>
                    <w:pStyle w:val="23"/>
                    <w:bidi w:val="0"/>
                    <w:rPr>
                      <w:rFonts w:hint="default"/>
                      <w:color w:val="auto"/>
                    </w:rPr>
                  </w:pPr>
                  <w:r>
                    <w:rPr>
                      <w:rFonts w:hint="default"/>
                      <w:color w:val="auto"/>
                    </w:rPr>
                    <w:t>路面设计荷载</w:t>
                  </w:r>
                </w:p>
              </w:tc>
              <w:tc>
                <w:tcPr>
                  <w:tcW w:w="1742" w:type="pct"/>
                  <w:tcBorders>
                    <w:tl2br w:val="nil"/>
                    <w:tr2bl w:val="nil"/>
                  </w:tcBorders>
                  <w:vAlign w:val="center"/>
                </w:tcPr>
                <w:p w14:paraId="56CB9E8A">
                  <w:pPr>
                    <w:pStyle w:val="23"/>
                    <w:bidi w:val="0"/>
                    <w:rPr>
                      <w:rFonts w:hint="default"/>
                      <w:color w:val="auto"/>
                    </w:rPr>
                  </w:pPr>
                  <w:r>
                    <w:rPr>
                      <w:rFonts w:hint="default"/>
                      <w:color w:val="auto"/>
                    </w:rPr>
                    <w:t>BZZ-100型标准车</w:t>
                  </w:r>
                </w:p>
              </w:tc>
              <w:tc>
                <w:tcPr>
                  <w:tcW w:w="1755" w:type="pct"/>
                  <w:tcBorders>
                    <w:tl2br w:val="nil"/>
                    <w:tr2bl w:val="nil"/>
                  </w:tcBorders>
                  <w:vAlign w:val="center"/>
                </w:tcPr>
                <w:p w14:paraId="4690CCE3">
                  <w:pPr>
                    <w:pStyle w:val="23"/>
                    <w:bidi w:val="0"/>
                    <w:rPr>
                      <w:rFonts w:hint="default"/>
                      <w:color w:val="auto"/>
                    </w:rPr>
                  </w:pPr>
                  <w:r>
                    <w:rPr>
                      <w:rFonts w:hint="default"/>
                      <w:color w:val="auto"/>
                    </w:rPr>
                    <w:t>BZZ-100型标准车</w:t>
                  </w:r>
                </w:p>
              </w:tc>
            </w:tr>
            <w:tr w14:paraId="46A58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69CEF844">
                  <w:pPr>
                    <w:pStyle w:val="23"/>
                    <w:bidi w:val="0"/>
                    <w:rPr>
                      <w:rFonts w:hint="default"/>
                      <w:color w:val="auto"/>
                    </w:rPr>
                  </w:pPr>
                  <w:r>
                    <w:rPr>
                      <w:rFonts w:hint="default"/>
                      <w:color w:val="auto"/>
                    </w:rPr>
                    <w:t>11</w:t>
                  </w:r>
                </w:p>
              </w:tc>
              <w:tc>
                <w:tcPr>
                  <w:tcW w:w="1080" w:type="pct"/>
                  <w:tcBorders>
                    <w:tl2br w:val="nil"/>
                    <w:tr2bl w:val="nil"/>
                  </w:tcBorders>
                  <w:vAlign w:val="center"/>
                </w:tcPr>
                <w:p w14:paraId="34BA9C3F">
                  <w:pPr>
                    <w:pStyle w:val="23"/>
                    <w:bidi w:val="0"/>
                    <w:rPr>
                      <w:rFonts w:hint="default"/>
                      <w:color w:val="auto"/>
                    </w:rPr>
                  </w:pPr>
                  <w:r>
                    <w:rPr>
                      <w:rFonts w:hint="default"/>
                      <w:color w:val="auto"/>
                    </w:rPr>
                    <w:t>抗震设防烈度</w:t>
                  </w:r>
                </w:p>
              </w:tc>
              <w:tc>
                <w:tcPr>
                  <w:tcW w:w="3497" w:type="pct"/>
                  <w:gridSpan w:val="2"/>
                  <w:tcBorders>
                    <w:tl2br w:val="nil"/>
                    <w:tr2bl w:val="nil"/>
                  </w:tcBorders>
                  <w:vAlign w:val="center"/>
                </w:tcPr>
                <w:p w14:paraId="5480A6D8">
                  <w:pPr>
                    <w:pStyle w:val="23"/>
                    <w:bidi w:val="0"/>
                    <w:rPr>
                      <w:rFonts w:hint="default"/>
                      <w:color w:val="auto"/>
                    </w:rPr>
                  </w:pPr>
                  <w:r>
                    <w:rPr>
                      <w:rFonts w:hint="default"/>
                      <w:color w:val="auto"/>
                    </w:rPr>
                    <w:t>6度（构筑物按7度设防）</w:t>
                  </w:r>
                </w:p>
              </w:tc>
            </w:tr>
            <w:tr w14:paraId="1D046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59233B24">
                  <w:pPr>
                    <w:pStyle w:val="23"/>
                    <w:bidi w:val="0"/>
                    <w:rPr>
                      <w:rFonts w:hint="default"/>
                      <w:color w:val="auto"/>
                      <w:lang w:val="en-US" w:eastAsia="zh-CN"/>
                    </w:rPr>
                  </w:pPr>
                  <w:r>
                    <w:rPr>
                      <w:rFonts w:hint="default"/>
                      <w:color w:val="auto"/>
                      <w:lang w:val="en-US" w:eastAsia="zh-CN"/>
                    </w:rPr>
                    <w:t>12</w:t>
                  </w:r>
                </w:p>
              </w:tc>
              <w:tc>
                <w:tcPr>
                  <w:tcW w:w="1080" w:type="pct"/>
                  <w:tcBorders>
                    <w:tl2br w:val="nil"/>
                    <w:tr2bl w:val="nil"/>
                  </w:tcBorders>
                  <w:vAlign w:val="center"/>
                </w:tcPr>
                <w:p w14:paraId="72E02B58">
                  <w:pPr>
                    <w:pStyle w:val="23"/>
                    <w:bidi w:val="0"/>
                    <w:rPr>
                      <w:rFonts w:hint="default"/>
                      <w:color w:val="auto"/>
                      <w:lang w:val="en-US" w:eastAsia="zh-CN"/>
                    </w:rPr>
                  </w:pPr>
                  <w:r>
                    <w:rPr>
                      <w:rFonts w:hint="default"/>
                      <w:color w:val="auto"/>
                      <w:lang w:val="en-US" w:eastAsia="zh-CN"/>
                    </w:rPr>
                    <w:t>道路净空</w:t>
                  </w:r>
                </w:p>
              </w:tc>
              <w:tc>
                <w:tcPr>
                  <w:tcW w:w="3497" w:type="pct"/>
                  <w:gridSpan w:val="2"/>
                  <w:tcBorders>
                    <w:tl2br w:val="nil"/>
                    <w:tr2bl w:val="nil"/>
                  </w:tcBorders>
                  <w:vAlign w:val="center"/>
                </w:tcPr>
                <w:p w14:paraId="64C39277">
                  <w:pPr>
                    <w:pStyle w:val="23"/>
                    <w:bidi w:val="0"/>
                    <w:rPr>
                      <w:rFonts w:hint="default"/>
                      <w:color w:val="auto"/>
                      <w:lang w:val="en-US" w:eastAsia="zh-CN"/>
                    </w:rPr>
                  </w:pPr>
                  <w:r>
                    <w:rPr>
                      <w:rFonts w:hint="default"/>
                      <w:color w:val="auto"/>
                      <w:lang w:val="en-US" w:eastAsia="zh-CN"/>
                    </w:rPr>
                    <w:t>4.5m</w:t>
                  </w:r>
                </w:p>
              </w:tc>
            </w:tr>
            <w:tr w14:paraId="1B0BF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tcBorders>
                    <w:tl2br w:val="nil"/>
                    <w:tr2bl w:val="nil"/>
                  </w:tcBorders>
                  <w:vAlign w:val="center"/>
                </w:tcPr>
                <w:p w14:paraId="0811A6CE">
                  <w:pPr>
                    <w:pStyle w:val="23"/>
                    <w:bidi w:val="0"/>
                    <w:rPr>
                      <w:rFonts w:hint="default"/>
                      <w:color w:val="auto"/>
                      <w:lang w:val="en-US" w:eastAsia="zh-CN"/>
                    </w:rPr>
                  </w:pPr>
                  <w:r>
                    <w:rPr>
                      <w:rFonts w:hint="default"/>
                      <w:color w:val="auto"/>
                      <w:lang w:val="en-US" w:eastAsia="zh-CN"/>
                    </w:rPr>
                    <w:t>13</w:t>
                  </w:r>
                </w:p>
              </w:tc>
              <w:tc>
                <w:tcPr>
                  <w:tcW w:w="1080" w:type="pct"/>
                  <w:tcBorders>
                    <w:tl2br w:val="nil"/>
                    <w:tr2bl w:val="nil"/>
                  </w:tcBorders>
                  <w:vAlign w:val="center"/>
                </w:tcPr>
                <w:p w14:paraId="29D043E5">
                  <w:pPr>
                    <w:pStyle w:val="23"/>
                    <w:bidi w:val="0"/>
                    <w:rPr>
                      <w:rFonts w:hint="default"/>
                      <w:color w:val="auto"/>
                    </w:rPr>
                  </w:pPr>
                  <w:r>
                    <w:rPr>
                      <w:rFonts w:hint="default"/>
                      <w:color w:val="auto"/>
                    </w:rPr>
                    <w:t>行洪净空</w:t>
                  </w:r>
                </w:p>
              </w:tc>
              <w:tc>
                <w:tcPr>
                  <w:tcW w:w="3497" w:type="pct"/>
                  <w:gridSpan w:val="2"/>
                  <w:tcBorders>
                    <w:tl2br w:val="nil"/>
                    <w:tr2bl w:val="nil"/>
                  </w:tcBorders>
                  <w:vAlign w:val="center"/>
                </w:tcPr>
                <w:p w14:paraId="0C008E4F">
                  <w:pPr>
                    <w:pStyle w:val="23"/>
                    <w:bidi w:val="0"/>
                    <w:rPr>
                      <w:rFonts w:hint="default"/>
                      <w:color w:val="auto"/>
                    </w:rPr>
                  </w:pPr>
                  <w:r>
                    <w:rPr>
                      <w:rFonts w:hint="default"/>
                      <w:color w:val="auto"/>
                    </w:rPr>
                    <w:t>2.5m（100年一遇洪水位控制）</w:t>
                  </w:r>
                </w:p>
              </w:tc>
            </w:tr>
          </w:tbl>
          <w:p w14:paraId="6F141F10">
            <w:pPr>
              <w:pStyle w:val="6"/>
              <w:bidi w:val="0"/>
              <w:rPr>
                <w:rFonts w:hint="default"/>
                <w:color w:val="auto"/>
              </w:rPr>
            </w:pPr>
            <w:r>
              <w:rPr>
                <w:rFonts w:hint="default"/>
                <w:color w:val="auto"/>
              </w:rPr>
              <w:t>项目连接道路主要技术指标表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815"/>
              <w:gridCol w:w="2884"/>
              <w:gridCol w:w="2905"/>
            </w:tblGrid>
            <w:tr w14:paraId="7DCF0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2941B812">
                  <w:pPr>
                    <w:pStyle w:val="23"/>
                    <w:bidi w:val="0"/>
                    <w:rPr>
                      <w:rFonts w:hint="default"/>
                      <w:color w:val="auto"/>
                    </w:rPr>
                  </w:pPr>
                  <w:r>
                    <w:rPr>
                      <w:rFonts w:hint="default"/>
                      <w:color w:val="auto"/>
                    </w:rPr>
                    <w:t>序号</w:t>
                  </w:r>
                </w:p>
              </w:tc>
              <w:tc>
                <w:tcPr>
                  <w:tcW w:w="1096" w:type="pct"/>
                  <w:tcBorders>
                    <w:tl2br w:val="nil"/>
                    <w:tr2bl w:val="nil"/>
                  </w:tcBorders>
                  <w:vAlign w:val="center"/>
                </w:tcPr>
                <w:p w14:paraId="3464436B">
                  <w:pPr>
                    <w:pStyle w:val="23"/>
                    <w:bidi w:val="0"/>
                    <w:rPr>
                      <w:rFonts w:hint="default"/>
                      <w:color w:val="auto"/>
                    </w:rPr>
                  </w:pPr>
                  <w:r>
                    <w:rPr>
                      <w:rFonts w:hint="default"/>
                      <w:color w:val="auto"/>
                    </w:rPr>
                    <w:t>道路名称</w:t>
                  </w:r>
                </w:p>
              </w:tc>
              <w:tc>
                <w:tcPr>
                  <w:tcW w:w="1742" w:type="pct"/>
                  <w:tcBorders>
                    <w:tl2br w:val="nil"/>
                    <w:tr2bl w:val="nil"/>
                  </w:tcBorders>
                  <w:vAlign w:val="center"/>
                </w:tcPr>
                <w:p w14:paraId="68A4F1B1">
                  <w:pPr>
                    <w:pStyle w:val="23"/>
                    <w:bidi w:val="0"/>
                    <w:rPr>
                      <w:rFonts w:hint="default"/>
                      <w:color w:val="auto"/>
                    </w:rPr>
                  </w:pPr>
                  <w:r>
                    <w:rPr>
                      <w:rFonts w:hint="default"/>
                      <w:color w:val="auto"/>
                    </w:rPr>
                    <w:t>规范值</w:t>
                  </w:r>
                </w:p>
              </w:tc>
              <w:tc>
                <w:tcPr>
                  <w:tcW w:w="1754" w:type="pct"/>
                  <w:tcBorders>
                    <w:tl2br w:val="nil"/>
                    <w:tr2bl w:val="nil"/>
                  </w:tcBorders>
                  <w:vAlign w:val="center"/>
                </w:tcPr>
                <w:p w14:paraId="2602B862">
                  <w:pPr>
                    <w:pStyle w:val="23"/>
                    <w:bidi w:val="0"/>
                    <w:rPr>
                      <w:rFonts w:hint="default"/>
                      <w:color w:val="auto"/>
                    </w:rPr>
                  </w:pPr>
                  <w:r>
                    <w:rPr>
                      <w:rFonts w:hint="default"/>
                      <w:color w:val="auto"/>
                    </w:rPr>
                    <w:t>连接道路</w:t>
                  </w:r>
                </w:p>
              </w:tc>
            </w:tr>
            <w:tr w14:paraId="1AEE2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26B586D6">
                  <w:pPr>
                    <w:pStyle w:val="23"/>
                    <w:bidi w:val="0"/>
                    <w:rPr>
                      <w:rFonts w:hint="default"/>
                      <w:color w:val="auto"/>
                    </w:rPr>
                  </w:pPr>
                  <w:r>
                    <w:rPr>
                      <w:rFonts w:hint="default"/>
                      <w:color w:val="auto"/>
                    </w:rPr>
                    <w:t>1</w:t>
                  </w:r>
                </w:p>
              </w:tc>
              <w:tc>
                <w:tcPr>
                  <w:tcW w:w="1096" w:type="pct"/>
                  <w:tcBorders>
                    <w:tl2br w:val="nil"/>
                    <w:tr2bl w:val="nil"/>
                  </w:tcBorders>
                  <w:vAlign w:val="center"/>
                </w:tcPr>
                <w:p w14:paraId="09E2C080">
                  <w:pPr>
                    <w:pStyle w:val="23"/>
                    <w:bidi w:val="0"/>
                    <w:rPr>
                      <w:rFonts w:hint="default"/>
                      <w:color w:val="auto"/>
                    </w:rPr>
                  </w:pPr>
                  <w:r>
                    <w:rPr>
                      <w:rFonts w:hint="default"/>
                      <w:color w:val="auto"/>
                    </w:rPr>
                    <w:t>道路等级</w:t>
                  </w:r>
                </w:p>
              </w:tc>
              <w:tc>
                <w:tcPr>
                  <w:tcW w:w="1742" w:type="pct"/>
                  <w:tcBorders>
                    <w:tl2br w:val="nil"/>
                    <w:tr2bl w:val="nil"/>
                  </w:tcBorders>
                  <w:vAlign w:val="center"/>
                </w:tcPr>
                <w:p w14:paraId="3504E061">
                  <w:pPr>
                    <w:pStyle w:val="23"/>
                    <w:bidi w:val="0"/>
                    <w:rPr>
                      <w:rFonts w:hint="default"/>
                      <w:color w:val="auto"/>
                    </w:rPr>
                  </w:pPr>
                  <w:r>
                    <w:rPr>
                      <w:rFonts w:hint="default"/>
                      <w:color w:val="auto"/>
                    </w:rPr>
                    <w:t>城市支路</w:t>
                  </w:r>
                </w:p>
              </w:tc>
              <w:tc>
                <w:tcPr>
                  <w:tcW w:w="1754" w:type="pct"/>
                  <w:tcBorders>
                    <w:tl2br w:val="nil"/>
                    <w:tr2bl w:val="nil"/>
                  </w:tcBorders>
                  <w:vAlign w:val="center"/>
                </w:tcPr>
                <w:p w14:paraId="290A1467">
                  <w:pPr>
                    <w:pStyle w:val="23"/>
                    <w:bidi w:val="0"/>
                    <w:rPr>
                      <w:rFonts w:hint="default"/>
                      <w:color w:val="auto"/>
                    </w:rPr>
                  </w:pPr>
                  <w:r>
                    <w:rPr>
                      <w:rFonts w:hint="default"/>
                      <w:color w:val="auto"/>
                    </w:rPr>
                    <w:t>城市支路</w:t>
                  </w:r>
                </w:p>
              </w:tc>
            </w:tr>
            <w:tr w14:paraId="58919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79DAC1E1">
                  <w:pPr>
                    <w:pStyle w:val="23"/>
                    <w:bidi w:val="0"/>
                    <w:rPr>
                      <w:rFonts w:hint="default"/>
                      <w:color w:val="auto"/>
                    </w:rPr>
                  </w:pPr>
                  <w:r>
                    <w:rPr>
                      <w:rFonts w:hint="default"/>
                      <w:color w:val="auto"/>
                    </w:rPr>
                    <w:t>2</w:t>
                  </w:r>
                </w:p>
              </w:tc>
              <w:tc>
                <w:tcPr>
                  <w:tcW w:w="1096" w:type="pct"/>
                  <w:tcBorders>
                    <w:tl2br w:val="nil"/>
                    <w:tr2bl w:val="nil"/>
                  </w:tcBorders>
                  <w:vAlign w:val="center"/>
                </w:tcPr>
                <w:p w14:paraId="758A00C7">
                  <w:pPr>
                    <w:pStyle w:val="23"/>
                    <w:bidi w:val="0"/>
                    <w:rPr>
                      <w:rFonts w:hint="default"/>
                      <w:color w:val="auto"/>
                    </w:rPr>
                  </w:pPr>
                  <w:r>
                    <w:rPr>
                      <w:rFonts w:hint="default"/>
                      <w:color w:val="auto"/>
                    </w:rPr>
                    <w:t>设计年限</w:t>
                  </w:r>
                </w:p>
              </w:tc>
              <w:tc>
                <w:tcPr>
                  <w:tcW w:w="3496" w:type="pct"/>
                  <w:gridSpan w:val="2"/>
                  <w:tcBorders>
                    <w:tl2br w:val="nil"/>
                    <w:tr2bl w:val="nil"/>
                  </w:tcBorders>
                  <w:vAlign w:val="center"/>
                </w:tcPr>
                <w:p w14:paraId="6D85448C">
                  <w:pPr>
                    <w:pStyle w:val="23"/>
                    <w:bidi w:val="0"/>
                    <w:rPr>
                      <w:rFonts w:hint="default"/>
                      <w:color w:val="auto"/>
                    </w:rPr>
                  </w:pPr>
                  <w:r>
                    <w:rPr>
                      <w:rFonts w:hint="default"/>
                      <w:color w:val="auto"/>
                    </w:rPr>
                    <w:t>交通量饱和设计年限15年，</w:t>
                  </w:r>
                </w:p>
                <w:p w14:paraId="1C92F22E">
                  <w:pPr>
                    <w:pStyle w:val="23"/>
                    <w:bidi w:val="0"/>
                    <w:rPr>
                      <w:rFonts w:hint="default"/>
                      <w:color w:val="auto"/>
                    </w:rPr>
                  </w:pPr>
                  <w:r>
                    <w:rPr>
                      <w:rFonts w:hint="default"/>
                      <w:color w:val="auto"/>
                    </w:rPr>
                    <w:t>SMA沥青砼路面结构设计年限15年</w:t>
                  </w:r>
                </w:p>
              </w:tc>
            </w:tr>
            <w:tr w14:paraId="7FC09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5898B95C">
                  <w:pPr>
                    <w:pStyle w:val="23"/>
                    <w:bidi w:val="0"/>
                    <w:rPr>
                      <w:rFonts w:hint="default"/>
                      <w:color w:val="auto"/>
                    </w:rPr>
                  </w:pPr>
                  <w:r>
                    <w:rPr>
                      <w:rFonts w:hint="default"/>
                      <w:color w:val="auto"/>
                    </w:rPr>
                    <w:t>3</w:t>
                  </w:r>
                </w:p>
              </w:tc>
              <w:tc>
                <w:tcPr>
                  <w:tcW w:w="1096" w:type="pct"/>
                  <w:tcBorders>
                    <w:tl2br w:val="nil"/>
                    <w:tr2bl w:val="nil"/>
                  </w:tcBorders>
                  <w:vAlign w:val="center"/>
                </w:tcPr>
                <w:p w14:paraId="15C2273D">
                  <w:pPr>
                    <w:pStyle w:val="23"/>
                    <w:bidi w:val="0"/>
                    <w:rPr>
                      <w:rFonts w:hint="default"/>
                      <w:color w:val="auto"/>
                    </w:rPr>
                  </w:pPr>
                  <w:r>
                    <w:rPr>
                      <w:rFonts w:hint="default"/>
                      <w:color w:val="auto"/>
                    </w:rPr>
                    <w:t>设计速度</w:t>
                  </w:r>
                </w:p>
              </w:tc>
              <w:tc>
                <w:tcPr>
                  <w:tcW w:w="1742" w:type="pct"/>
                  <w:tcBorders>
                    <w:tl2br w:val="nil"/>
                    <w:tr2bl w:val="nil"/>
                  </w:tcBorders>
                  <w:vAlign w:val="center"/>
                </w:tcPr>
                <w:p w14:paraId="0F6AB1CE">
                  <w:pPr>
                    <w:pStyle w:val="23"/>
                    <w:bidi w:val="0"/>
                    <w:rPr>
                      <w:rFonts w:hint="default"/>
                      <w:color w:val="auto"/>
                    </w:rPr>
                  </w:pPr>
                  <w:r>
                    <w:rPr>
                      <w:rFonts w:hint="default"/>
                      <w:color w:val="auto"/>
                    </w:rPr>
                    <w:t>20/30/40km/h</w:t>
                  </w:r>
                </w:p>
              </w:tc>
              <w:tc>
                <w:tcPr>
                  <w:tcW w:w="1754" w:type="pct"/>
                  <w:tcBorders>
                    <w:tl2br w:val="nil"/>
                    <w:tr2bl w:val="nil"/>
                  </w:tcBorders>
                  <w:vAlign w:val="center"/>
                </w:tcPr>
                <w:p w14:paraId="07F326FB">
                  <w:pPr>
                    <w:pStyle w:val="23"/>
                    <w:bidi w:val="0"/>
                    <w:rPr>
                      <w:rFonts w:hint="default"/>
                      <w:color w:val="auto"/>
                    </w:rPr>
                  </w:pPr>
                  <w:r>
                    <w:rPr>
                      <w:rFonts w:hint="default"/>
                      <w:color w:val="auto"/>
                    </w:rPr>
                    <w:t>20km/h</w:t>
                  </w:r>
                </w:p>
              </w:tc>
            </w:tr>
            <w:tr w14:paraId="0C8A1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7124238E">
                  <w:pPr>
                    <w:pStyle w:val="23"/>
                    <w:bidi w:val="0"/>
                    <w:rPr>
                      <w:rFonts w:hint="default"/>
                      <w:color w:val="auto"/>
                    </w:rPr>
                  </w:pPr>
                  <w:r>
                    <w:rPr>
                      <w:rFonts w:hint="default"/>
                      <w:color w:val="auto"/>
                    </w:rPr>
                    <w:t>4</w:t>
                  </w:r>
                </w:p>
              </w:tc>
              <w:tc>
                <w:tcPr>
                  <w:tcW w:w="1096" w:type="pct"/>
                  <w:tcBorders>
                    <w:tl2br w:val="nil"/>
                    <w:tr2bl w:val="nil"/>
                  </w:tcBorders>
                  <w:vAlign w:val="center"/>
                </w:tcPr>
                <w:p w14:paraId="33742944">
                  <w:pPr>
                    <w:pStyle w:val="23"/>
                    <w:bidi w:val="0"/>
                    <w:rPr>
                      <w:rFonts w:hint="default"/>
                      <w:color w:val="auto"/>
                    </w:rPr>
                  </w:pPr>
                  <w:r>
                    <w:rPr>
                      <w:rFonts w:hint="default"/>
                      <w:color w:val="auto"/>
                    </w:rPr>
                    <w:t>路幅宽度</w:t>
                  </w:r>
                </w:p>
              </w:tc>
              <w:tc>
                <w:tcPr>
                  <w:tcW w:w="3496" w:type="pct"/>
                  <w:gridSpan w:val="2"/>
                  <w:tcBorders>
                    <w:tl2br w:val="nil"/>
                    <w:tr2bl w:val="nil"/>
                  </w:tcBorders>
                  <w:vAlign w:val="center"/>
                </w:tcPr>
                <w:p w14:paraId="5138E0B3">
                  <w:pPr>
                    <w:pStyle w:val="23"/>
                    <w:bidi w:val="0"/>
                    <w:rPr>
                      <w:rFonts w:hint="default"/>
                      <w:color w:val="auto"/>
                    </w:rPr>
                  </w:pPr>
                  <w:r>
                    <w:rPr>
                      <w:rFonts w:hint="default"/>
                      <w:color w:val="auto"/>
                    </w:rPr>
                    <w:t>12m</w:t>
                  </w:r>
                </w:p>
              </w:tc>
            </w:tr>
            <w:tr w14:paraId="4B8A5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5A88C1C8">
                  <w:pPr>
                    <w:pStyle w:val="23"/>
                    <w:bidi w:val="0"/>
                    <w:rPr>
                      <w:rFonts w:hint="default"/>
                      <w:color w:val="auto"/>
                    </w:rPr>
                  </w:pPr>
                  <w:r>
                    <w:rPr>
                      <w:rFonts w:hint="default"/>
                      <w:color w:val="auto"/>
                    </w:rPr>
                    <w:t>5</w:t>
                  </w:r>
                </w:p>
              </w:tc>
              <w:tc>
                <w:tcPr>
                  <w:tcW w:w="1096" w:type="pct"/>
                  <w:tcBorders>
                    <w:tl2br w:val="nil"/>
                    <w:tr2bl w:val="nil"/>
                  </w:tcBorders>
                  <w:vAlign w:val="center"/>
                </w:tcPr>
                <w:p w14:paraId="7E4ACA93">
                  <w:pPr>
                    <w:pStyle w:val="23"/>
                    <w:bidi w:val="0"/>
                    <w:rPr>
                      <w:rFonts w:hint="default"/>
                      <w:color w:val="auto"/>
                    </w:rPr>
                  </w:pPr>
                  <w:r>
                    <w:rPr>
                      <w:rFonts w:hint="default"/>
                      <w:color w:val="auto"/>
                    </w:rPr>
                    <w:t>路线长</w:t>
                  </w:r>
                </w:p>
              </w:tc>
              <w:tc>
                <w:tcPr>
                  <w:tcW w:w="1742" w:type="pct"/>
                  <w:tcBorders>
                    <w:tl2br w:val="nil"/>
                    <w:tr2bl w:val="nil"/>
                  </w:tcBorders>
                  <w:vAlign w:val="center"/>
                </w:tcPr>
                <w:p w14:paraId="2F8BED10">
                  <w:pPr>
                    <w:pStyle w:val="23"/>
                    <w:bidi w:val="0"/>
                    <w:rPr>
                      <w:rFonts w:hint="default"/>
                      <w:color w:val="auto"/>
                    </w:rPr>
                  </w:pPr>
                  <w:r>
                    <w:rPr>
                      <w:rFonts w:hint="default"/>
                      <w:color w:val="auto"/>
                    </w:rPr>
                    <w:t>/</w:t>
                  </w:r>
                </w:p>
              </w:tc>
              <w:tc>
                <w:tcPr>
                  <w:tcW w:w="1754" w:type="pct"/>
                  <w:tcBorders>
                    <w:tl2br w:val="nil"/>
                    <w:tr2bl w:val="nil"/>
                  </w:tcBorders>
                  <w:vAlign w:val="center"/>
                </w:tcPr>
                <w:p w14:paraId="4C71CAF4">
                  <w:pPr>
                    <w:pStyle w:val="23"/>
                    <w:bidi w:val="0"/>
                    <w:rPr>
                      <w:rFonts w:hint="default"/>
                      <w:color w:val="auto"/>
                    </w:rPr>
                  </w:pPr>
                  <w:r>
                    <w:rPr>
                      <w:rFonts w:hint="default"/>
                      <w:color w:val="auto"/>
                    </w:rPr>
                    <w:t>298.327m</w:t>
                  </w:r>
                </w:p>
              </w:tc>
            </w:tr>
            <w:tr w14:paraId="3A4CC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75ECED49">
                  <w:pPr>
                    <w:pStyle w:val="23"/>
                    <w:bidi w:val="0"/>
                    <w:rPr>
                      <w:rFonts w:hint="default"/>
                      <w:color w:val="auto"/>
                    </w:rPr>
                  </w:pPr>
                  <w:r>
                    <w:rPr>
                      <w:rFonts w:hint="default"/>
                      <w:color w:val="auto"/>
                    </w:rPr>
                    <w:t>6</w:t>
                  </w:r>
                </w:p>
              </w:tc>
              <w:tc>
                <w:tcPr>
                  <w:tcW w:w="1096" w:type="pct"/>
                  <w:tcBorders>
                    <w:tl2br w:val="nil"/>
                    <w:tr2bl w:val="nil"/>
                  </w:tcBorders>
                  <w:vAlign w:val="center"/>
                </w:tcPr>
                <w:p w14:paraId="577A6020">
                  <w:pPr>
                    <w:pStyle w:val="23"/>
                    <w:bidi w:val="0"/>
                    <w:rPr>
                      <w:rFonts w:hint="default"/>
                      <w:color w:val="auto"/>
                    </w:rPr>
                  </w:pPr>
                  <w:r>
                    <w:rPr>
                      <w:rFonts w:hint="default"/>
                      <w:color w:val="auto"/>
                    </w:rPr>
                    <w:t>最大纵坡</w:t>
                  </w:r>
                </w:p>
              </w:tc>
              <w:tc>
                <w:tcPr>
                  <w:tcW w:w="1742" w:type="pct"/>
                  <w:tcBorders>
                    <w:tl2br w:val="nil"/>
                    <w:tr2bl w:val="nil"/>
                  </w:tcBorders>
                  <w:vAlign w:val="center"/>
                </w:tcPr>
                <w:p w14:paraId="1EFC2283">
                  <w:pPr>
                    <w:pStyle w:val="23"/>
                    <w:bidi w:val="0"/>
                    <w:rPr>
                      <w:rFonts w:hint="default"/>
                      <w:color w:val="auto"/>
                    </w:rPr>
                  </w:pPr>
                  <w:r>
                    <w:rPr>
                      <w:rFonts w:hint="default"/>
                      <w:color w:val="auto"/>
                    </w:rPr>
                    <w:t>8%</w:t>
                  </w:r>
                </w:p>
              </w:tc>
              <w:tc>
                <w:tcPr>
                  <w:tcW w:w="1754" w:type="pct"/>
                  <w:tcBorders>
                    <w:tl2br w:val="nil"/>
                    <w:tr2bl w:val="nil"/>
                  </w:tcBorders>
                  <w:vAlign w:val="center"/>
                </w:tcPr>
                <w:p w14:paraId="72B31FFD">
                  <w:pPr>
                    <w:pStyle w:val="23"/>
                    <w:bidi w:val="0"/>
                    <w:rPr>
                      <w:rFonts w:hint="default"/>
                      <w:color w:val="auto"/>
                    </w:rPr>
                  </w:pPr>
                  <w:r>
                    <w:rPr>
                      <w:rFonts w:hint="default"/>
                      <w:color w:val="auto"/>
                    </w:rPr>
                    <w:t>7%</w:t>
                  </w:r>
                </w:p>
              </w:tc>
            </w:tr>
            <w:tr w14:paraId="0FC60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69C17267">
                  <w:pPr>
                    <w:pStyle w:val="23"/>
                    <w:bidi w:val="0"/>
                    <w:rPr>
                      <w:rFonts w:hint="default"/>
                      <w:color w:val="auto"/>
                    </w:rPr>
                  </w:pPr>
                  <w:r>
                    <w:rPr>
                      <w:rFonts w:hint="default"/>
                      <w:color w:val="auto"/>
                    </w:rPr>
                    <w:t>7</w:t>
                  </w:r>
                </w:p>
              </w:tc>
              <w:tc>
                <w:tcPr>
                  <w:tcW w:w="1096" w:type="pct"/>
                  <w:tcBorders>
                    <w:tl2br w:val="nil"/>
                    <w:tr2bl w:val="nil"/>
                  </w:tcBorders>
                  <w:vAlign w:val="center"/>
                </w:tcPr>
                <w:p w14:paraId="5ECBCEC3">
                  <w:pPr>
                    <w:pStyle w:val="23"/>
                    <w:bidi w:val="0"/>
                    <w:rPr>
                      <w:rFonts w:hint="default"/>
                      <w:color w:val="auto"/>
                    </w:rPr>
                  </w:pPr>
                  <w:r>
                    <w:rPr>
                      <w:rFonts w:hint="default"/>
                      <w:color w:val="auto"/>
                    </w:rPr>
                    <w:t>最小圆曲线半径</w:t>
                  </w:r>
                </w:p>
              </w:tc>
              <w:tc>
                <w:tcPr>
                  <w:tcW w:w="1742" w:type="pct"/>
                  <w:tcBorders>
                    <w:tl2br w:val="nil"/>
                    <w:tr2bl w:val="nil"/>
                  </w:tcBorders>
                  <w:vAlign w:val="center"/>
                </w:tcPr>
                <w:p w14:paraId="693B98BC">
                  <w:pPr>
                    <w:pStyle w:val="23"/>
                    <w:bidi w:val="0"/>
                    <w:rPr>
                      <w:rFonts w:hint="default"/>
                      <w:color w:val="auto"/>
                    </w:rPr>
                  </w:pPr>
                  <w:r>
                    <w:rPr>
                      <w:rFonts w:hint="default"/>
                      <w:color w:val="auto"/>
                    </w:rPr>
                    <w:t>20m</w:t>
                  </w:r>
                </w:p>
              </w:tc>
              <w:tc>
                <w:tcPr>
                  <w:tcW w:w="1754" w:type="pct"/>
                  <w:tcBorders>
                    <w:tl2br w:val="nil"/>
                    <w:tr2bl w:val="nil"/>
                  </w:tcBorders>
                  <w:vAlign w:val="center"/>
                </w:tcPr>
                <w:p w14:paraId="2C0AD4F3">
                  <w:pPr>
                    <w:pStyle w:val="23"/>
                    <w:bidi w:val="0"/>
                    <w:rPr>
                      <w:rFonts w:hint="default"/>
                      <w:color w:val="auto"/>
                    </w:rPr>
                  </w:pPr>
                  <w:r>
                    <w:rPr>
                      <w:rFonts w:hint="default"/>
                      <w:color w:val="auto"/>
                    </w:rPr>
                    <w:t>/</w:t>
                  </w:r>
                </w:p>
              </w:tc>
            </w:tr>
            <w:tr w14:paraId="2C8B8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53E89BEE">
                  <w:pPr>
                    <w:pStyle w:val="23"/>
                    <w:bidi w:val="0"/>
                    <w:rPr>
                      <w:rFonts w:hint="default"/>
                      <w:color w:val="auto"/>
                    </w:rPr>
                  </w:pPr>
                  <w:r>
                    <w:rPr>
                      <w:rFonts w:hint="default"/>
                      <w:color w:val="auto"/>
                    </w:rPr>
                    <w:t>8</w:t>
                  </w:r>
                </w:p>
              </w:tc>
              <w:tc>
                <w:tcPr>
                  <w:tcW w:w="1096" w:type="pct"/>
                  <w:tcBorders>
                    <w:tl2br w:val="nil"/>
                    <w:tr2bl w:val="nil"/>
                  </w:tcBorders>
                  <w:vAlign w:val="center"/>
                </w:tcPr>
                <w:p w14:paraId="58F3200C">
                  <w:pPr>
                    <w:pStyle w:val="23"/>
                    <w:bidi w:val="0"/>
                    <w:rPr>
                      <w:rFonts w:hint="default"/>
                      <w:color w:val="auto"/>
                    </w:rPr>
                  </w:pPr>
                  <w:r>
                    <w:rPr>
                      <w:rFonts w:hint="default"/>
                      <w:color w:val="auto"/>
                    </w:rPr>
                    <w:t>最小竖曲线半径</w:t>
                  </w:r>
                </w:p>
              </w:tc>
              <w:tc>
                <w:tcPr>
                  <w:tcW w:w="1742" w:type="pct"/>
                  <w:tcBorders>
                    <w:tl2br w:val="nil"/>
                    <w:tr2bl w:val="nil"/>
                  </w:tcBorders>
                  <w:vAlign w:val="center"/>
                </w:tcPr>
                <w:p w14:paraId="3C760027">
                  <w:pPr>
                    <w:pStyle w:val="23"/>
                    <w:bidi w:val="0"/>
                    <w:rPr>
                      <w:rFonts w:hint="default"/>
                      <w:color w:val="auto"/>
                    </w:rPr>
                  </w:pPr>
                  <w:r>
                    <w:rPr>
                      <w:rFonts w:hint="default"/>
                      <w:color w:val="auto"/>
                    </w:rPr>
                    <w:t>100m</w:t>
                  </w:r>
                  <w:r>
                    <w:rPr>
                      <w:rFonts w:hint="eastAsia"/>
                      <w:color w:val="auto"/>
                      <w:lang w:eastAsia="zh-CN"/>
                    </w:rPr>
                    <w:t>（</w:t>
                  </w:r>
                  <w:r>
                    <w:rPr>
                      <w:rFonts w:hint="default"/>
                      <w:color w:val="auto"/>
                    </w:rPr>
                    <w:t>凹</w:t>
                  </w:r>
                  <w:r>
                    <w:rPr>
                      <w:rFonts w:hint="default"/>
                      <w:color w:val="auto"/>
                      <w:lang w:eastAsia="zh-CN"/>
                    </w:rPr>
                    <w:t>）</w:t>
                  </w:r>
                  <w:r>
                    <w:rPr>
                      <w:rFonts w:hint="default"/>
                      <w:color w:val="auto"/>
                    </w:rPr>
                    <w:t>、100m（凸）</w:t>
                  </w:r>
                </w:p>
              </w:tc>
              <w:tc>
                <w:tcPr>
                  <w:tcW w:w="1754" w:type="pct"/>
                  <w:tcBorders>
                    <w:tl2br w:val="nil"/>
                    <w:tr2bl w:val="nil"/>
                  </w:tcBorders>
                  <w:vAlign w:val="center"/>
                </w:tcPr>
                <w:p w14:paraId="2E34B8B9">
                  <w:pPr>
                    <w:pStyle w:val="23"/>
                    <w:bidi w:val="0"/>
                    <w:rPr>
                      <w:rFonts w:hint="default"/>
                      <w:color w:val="auto"/>
                    </w:rPr>
                  </w:pPr>
                  <w:r>
                    <w:rPr>
                      <w:rFonts w:hint="default"/>
                      <w:color w:val="auto"/>
                    </w:rPr>
                    <w:t>500m（凸）、800（凹）</w:t>
                  </w:r>
                </w:p>
              </w:tc>
            </w:tr>
            <w:tr w14:paraId="1400C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4B854C1D">
                  <w:pPr>
                    <w:pStyle w:val="23"/>
                    <w:bidi w:val="0"/>
                    <w:rPr>
                      <w:rFonts w:hint="default"/>
                      <w:color w:val="auto"/>
                    </w:rPr>
                  </w:pPr>
                  <w:r>
                    <w:rPr>
                      <w:rFonts w:hint="default"/>
                      <w:color w:val="auto"/>
                    </w:rPr>
                    <w:t>9</w:t>
                  </w:r>
                </w:p>
              </w:tc>
              <w:tc>
                <w:tcPr>
                  <w:tcW w:w="1096" w:type="pct"/>
                  <w:tcBorders>
                    <w:tl2br w:val="nil"/>
                    <w:tr2bl w:val="nil"/>
                  </w:tcBorders>
                  <w:vAlign w:val="center"/>
                </w:tcPr>
                <w:p w14:paraId="5BA38E12">
                  <w:pPr>
                    <w:pStyle w:val="23"/>
                    <w:bidi w:val="0"/>
                    <w:rPr>
                      <w:rFonts w:hint="default"/>
                      <w:color w:val="auto"/>
                    </w:rPr>
                  </w:pPr>
                  <w:r>
                    <w:rPr>
                      <w:rFonts w:hint="default"/>
                      <w:color w:val="auto"/>
                    </w:rPr>
                    <w:t>停车视距</w:t>
                  </w:r>
                </w:p>
              </w:tc>
              <w:tc>
                <w:tcPr>
                  <w:tcW w:w="1742" w:type="pct"/>
                  <w:tcBorders>
                    <w:tl2br w:val="nil"/>
                    <w:tr2bl w:val="nil"/>
                  </w:tcBorders>
                  <w:vAlign w:val="center"/>
                </w:tcPr>
                <w:p w14:paraId="71B42786">
                  <w:pPr>
                    <w:pStyle w:val="23"/>
                    <w:bidi w:val="0"/>
                    <w:rPr>
                      <w:rFonts w:hint="default"/>
                      <w:color w:val="auto"/>
                    </w:rPr>
                  </w:pPr>
                  <w:r>
                    <w:rPr>
                      <w:rFonts w:hint="default"/>
                      <w:color w:val="auto"/>
                    </w:rPr>
                    <w:t>20m</w:t>
                  </w:r>
                </w:p>
              </w:tc>
              <w:tc>
                <w:tcPr>
                  <w:tcW w:w="1754" w:type="pct"/>
                  <w:tcBorders>
                    <w:tl2br w:val="nil"/>
                    <w:tr2bl w:val="nil"/>
                  </w:tcBorders>
                  <w:vAlign w:val="center"/>
                </w:tcPr>
                <w:p w14:paraId="0E89B250">
                  <w:pPr>
                    <w:pStyle w:val="23"/>
                    <w:bidi w:val="0"/>
                    <w:rPr>
                      <w:rFonts w:hint="default"/>
                      <w:color w:val="auto"/>
                    </w:rPr>
                  </w:pPr>
                  <w:r>
                    <w:rPr>
                      <w:rFonts w:hint="default"/>
                      <w:color w:val="auto"/>
                    </w:rPr>
                    <w:t>20m</w:t>
                  </w:r>
                </w:p>
              </w:tc>
            </w:tr>
            <w:tr w14:paraId="75BF9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435D07FD">
                  <w:pPr>
                    <w:pStyle w:val="23"/>
                    <w:bidi w:val="0"/>
                    <w:rPr>
                      <w:rFonts w:hint="default"/>
                      <w:color w:val="auto"/>
                    </w:rPr>
                  </w:pPr>
                  <w:r>
                    <w:rPr>
                      <w:rFonts w:hint="default"/>
                      <w:color w:val="auto"/>
                    </w:rPr>
                    <w:t>10</w:t>
                  </w:r>
                </w:p>
              </w:tc>
              <w:tc>
                <w:tcPr>
                  <w:tcW w:w="1096" w:type="pct"/>
                  <w:tcBorders>
                    <w:tl2br w:val="nil"/>
                    <w:tr2bl w:val="nil"/>
                  </w:tcBorders>
                  <w:vAlign w:val="center"/>
                </w:tcPr>
                <w:p w14:paraId="41E40DD6">
                  <w:pPr>
                    <w:pStyle w:val="23"/>
                    <w:bidi w:val="0"/>
                    <w:rPr>
                      <w:rFonts w:hint="default"/>
                      <w:color w:val="auto"/>
                    </w:rPr>
                  </w:pPr>
                  <w:r>
                    <w:rPr>
                      <w:rFonts w:hint="default"/>
                      <w:color w:val="auto"/>
                    </w:rPr>
                    <w:t>路面设计荷载</w:t>
                  </w:r>
                </w:p>
              </w:tc>
              <w:tc>
                <w:tcPr>
                  <w:tcW w:w="1742" w:type="pct"/>
                  <w:tcBorders>
                    <w:tl2br w:val="nil"/>
                    <w:tr2bl w:val="nil"/>
                  </w:tcBorders>
                  <w:vAlign w:val="center"/>
                </w:tcPr>
                <w:p w14:paraId="45E06915">
                  <w:pPr>
                    <w:pStyle w:val="23"/>
                    <w:bidi w:val="0"/>
                    <w:rPr>
                      <w:rFonts w:hint="default"/>
                      <w:color w:val="auto"/>
                    </w:rPr>
                  </w:pPr>
                  <w:r>
                    <w:rPr>
                      <w:rFonts w:hint="default"/>
                      <w:color w:val="auto"/>
                    </w:rPr>
                    <w:t>BZZ-100型标准车</w:t>
                  </w:r>
                </w:p>
              </w:tc>
              <w:tc>
                <w:tcPr>
                  <w:tcW w:w="1754" w:type="pct"/>
                  <w:tcBorders>
                    <w:tl2br w:val="nil"/>
                    <w:tr2bl w:val="nil"/>
                  </w:tcBorders>
                  <w:vAlign w:val="center"/>
                </w:tcPr>
                <w:p w14:paraId="4A8878A9">
                  <w:pPr>
                    <w:pStyle w:val="23"/>
                    <w:bidi w:val="0"/>
                    <w:rPr>
                      <w:rFonts w:hint="default"/>
                      <w:color w:val="auto"/>
                    </w:rPr>
                  </w:pPr>
                  <w:r>
                    <w:rPr>
                      <w:rFonts w:hint="default"/>
                      <w:color w:val="auto"/>
                    </w:rPr>
                    <w:t>BZZ-100型标准车</w:t>
                  </w:r>
                </w:p>
              </w:tc>
            </w:tr>
            <w:tr w14:paraId="29CF4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vAlign w:val="center"/>
                </w:tcPr>
                <w:p w14:paraId="5596CCFE">
                  <w:pPr>
                    <w:pStyle w:val="23"/>
                    <w:bidi w:val="0"/>
                    <w:rPr>
                      <w:rFonts w:hint="default"/>
                      <w:color w:val="auto"/>
                    </w:rPr>
                  </w:pPr>
                  <w:r>
                    <w:rPr>
                      <w:rFonts w:hint="default"/>
                      <w:color w:val="auto"/>
                    </w:rPr>
                    <w:t>11</w:t>
                  </w:r>
                </w:p>
              </w:tc>
              <w:tc>
                <w:tcPr>
                  <w:tcW w:w="1096" w:type="pct"/>
                  <w:tcBorders>
                    <w:tl2br w:val="nil"/>
                    <w:tr2bl w:val="nil"/>
                  </w:tcBorders>
                  <w:vAlign w:val="center"/>
                </w:tcPr>
                <w:p w14:paraId="7A6C2440">
                  <w:pPr>
                    <w:pStyle w:val="23"/>
                    <w:bidi w:val="0"/>
                    <w:rPr>
                      <w:rFonts w:hint="default"/>
                      <w:color w:val="auto"/>
                    </w:rPr>
                  </w:pPr>
                  <w:r>
                    <w:rPr>
                      <w:rFonts w:hint="default"/>
                      <w:color w:val="auto"/>
                    </w:rPr>
                    <w:t>抗震设防烈度</w:t>
                  </w:r>
                </w:p>
              </w:tc>
              <w:tc>
                <w:tcPr>
                  <w:tcW w:w="3496" w:type="pct"/>
                  <w:gridSpan w:val="2"/>
                  <w:tcBorders>
                    <w:tl2br w:val="nil"/>
                    <w:tr2bl w:val="nil"/>
                  </w:tcBorders>
                  <w:vAlign w:val="center"/>
                </w:tcPr>
                <w:p w14:paraId="6CD3093C">
                  <w:pPr>
                    <w:pStyle w:val="23"/>
                    <w:bidi w:val="0"/>
                    <w:rPr>
                      <w:rFonts w:hint="default"/>
                      <w:color w:val="auto"/>
                    </w:rPr>
                  </w:pPr>
                  <w:r>
                    <w:rPr>
                      <w:rFonts w:hint="default"/>
                      <w:color w:val="auto"/>
                    </w:rPr>
                    <w:t>6度（构筑物按7度设防）</w:t>
                  </w:r>
                </w:p>
              </w:tc>
            </w:tr>
          </w:tbl>
          <w:p w14:paraId="1988D73A">
            <w:pPr>
              <w:pStyle w:val="3"/>
              <w:bidi w:val="0"/>
              <w:rPr>
                <w:color w:val="auto"/>
              </w:rPr>
            </w:pPr>
            <w:r>
              <w:rPr>
                <w:rFonts w:hint="eastAsia"/>
                <w:color w:val="auto"/>
              </w:rPr>
              <w:t>工程建设方案</w:t>
            </w:r>
          </w:p>
          <w:p w14:paraId="748F983B">
            <w:pPr>
              <w:pStyle w:val="4"/>
              <w:bidi w:val="0"/>
              <w:rPr>
                <w:rFonts w:hint="eastAsia"/>
                <w:color w:val="auto"/>
              </w:rPr>
            </w:pPr>
            <w:r>
              <w:rPr>
                <w:rFonts w:hint="eastAsia"/>
                <w:color w:val="auto"/>
                <w:lang w:val="en-US" w:eastAsia="zh-CN"/>
              </w:rPr>
              <w:t>平面</w:t>
            </w:r>
            <w:r>
              <w:rPr>
                <w:rFonts w:hint="eastAsia"/>
                <w:color w:val="auto"/>
              </w:rPr>
              <w:t>设计</w:t>
            </w:r>
          </w:p>
          <w:p w14:paraId="5C27BCAF">
            <w:pPr>
              <w:pStyle w:val="21"/>
              <w:bidi w:val="0"/>
              <w:jc w:val="both"/>
              <w:rPr>
                <w:rFonts w:hint="eastAsia"/>
                <w:color w:val="auto"/>
              </w:rPr>
            </w:pPr>
            <w:r>
              <w:rPr>
                <w:rFonts w:hint="eastAsia"/>
                <w:color w:val="auto"/>
              </w:rPr>
              <w:t>1号桥</w:t>
            </w:r>
            <w:r>
              <w:rPr>
                <w:rFonts w:hint="eastAsia"/>
                <w:color w:val="auto"/>
                <w:lang w:val="en-US" w:eastAsia="zh-CN"/>
              </w:rPr>
              <w:t>起点接甘溪街，向东跨甘溪沟后终点接万达车库出入口，路线长52.009m，起止点桩号为K0+000.000~K0+052.009。</w:t>
            </w:r>
          </w:p>
          <w:p w14:paraId="632B1BA2">
            <w:pPr>
              <w:pStyle w:val="21"/>
              <w:bidi w:val="0"/>
              <w:jc w:val="both"/>
              <w:rPr>
                <w:rFonts w:hint="eastAsia"/>
                <w:color w:val="auto"/>
                <w:lang w:val="en-US" w:eastAsia="zh-CN"/>
              </w:rPr>
            </w:pPr>
            <w:r>
              <w:rPr>
                <w:rFonts w:hint="eastAsia"/>
                <w:color w:val="auto"/>
                <w:lang w:val="en-US" w:eastAsia="zh-CN"/>
              </w:rPr>
              <w:t>2号桥起点接甘溪街，向东跨甘溪沟后终点接万达地面广场，桥长27.0m，桥梁起止点桩号为K0+000.000~K0+027.000。</w:t>
            </w:r>
          </w:p>
          <w:p w14:paraId="170BF42C">
            <w:pPr>
              <w:pStyle w:val="21"/>
              <w:bidi w:val="0"/>
              <w:jc w:val="both"/>
              <w:rPr>
                <w:rFonts w:hint="eastAsia"/>
                <w:color w:val="auto"/>
              </w:rPr>
            </w:pPr>
            <w:r>
              <w:rPr>
                <w:rFonts w:hint="eastAsia"/>
                <w:color w:val="auto"/>
                <w:lang w:val="en-US" w:eastAsia="zh-CN"/>
              </w:rPr>
              <w:t>连接道路起点接万胜路辅道，向南延伸，终点与夔州西路相交，路线长298.327m，起止点桩号为K0+000.000~K0+298.327。</w:t>
            </w:r>
          </w:p>
          <w:p w14:paraId="605BD4FF">
            <w:pPr>
              <w:pStyle w:val="21"/>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color w:val="auto"/>
              </w:rPr>
            </w:pPr>
            <w:r>
              <w:rPr>
                <w:rFonts w:hint="eastAsia"/>
                <w:color w:val="auto"/>
              </w:rPr>
              <w:drawing>
                <wp:inline distT="0" distB="0" distL="114300" distR="114300">
                  <wp:extent cx="3970655" cy="2582545"/>
                  <wp:effectExtent l="0" t="0" r="10795" b="825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stretch>
                            <a:fillRect/>
                          </a:stretch>
                        </pic:blipFill>
                        <pic:spPr>
                          <a:xfrm>
                            <a:off x="0" y="0"/>
                            <a:ext cx="3970655" cy="2582545"/>
                          </a:xfrm>
                          <a:prstGeom prst="rect">
                            <a:avLst/>
                          </a:prstGeom>
                          <a:noFill/>
                          <a:ln>
                            <a:noFill/>
                          </a:ln>
                        </pic:spPr>
                      </pic:pic>
                    </a:graphicData>
                  </a:graphic>
                </wp:inline>
              </w:drawing>
            </w:r>
          </w:p>
          <w:p w14:paraId="68FEB990">
            <w:pPr>
              <w:pStyle w:val="7"/>
              <w:bidi w:val="0"/>
              <w:rPr>
                <w:rFonts w:hint="eastAsia"/>
                <w:color w:val="auto"/>
              </w:rPr>
            </w:pPr>
            <w:r>
              <w:rPr>
                <w:rFonts w:hint="eastAsia"/>
                <w:color w:val="auto"/>
                <w:lang w:val="en-US" w:eastAsia="zh-CN"/>
              </w:rPr>
              <w:t xml:space="preserve">  本项目</w:t>
            </w:r>
            <w:r>
              <w:rPr>
                <w:rFonts w:hint="eastAsia"/>
                <w:color w:val="auto"/>
              </w:rPr>
              <w:t>总平面图</w:t>
            </w:r>
          </w:p>
          <w:p w14:paraId="236FACA2">
            <w:pPr>
              <w:pStyle w:val="4"/>
              <w:bidi w:val="0"/>
              <w:rPr>
                <w:rFonts w:hint="eastAsia"/>
                <w:color w:val="auto"/>
              </w:rPr>
            </w:pPr>
            <w:r>
              <w:rPr>
                <w:rFonts w:hint="eastAsia"/>
                <w:color w:val="auto"/>
              </w:rPr>
              <w:t>主体工程</w:t>
            </w:r>
          </w:p>
          <w:p w14:paraId="182C4A58">
            <w:pPr>
              <w:pStyle w:val="5"/>
              <w:bidi w:val="0"/>
              <w:rPr>
                <w:rFonts w:hint="default"/>
                <w:color w:val="auto"/>
                <w:lang w:val="en-US" w:eastAsia="zh-CN"/>
              </w:rPr>
            </w:pPr>
            <w:r>
              <w:rPr>
                <w:rFonts w:hint="eastAsia"/>
                <w:color w:val="auto"/>
                <w:lang w:val="en-US" w:eastAsia="zh-CN"/>
              </w:rPr>
              <w:t>道路工程</w:t>
            </w:r>
          </w:p>
          <w:p w14:paraId="2C56F954">
            <w:pPr>
              <w:pStyle w:val="21"/>
              <w:bidi w:val="0"/>
              <w:jc w:val="both"/>
              <w:rPr>
                <w:color w:val="auto"/>
              </w:rPr>
            </w:pPr>
            <w:r>
              <w:rPr>
                <w:rFonts w:hint="eastAsia"/>
                <w:color w:val="auto"/>
              </w:rPr>
              <w:t>（1）横断面设计</w:t>
            </w:r>
          </w:p>
          <w:p w14:paraId="1849D33F">
            <w:pPr>
              <w:pStyle w:val="21"/>
              <w:bidi w:val="0"/>
              <w:jc w:val="both"/>
              <w:rPr>
                <w:rFonts w:hint="default"/>
                <w:color w:val="auto"/>
                <w:lang w:val="en-US"/>
              </w:rPr>
            </w:pPr>
            <w:r>
              <w:rPr>
                <w:rFonts w:hint="eastAsia"/>
                <w:color w:val="auto"/>
                <w:lang w:val="en-US" w:eastAsia="zh-CN"/>
              </w:rPr>
              <w:t>连接道路为城市支路，路幅宽度10.5m，B=2.0m（人行道）+8.0m（车行道）+0.5m（检修道）=10.5m。具体见下图。</w:t>
            </w:r>
          </w:p>
          <w:p w14:paraId="6ABD4FAE">
            <w:pPr>
              <w:pStyle w:val="21"/>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color w:val="auto"/>
              </w:rPr>
            </w:pPr>
            <w:r>
              <w:rPr>
                <w:rFonts w:hint="eastAsia"/>
                <w:color w:val="auto"/>
                <w:lang w:eastAsia="zh-CN"/>
              </w:rPr>
              <w:drawing>
                <wp:inline distT="0" distB="0" distL="114300" distR="114300">
                  <wp:extent cx="3009265" cy="2437765"/>
                  <wp:effectExtent l="0" t="0" r="635" b="63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9"/>
                          <a:stretch>
                            <a:fillRect/>
                          </a:stretch>
                        </pic:blipFill>
                        <pic:spPr>
                          <a:xfrm>
                            <a:off x="0" y="0"/>
                            <a:ext cx="3009265" cy="2437765"/>
                          </a:xfrm>
                          <a:prstGeom prst="rect">
                            <a:avLst/>
                          </a:prstGeom>
                        </pic:spPr>
                      </pic:pic>
                    </a:graphicData>
                  </a:graphic>
                </wp:inline>
              </w:drawing>
            </w:r>
          </w:p>
          <w:p w14:paraId="33629EF5">
            <w:pPr>
              <w:pStyle w:val="7"/>
              <w:bidi w:val="0"/>
              <w:rPr>
                <w:rFonts w:hint="eastAsia"/>
                <w:color w:val="auto"/>
              </w:rPr>
            </w:pPr>
            <w:r>
              <w:rPr>
                <w:rFonts w:hint="eastAsia"/>
                <w:color w:val="auto"/>
                <w:lang w:val="en-US" w:eastAsia="zh-CN"/>
              </w:rPr>
              <w:t xml:space="preserve">  连接道路标准横断面图</w:t>
            </w:r>
          </w:p>
          <w:p w14:paraId="798D8AF2">
            <w:pPr>
              <w:pStyle w:val="21"/>
              <w:bidi w:val="0"/>
              <w:rPr>
                <w:color w:val="auto"/>
              </w:rPr>
            </w:pPr>
            <w:r>
              <w:rPr>
                <w:rFonts w:hint="eastAsia"/>
                <w:color w:val="auto"/>
              </w:rPr>
              <w:t>（2）纵断面设计</w:t>
            </w:r>
          </w:p>
          <w:p w14:paraId="1923AF8E">
            <w:pPr>
              <w:pStyle w:val="21"/>
              <w:bidi w:val="0"/>
              <w:rPr>
                <w:rFonts w:hint="default" w:eastAsia="宋体"/>
                <w:color w:val="auto"/>
                <w:lang w:val="en-US" w:eastAsia="zh-CN"/>
              </w:rPr>
            </w:pPr>
            <w:r>
              <w:rPr>
                <w:rFonts w:hint="default"/>
                <w:color w:val="auto"/>
              </w:rPr>
              <w:t>连接道路起点接万胜路辅道标高197.683，向南延伸，经地块控制点1，标高为192.800m；地块控制点2，标高为188.000m；终点采用夔州西路标高184.668m。共设4个坡段，起点至终点纵坡分别为-1.5%、-7%、-3.5%、1.5%，最小竖曲线半径为500m（凸）、800m（凹）。</w:t>
            </w:r>
            <w:r>
              <w:rPr>
                <w:rFonts w:hint="eastAsia"/>
                <w:color w:val="auto"/>
                <w:lang w:val="en-US" w:eastAsia="zh-CN"/>
              </w:rPr>
              <w:t>具体见下图。</w:t>
            </w:r>
          </w:p>
          <w:p w14:paraId="3CAC9D56">
            <w:pPr>
              <w:pStyle w:val="2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color w:val="auto"/>
              </w:rPr>
            </w:pPr>
            <w:r>
              <w:rPr>
                <w:rFonts w:hint="default"/>
                <w:color w:val="auto"/>
                <w:lang w:eastAsia="zh-CN"/>
              </w:rPr>
              <w:drawing>
                <wp:inline distT="0" distB="0" distL="114300" distR="114300">
                  <wp:extent cx="4155440" cy="2018665"/>
                  <wp:effectExtent l="0" t="0" r="16510" b="635"/>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10"/>
                          <a:srcRect l="2476" t="10580" b="6214"/>
                          <a:stretch>
                            <a:fillRect/>
                          </a:stretch>
                        </pic:blipFill>
                        <pic:spPr>
                          <a:xfrm>
                            <a:off x="0" y="0"/>
                            <a:ext cx="4155440" cy="2018665"/>
                          </a:xfrm>
                          <a:prstGeom prst="rect">
                            <a:avLst/>
                          </a:prstGeom>
                        </pic:spPr>
                      </pic:pic>
                    </a:graphicData>
                  </a:graphic>
                </wp:inline>
              </w:drawing>
            </w:r>
          </w:p>
          <w:p w14:paraId="61944FFA">
            <w:pPr>
              <w:pStyle w:val="7"/>
              <w:bidi w:val="0"/>
              <w:rPr>
                <w:rFonts w:hint="default"/>
                <w:color w:val="auto"/>
                <w:lang w:val="en-US" w:eastAsia="zh-CN"/>
              </w:rPr>
            </w:pPr>
            <w:r>
              <w:rPr>
                <w:rFonts w:hint="eastAsia"/>
                <w:color w:val="auto"/>
                <w:lang w:val="en-US" w:eastAsia="zh-CN"/>
              </w:rPr>
              <w:t xml:space="preserve">  </w:t>
            </w:r>
            <w:r>
              <w:rPr>
                <w:rFonts w:hint="default"/>
                <w:color w:val="auto"/>
                <w:lang w:val="en-US" w:eastAsia="zh-CN"/>
              </w:rPr>
              <w:t>连接段路纵断面图</w:t>
            </w:r>
          </w:p>
          <w:p w14:paraId="407B3DA5">
            <w:pPr>
              <w:pStyle w:val="21"/>
              <w:bidi w:val="0"/>
              <w:rPr>
                <w:rFonts w:hint="default"/>
                <w:color w:val="auto"/>
                <w:lang w:val="en-US" w:eastAsia="zh-CN"/>
              </w:rPr>
            </w:pPr>
            <w:r>
              <w:rPr>
                <w:rFonts w:hint="eastAsia"/>
                <w:color w:val="auto"/>
                <w:lang w:val="en-US" w:eastAsia="zh-CN"/>
              </w:rPr>
              <w:t>（3）路基工程</w:t>
            </w:r>
          </w:p>
          <w:p w14:paraId="7052F1A5">
            <w:pPr>
              <w:pStyle w:val="21"/>
              <w:bidi w:val="0"/>
              <w:rPr>
                <w:rFonts w:hint="eastAsia"/>
                <w:color w:val="auto"/>
                <w:lang w:val="en-US" w:eastAsia="zh-CN"/>
              </w:rPr>
            </w:pPr>
            <w:r>
              <w:rPr>
                <w:rFonts w:hint="eastAsia"/>
                <w:color w:val="auto"/>
                <w:lang w:val="en-US" w:eastAsia="zh-CN"/>
              </w:rPr>
              <w:t>根据工程平纵面图，本项目最大挖方2.472m，最大填方3.847m，无大于20m的高填方路段，大于30m深挖方路段。</w:t>
            </w:r>
          </w:p>
          <w:p w14:paraId="4B6774E9">
            <w:pPr>
              <w:pStyle w:val="21"/>
              <w:bidi w:val="0"/>
              <w:rPr>
                <w:rFonts w:hint="default"/>
                <w:color w:val="auto"/>
                <w:lang w:val="en-US" w:eastAsia="zh-CN"/>
              </w:rPr>
            </w:pPr>
            <w:r>
              <w:rPr>
                <w:rFonts w:hint="eastAsia"/>
                <w:color w:val="auto"/>
                <w:lang w:val="en-US" w:eastAsia="zh-CN"/>
              </w:rPr>
              <w:t>①</w:t>
            </w:r>
            <w:r>
              <w:rPr>
                <w:rFonts w:hint="default"/>
                <w:color w:val="auto"/>
                <w:lang w:val="en-US" w:eastAsia="zh-CN"/>
              </w:rPr>
              <w:t>填方路基</w:t>
            </w:r>
          </w:p>
          <w:p w14:paraId="481DAEF7">
            <w:pPr>
              <w:pStyle w:val="21"/>
              <w:bidi w:val="0"/>
              <w:rPr>
                <w:rFonts w:hint="default"/>
                <w:color w:val="auto"/>
                <w:lang w:val="en-US" w:eastAsia="zh-CN"/>
              </w:rPr>
            </w:pPr>
            <w:r>
              <w:rPr>
                <w:rFonts w:hint="default"/>
                <w:color w:val="auto"/>
                <w:lang w:val="en-US" w:eastAsia="zh-CN"/>
              </w:rPr>
              <w:t>本次设计路堤边坡均小于8m，边坡坡率为1:1.5</w:t>
            </w:r>
            <w:r>
              <w:rPr>
                <w:rFonts w:hint="eastAsia"/>
                <w:color w:val="auto"/>
                <w:lang w:val="en-US" w:eastAsia="zh-CN"/>
              </w:rPr>
              <w:t>。</w:t>
            </w:r>
          </w:p>
          <w:p w14:paraId="498D0CC3">
            <w:pPr>
              <w:pStyle w:val="21"/>
              <w:bidi w:val="0"/>
              <w:rPr>
                <w:rFonts w:hint="eastAsia"/>
                <w:color w:val="auto"/>
                <w:lang w:val="en-US" w:eastAsia="zh-CN"/>
              </w:rPr>
            </w:pPr>
            <w:r>
              <w:rPr>
                <w:rFonts w:hint="eastAsia"/>
                <w:color w:val="auto"/>
                <w:lang w:val="en-US" w:eastAsia="zh-CN"/>
              </w:rPr>
              <w:t>②挖方路基</w:t>
            </w:r>
          </w:p>
          <w:p w14:paraId="45F6421F">
            <w:pPr>
              <w:pStyle w:val="21"/>
              <w:bidi w:val="0"/>
              <w:rPr>
                <w:rFonts w:hint="default"/>
                <w:color w:val="auto"/>
                <w:lang w:val="en-US" w:eastAsia="zh-CN"/>
              </w:rPr>
            </w:pPr>
            <w:r>
              <w:rPr>
                <w:rFonts w:hint="default"/>
                <w:color w:val="auto"/>
                <w:lang w:val="en-US" w:eastAsia="zh-CN"/>
              </w:rPr>
              <w:t>本次设计挖方边坡均小于8m，边坡坡率为1:2.5。</w:t>
            </w:r>
          </w:p>
          <w:p w14:paraId="0D36931D">
            <w:pPr>
              <w:pStyle w:val="21"/>
              <w:bidi w:val="0"/>
              <w:rPr>
                <w:rFonts w:hint="default"/>
                <w:color w:val="auto"/>
                <w:lang w:val="en-US" w:eastAsia="zh-CN"/>
              </w:rPr>
            </w:pPr>
            <w:r>
              <w:rPr>
                <w:rFonts w:hint="eastAsia"/>
                <w:color w:val="auto"/>
                <w:lang w:val="en-US" w:eastAsia="zh-CN"/>
              </w:rPr>
              <w:t>③路基排水</w:t>
            </w:r>
          </w:p>
          <w:p w14:paraId="3C81AFC4">
            <w:pPr>
              <w:pStyle w:val="21"/>
              <w:bidi w:val="0"/>
              <w:rPr>
                <w:rFonts w:hint="default"/>
                <w:color w:val="auto"/>
                <w:lang w:val="en-US" w:eastAsia="zh-CN"/>
              </w:rPr>
            </w:pPr>
            <w:r>
              <w:rPr>
                <w:rFonts w:hint="default"/>
                <w:color w:val="auto"/>
                <w:lang w:val="en-US" w:eastAsia="zh-CN"/>
              </w:rPr>
              <w:t>本次设计除桥梁外，道路填方地段，两侧地面有明显横坡的迎水侧，在边坡底2m外排水沟，尺寸按0.4×0.4m梯形设计；当路堑挖方上侧山坡汇水面积较大时，在距路堑顶5m外设置0.4×0.4m梯形截水沟，汇入城市排水管网内。各型沟沟身均素土夯实处理。</w:t>
            </w:r>
          </w:p>
          <w:p w14:paraId="7D5BB32A">
            <w:pPr>
              <w:pStyle w:val="21"/>
              <w:bidi w:val="0"/>
              <w:rPr>
                <w:rFonts w:hint="default"/>
                <w:color w:val="auto"/>
                <w:lang w:val="en-US" w:eastAsia="zh-CN"/>
              </w:rPr>
            </w:pPr>
            <w:r>
              <w:rPr>
                <w:rFonts w:hint="eastAsia"/>
                <w:color w:val="auto"/>
                <w:lang w:val="en-US" w:eastAsia="zh-CN"/>
              </w:rPr>
              <w:t>④坡面防护</w:t>
            </w:r>
          </w:p>
          <w:p w14:paraId="582D4A3A">
            <w:pPr>
              <w:pStyle w:val="21"/>
              <w:bidi w:val="0"/>
              <w:rPr>
                <w:rFonts w:hint="default"/>
                <w:color w:val="auto"/>
                <w:lang w:val="en-US" w:eastAsia="zh-CN"/>
              </w:rPr>
            </w:pPr>
            <w:r>
              <w:rPr>
                <w:rFonts w:hint="default"/>
                <w:color w:val="auto"/>
                <w:lang w:val="en-US" w:eastAsia="zh-CN"/>
              </w:rPr>
              <w:t>本次设计中仅连接道路东侧存在边坡，且为临时边坡</w:t>
            </w:r>
            <w:r>
              <w:rPr>
                <w:rFonts w:hint="eastAsia"/>
                <w:color w:val="auto"/>
                <w:lang w:val="en-US" w:eastAsia="zh-CN"/>
              </w:rPr>
              <w:t>，</w:t>
            </w:r>
            <w:r>
              <w:rPr>
                <w:rFonts w:hint="default"/>
                <w:color w:val="auto"/>
                <w:lang w:val="en-US" w:eastAsia="zh-CN"/>
              </w:rPr>
              <w:t>采用植草护坡，后期可根据地勘开发进度取消。</w:t>
            </w:r>
          </w:p>
          <w:p w14:paraId="2D46AAB3">
            <w:pPr>
              <w:pStyle w:val="21"/>
              <w:bidi w:val="0"/>
              <w:rPr>
                <w:rFonts w:hint="default"/>
                <w:color w:val="auto"/>
                <w:lang w:val="en-US" w:eastAsia="zh-CN"/>
              </w:rPr>
            </w:pPr>
            <w:r>
              <w:rPr>
                <w:rFonts w:hint="eastAsia"/>
                <w:color w:val="auto"/>
                <w:lang w:val="en-US" w:eastAsia="zh-CN"/>
              </w:rPr>
              <w:t>⑤清除表土</w:t>
            </w:r>
          </w:p>
          <w:p w14:paraId="6C425AED">
            <w:pPr>
              <w:pStyle w:val="21"/>
              <w:bidi w:val="0"/>
              <w:rPr>
                <w:rFonts w:hint="default"/>
                <w:color w:val="auto"/>
                <w:lang w:val="en-US" w:eastAsia="zh-CN"/>
              </w:rPr>
            </w:pPr>
            <w:r>
              <w:rPr>
                <w:rFonts w:hint="default"/>
                <w:color w:val="auto"/>
                <w:lang w:val="en-US" w:eastAsia="zh-CN"/>
              </w:rPr>
              <w:t>本次设计按路基宽度范围内平均深度0.3m进行清除表土。</w:t>
            </w:r>
          </w:p>
          <w:p w14:paraId="532A05EC">
            <w:pPr>
              <w:pStyle w:val="21"/>
              <w:bidi w:val="0"/>
              <w:rPr>
                <w:rFonts w:hint="default"/>
                <w:color w:val="auto"/>
                <w:lang w:val="en-US" w:eastAsia="zh-CN"/>
              </w:rPr>
            </w:pPr>
            <w:r>
              <w:rPr>
                <w:rFonts w:hint="eastAsia"/>
                <w:color w:val="auto"/>
                <w:lang w:val="en-US" w:eastAsia="zh-CN"/>
              </w:rPr>
              <w:t>（4）路面工程</w:t>
            </w:r>
          </w:p>
          <w:p w14:paraId="4DFAD437">
            <w:pPr>
              <w:pStyle w:val="21"/>
              <w:bidi w:val="0"/>
              <w:rPr>
                <w:rFonts w:hint="eastAsia"/>
                <w:color w:val="auto"/>
                <w:lang w:val="en-US" w:eastAsia="zh-CN"/>
              </w:rPr>
            </w:pPr>
            <w:r>
              <w:rPr>
                <w:rFonts w:hint="eastAsia"/>
                <w:color w:val="auto"/>
                <w:lang w:val="en-US" w:eastAsia="zh-CN"/>
              </w:rPr>
              <w:t>①车行道路面</w:t>
            </w:r>
          </w:p>
          <w:p w14:paraId="23061E10">
            <w:pPr>
              <w:pStyle w:val="21"/>
              <w:bidi w:val="0"/>
              <w:rPr>
                <w:rFonts w:hint="default"/>
                <w:color w:val="auto"/>
                <w:lang w:val="en-US" w:eastAsia="zh-CN"/>
              </w:rPr>
            </w:pPr>
            <w:r>
              <w:rPr>
                <w:rFonts w:hint="default"/>
                <w:color w:val="auto"/>
                <w:lang w:val="en-US" w:eastAsia="zh-CN"/>
              </w:rPr>
              <w:t>1号桥</w:t>
            </w:r>
            <w:r>
              <w:rPr>
                <w:rFonts w:hint="eastAsia"/>
                <w:color w:val="auto"/>
                <w:lang w:val="en-US" w:eastAsia="zh-CN"/>
              </w:rPr>
              <w:t>、连接道路</w:t>
            </w:r>
            <w:r>
              <w:rPr>
                <w:rFonts w:hint="default"/>
                <w:color w:val="auto"/>
                <w:lang w:val="en-US" w:eastAsia="zh-CN"/>
              </w:rPr>
              <w:t>车行道路面结构：</w:t>
            </w:r>
          </w:p>
          <w:p w14:paraId="5C189B03">
            <w:pPr>
              <w:pStyle w:val="21"/>
              <w:bidi w:val="0"/>
              <w:rPr>
                <w:rFonts w:hint="default"/>
                <w:color w:val="auto"/>
                <w:lang w:val="en-US" w:eastAsia="zh-CN"/>
              </w:rPr>
            </w:pPr>
            <w:r>
              <w:rPr>
                <w:rFonts w:hint="default"/>
                <w:color w:val="auto"/>
                <w:lang w:val="en-US" w:eastAsia="zh-CN"/>
              </w:rPr>
              <w:t>4cm厚SMA-13沥青混凝土</w:t>
            </w:r>
          </w:p>
          <w:p w14:paraId="63DECAA0">
            <w:pPr>
              <w:pStyle w:val="21"/>
              <w:bidi w:val="0"/>
              <w:rPr>
                <w:rFonts w:hint="default"/>
                <w:color w:val="auto"/>
                <w:lang w:val="en-US" w:eastAsia="zh-CN"/>
              </w:rPr>
            </w:pPr>
            <w:r>
              <w:rPr>
                <w:rFonts w:hint="default"/>
                <w:color w:val="auto"/>
                <w:lang w:val="en-US" w:eastAsia="zh-CN"/>
              </w:rPr>
              <w:t>0.3</w:t>
            </w:r>
            <w:r>
              <w:rPr>
                <w:rFonts w:hint="eastAsia"/>
                <w:color w:val="auto"/>
                <w:lang w:val="en-US" w:eastAsia="zh-CN"/>
              </w:rPr>
              <w:t>~</w:t>
            </w:r>
            <w:r>
              <w:rPr>
                <w:rFonts w:hint="default"/>
                <w:color w:val="auto"/>
                <w:lang w:val="en-US" w:eastAsia="zh-CN"/>
              </w:rPr>
              <w:t>0.5L/m</w:t>
            </w:r>
            <w:r>
              <w:rPr>
                <w:rFonts w:hint="default"/>
                <w:color w:val="auto"/>
                <w:vertAlign w:val="superscript"/>
                <w:lang w:val="en-US" w:eastAsia="zh-CN"/>
              </w:rPr>
              <w:t>2</w:t>
            </w:r>
            <w:r>
              <w:rPr>
                <w:rFonts w:hint="default"/>
                <w:color w:val="auto"/>
                <w:lang w:val="en-US" w:eastAsia="zh-CN"/>
              </w:rPr>
              <w:t>改性乳化沥青粘层</w:t>
            </w:r>
          </w:p>
          <w:p w14:paraId="25DCA583">
            <w:pPr>
              <w:pStyle w:val="21"/>
              <w:bidi w:val="0"/>
              <w:rPr>
                <w:rFonts w:hint="default"/>
                <w:color w:val="auto"/>
                <w:lang w:val="en-US" w:eastAsia="zh-CN"/>
              </w:rPr>
            </w:pPr>
            <w:r>
              <w:rPr>
                <w:rFonts w:hint="default"/>
                <w:color w:val="auto"/>
                <w:lang w:val="en-US" w:eastAsia="zh-CN"/>
              </w:rPr>
              <w:t>6cm厚AC-20C沥青混凝土</w:t>
            </w:r>
          </w:p>
          <w:p w14:paraId="48E3C5C2">
            <w:pPr>
              <w:pStyle w:val="21"/>
              <w:bidi w:val="0"/>
              <w:rPr>
                <w:rFonts w:hint="default"/>
                <w:color w:val="auto"/>
                <w:lang w:val="en-US" w:eastAsia="zh-CN"/>
              </w:rPr>
            </w:pPr>
            <w:r>
              <w:rPr>
                <w:rFonts w:hint="default"/>
                <w:color w:val="auto"/>
                <w:lang w:val="en-US" w:eastAsia="zh-CN"/>
              </w:rPr>
              <w:t>0.6cm厚乳化沥青稀浆封层</w:t>
            </w:r>
          </w:p>
          <w:p w14:paraId="73C1673E">
            <w:pPr>
              <w:pStyle w:val="21"/>
              <w:bidi w:val="0"/>
              <w:rPr>
                <w:rFonts w:hint="default"/>
                <w:color w:val="auto"/>
                <w:lang w:val="en-US" w:eastAsia="zh-CN"/>
              </w:rPr>
            </w:pPr>
            <w:r>
              <w:rPr>
                <w:rFonts w:hint="default"/>
                <w:color w:val="auto"/>
                <w:lang w:val="en-US" w:eastAsia="zh-CN"/>
              </w:rPr>
              <w:t>20cm厚5.5%水泥稳定碎石基层</w:t>
            </w:r>
          </w:p>
          <w:p w14:paraId="4FDEA7EE">
            <w:pPr>
              <w:pStyle w:val="21"/>
              <w:bidi w:val="0"/>
              <w:rPr>
                <w:rFonts w:hint="default"/>
                <w:color w:val="auto"/>
                <w:lang w:val="en-US" w:eastAsia="zh-CN"/>
              </w:rPr>
            </w:pPr>
            <w:r>
              <w:rPr>
                <w:rFonts w:hint="default"/>
                <w:color w:val="auto"/>
                <w:lang w:val="en-US" w:eastAsia="zh-CN"/>
              </w:rPr>
              <w:t>20cm厚4%水泥稳定碎石底基层厚</w:t>
            </w:r>
          </w:p>
          <w:p w14:paraId="7B9D0BA8">
            <w:pPr>
              <w:pStyle w:val="21"/>
              <w:bidi w:val="0"/>
              <w:rPr>
                <w:rFonts w:hint="default"/>
                <w:color w:val="auto"/>
                <w:lang w:val="en-US" w:eastAsia="zh-CN"/>
              </w:rPr>
            </w:pPr>
            <w:r>
              <w:rPr>
                <w:rFonts w:hint="default"/>
                <w:color w:val="auto"/>
                <w:lang w:val="en-US" w:eastAsia="zh-CN"/>
              </w:rPr>
              <w:t>横坡：路面横坡为单向坡1.5%。</w:t>
            </w:r>
          </w:p>
          <w:p w14:paraId="13291D38">
            <w:pPr>
              <w:pStyle w:val="21"/>
              <w:bidi w:val="0"/>
              <w:rPr>
                <w:rFonts w:hint="eastAsia"/>
                <w:color w:val="auto"/>
                <w:lang w:val="en-US" w:eastAsia="zh-CN"/>
              </w:rPr>
            </w:pPr>
            <w:r>
              <w:rPr>
                <w:rFonts w:hint="eastAsia"/>
                <w:color w:val="auto"/>
                <w:lang w:val="en-US" w:eastAsia="zh-CN"/>
              </w:rPr>
              <w:t>②人行道路面</w:t>
            </w:r>
          </w:p>
          <w:p w14:paraId="40847EA5">
            <w:pPr>
              <w:pStyle w:val="21"/>
              <w:bidi w:val="0"/>
              <w:rPr>
                <w:rFonts w:hint="default"/>
                <w:color w:val="auto"/>
                <w:lang w:val="en-US" w:eastAsia="zh-CN"/>
              </w:rPr>
            </w:pPr>
            <w:r>
              <w:rPr>
                <w:rFonts w:hint="default"/>
                <w:color w:val="auto"/>
                <w:lang w:val="en-US" w:eastAsia="zh-CN"/>
              </w:rPr>
              <w:t>连接道路人行道结构：</w:t>
            </w:r>
          </w:p>
          <w:p w14:paraId="56062F7E">
            <w:pPr>
              <w:pStyle w:val="21"/>
              <w:bidi w:val="0"/>
              <w:rPr>
                <w:rFonts w:hint="default"/>
                <w:color w:val="auto"/>
                <w:lang w:val="en-US" w:eastAsia="zh-CN"/>
              </w:rPr>
            </w:pPr>
            <w:r>
              <w:rPr>
                <w:rFonts w:hint="default"/>
                <w:color w:val="auto"/>
                <w:lang w:val="en-US" w:eastAsia="zh-CN"/>
              </w:rPr>
              <w:t>仿石材生态砖</w:t>
            </w:r>
            <w:r>
              <w:rPr>
                <w:rFonts w:hint="eastAsia"/>
                <w:color w:val="auto"/>
                <w:lang w:val="en-US" w:eastAsia="zh-CN"/>
              </w:rPr>
              <w:t>（</w:t>
            </w:r>
            <w:r>
              <w:rPr>
                <w:rFonts w:hint="default"/>
                <w:color w:val="auto"/>
                <w:lang w:val="en-US" w:eastAsia="zh-CN"/>
              </w:rPr>
              <w:t>60×30×6cm）</w:t>
            </w:r>
          </w:p>
          <w:p w14:paraId="5C1CBE03">
            <w:pPr>
              <w:pStyle w:val="21"/>
              <w:bidi w:val="0"/>
              <w:rPr>
                <w:rFonts w:hint="default"/>
                <w:color w:val="auto"/>
                <w:lang w:val="en-US" w:eastAsia="zh-CN"/>
              </w:rPr>
            </w:pPr>
            <w:r>
              <w:rPr>
                <w:rFonts w:hint="default"/>
                <w:color w:val="auto"/>
                <w:lang w:val="en-US" w:eastAsia="zh-CN"/>
              </w:rPr>
              <w:t>粗砂透水找平层（3cm）</w:t>
            </w:r>
          </w:p>
          <w:p w14:paraId="47324BD2">
            <w:pPr>
              <w:pStyle w:val="21"/>
              <w:bidi w:val="0"/>
              <w:rPr>
                <w:rFonts w:hint="default"/>
                <w:color w:val="auto"/>
                <w:lang w:val="en-US" w:eastAsia="zh-CN"/>
              </w:rPr>
            </w:pPr>
            <w:r>
              <w:rPr>
                <w:rFonts w:hint="default"/>
                <w:color w:val="auto"/>
                <w:lang w:val="en-US" w:eastAsia="zh-CN"/>
              </w:rPr>
              <w:t>压实级配碎石底基层（30cm）</w:t>
            </w:r>
          </w:p>
          <w:p w14:paraId="5FA526B0">
            <w:pPr>
              <w:pStyle w:val="21"/>
              <w:bidi w:val="0"/>
              <w:rPr>
                <w:rFonts w:hint="default"/>
                <w:color w:val="auto"/>
                <w:lang w:val="en-US" w:eastAsia="zh-CN"/>
              </w:rPr>
            </w:pPr>
            <w:r>
              <w:rPr>
                <w:rFonts w:hint="default"/>
                <w:color w:val="auto"/>
                <w:lang w:val="en-US" w:eastAsia="zh-CN"/>
              </w:rPr>
              <w:t>横坡：人行道横坡向行车道倾斜为2.0%。</w:t>
            </w:r>
          </w:p>
          <w:p w14:paraId="5CDEF556">
            <w:pPr>
              <w:pStyle w:val="5"/>
              <w:bidi w:val="0"/>
              <w:rPr>
                <w:color w:val="auto"/>
              </w:rPr>
            </w:pPr>
            <w:r>
              <w:rPr>
                <w:rFonts w:hint="eastAsia"/>
                <w:color w:val="auto"/>
              </w:rPr>
              <w:t>桥梁工程</w:t>
            </w:r>
          </w:p>
          <w:p w14:paraId="0F7064C0">
            <w:pPr>
              <w:pStyle w:val="21"/>
              <w:bidi w:val="0"/>
              <w:rPr>
                <w:rFonts w:hint="default"/>
                <w:color w:val="auto"/>
                <w:lang w:val="en-US" w:eastAsia="zh-CN"/>
              </w:rPr>
            </w:pPr>
            <w:r>
              <w:rPr>
                <w:rFonts w:hint="eastAsia"/>
                <w:color w:val="auto"/>
                <w:lang w:val="en-US" w:eastAsia="zh-CN"/>
              </w:rPr>
              <w:t>本项目共设置2座桥梁，上跨甘溪沟，均为一跨过桥，无涉水桥墩，甘溪沟已进行了河道治理，对原河道进行了护坡护底的渠化。</w:t>
            </w:r>
          </w:p>
          <w:p w14:paraId="7679DA0F">
            <w:pPr>
              <w:pStyle w:val="21"/>
              <w:bidi w:val="0"/>
              <w:rPr>
                <w:rFonts w:hint="default"/>
                <w:color w:val="auto"/>
                <w:lang w:val="en-US" w:eastAsia="zh-CN"/>
              </w:rPr>
            </w:pPr>
            <w:r>
              <w:rPr>
                <w:rFonts w:hint="eastAsia"/>
                <w:color w:val="auto"/>
                <w:lang w:val="en-US" w:eastAsia="zh-CN"/>
              </w:rPr>
              <w:t>（1）1号桥</w:t>
            </w:r>
          </w:p>
          <w:p w14:paraId="12CD7EEA">
            <w:pPr>
              <w:pStyle w:val="21"/>
              <w:bidi w:val="0"/>
              <w:rPr>
                <w:rFonts w:hint="default" w:eastAsia="宋体"/>
                <w:color w:val="auto"/>
                <w:lang w:val="en-US" w:eastAsia="zh-CN"/>
              </w:rPr>
            </w:pPr>
            <w:r>
              <w:rPr>
                <w:rFonts w:hint="default" w:eastAsia="宋体"/>
                <w:color w:val="auto"/>
                <w:lang w:val="en-US" w:eastAsia="zh-CN"/>
              </w:rPr>
              <w:t>1号桥起点接甘溪街，向东跨甘溪沟后终点接万达车库出入口，路线长52.009m，起止点桩号为K0+000.000~K0+052.009</w:t>
            </w:r>
            <w:r>
              <w:rPr>
                <w:rFonts w:hint="eastAsia"/>
                <w:color w:val="auto"/>
                <w:lang w:val="en-US" w:eastAsia="zh-CN"/>
              </w:rPr>
              <w:t>。桥梁</w:t>
            </w:r>
            <w:r>
              <w:rPr>
                <w:rFonts w:hint="default" w:eastAsia="宋体"/>
                <w:color w:val="auto"/>
                <w:lang w:val="en-US" w:eastAsia="zh-CN"/>
              </w:rPr>
              <w:t>由西向东跨越甘溪沟，桥梁起止点桩号为K0+018.033~K0+045.033，桥长27.0m，桥宽34.3m，一跨过河，跨径布置为1×25m，采用现浇简支预应力混凝土箱梁。</w:t>
            </w:r>
          </w:p>
          <w:p w14:paraId="08393BA9">
            <w:pPr>
              <w:pStyle w:val="21"/>
              <w:bidi w:val="0"/>
              <w:rPr>
                <w:rFonts w:hint="default" w:eastAsia="宋体"/>
                <w:color w:val="auto"/>
                <w:lang w:val="en-US" w:eastAsia="zh-CN"/>
              </w:rPr>
            </w:pPr>
            <w:r>
              <w:rPr>
                <w:rFonts w:hint="eastAsia"/>
                <w:color w:val="auto"/>
                <w:lang w:val="en-US" w:eastAsia="zh-CN"/>
              </w:rPr>
              <w:t>①</w:t>
            </w:r>
            <w:r>
              <w:rPr>
                <w:rFonts w:hint="default" w:eastAsia="宋体"/>
                <w:color w:val="auto"/>
                <w:lang w:val="en-US" w:eastAsia="zh-CN"/>
              </w:rPr>
              <w:t>桥梁标准横断面</w:t>
            </w:r>
          </w:p>
          <w:p w14:paraId="004123EA">
            <w:pPr>
              <w:pStyle w:val="21"/>
              <w:bidi w:val="0"/>
              <w:rPr>
                <w:rFonts w:hint="eastAsia"/>
                <w:color w:val="auto"/>
                <w:lang w:val="en-US" w:eastAsia="zh-CN"/>
              </w:rPr>
            </w:pPr>
            <w:r>
              <w:rPr>
                <w:rFonts w:hint="eastAsia"/>
                <w:color w:val="auto"/>
                <w:lang w:val="en-US" w:eastAsia="zh-CN"/>
              </w:rPr>
              <w:t>1号桥道路等级为城市次干路，路幅宽度34.30m，B=8.0m（人行道）+16.0m（车行道）+10.30m（人行道）=34.30m。具体见下图。</w:t>
            </w:r>
          </w:p>
          <w:p w14:paraId="5882B956">
            <w:pPr>
              <w:pStyle w:val="21"/>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color w:val="auto"/>
                <w:lang w:val="en-US" w:eastAsia="zh-CN"/>
              </w:rPr>
            </w:pPr>
            <w:r>
              <w:rPr>
                <w:rFonts w:hint="eastAsia"/>
                <w:color w:val="auto"/>
                <w:lang w:val="en-US" w:eastAsia="zh-CN"/>
              </w:rPr>
              <w:drawing>
                <wp:inline distT="0" distB="0" distL="114300" distR="114300">
                  <wp:extent cx="5096510" cy="1730375"/>
                  <wp:effectExtent l="0" t="0" r="8890" b="317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1" cstate="print">
                            <a:extLst>
                              <a:ext uri="{28A0092B-C50C-407E-A947-70E740481C1C}">
                                <a14:useLocalDpi xmlns:a14="http://schemas.microsoft.com/office/drawing/2010/main" val="0"/>
                              </a:ext>
                            </a:extLst>
                          </a:blip>
                          <a:srcRect l="3155" t="21516" r="3323" b="5213"/>
                          <a:stretch>
                            <a:fillRect/>
                          </a:stretch>
                        </pic:blipFill>
                        <pic:spPr>
                          <a:xfrm>
                            <a:off x="0" y="0"/>
                            <a:ext cx="5096510" cy="1730375"/>
                          </a:xfrm>
                          <a:prstGeom prst="rect">
                            <a:avLst/>
                          </a:prstGeom>
                        </pic:spPr>
                      </pic:pic>
                    </a:graphicData>
                  </a:graphic>
                </wp:inline>
              </w:drawing>
            </w:r>
          </w:p>
          <w:p w14:paraId="45733913">
            <w:pPr>
              <w:pStyle w:val="7"/>
              <w:bidi w:val="0"/>
              <w:rPr>
                <w:rFonts w:hint="eastAsia"/>
                <w:color w:val="auto"/>
                <w:lang w:val="en-US" w:eastAsia="zh-CN"/>
              </w:rPr>
            </w:pPr>
            <w:r>
              <w:rPr>
                <w:rFonts w:hint="eastAsia"/>
                <w:color w:val="auto"/>
                <w:lang w:val="en-US" w:eastAsia="zh-CN"/>
              </w:rPr>
              <w:t xml:space="preserve">  1号桥标准横断面图</w:t>
            </w:r>
          </w:p>
          <w:p w14:paraId="702EA441">
            <w:pPr>
              <w:pStyle w:val="21"/>
              <w:bidi w:val="0"/>
              <w:rPr>
                <w:rFonts w:hint="default"/>
                <w:color w:val="auto"/>
                <w:lang w:val="en-US" w:eastAsia="zh-CN"/>
              </w:rPr>
            </w:pPr>
            <w:r>
              <w:rPr>
                <w:rFonts w:hint="eastAsia"/>
                <w:color w:val="auto"/>
                <w:lang w:val="en-US" w:eastAsia="zh-CN"/>
              </w:rPr>
              <w:t>②纵断面设计</w:t>
            </w:r>
          </w:p>
          <w:p w14:paraId="2DA064B4">
            <w:pPr>
              <w:pStyle w:val="21"/>
              <w:bidi w:val="0"/>
              <w:rPr>
                <w:rFonts w:hint="eastAsia"/>
                <w:color w:val="auto"/>
                <w:lang w:val="en-US" w:eastAsia="zh-CN"/>
              </w:rPr>
            </w:pPr>
            <w:r>
              <w:rPr>
                <w:rFonts w:hint="eastAsia"/>
                <w:color w:val="auto"/>
                <w:lang w:val="en-US" w:eastAsia="zh-CN"/>
              </w:rPr>
              <w:t>1号桥起点接甘溪街，采用现状标高183.410m，终点接万达车库出入口标高183.600m，共设2个坡段，起点至终点纵坡分别为3%、-3%，竖曲线半径为500m（凸）。</w:t>
            </w:r>
          </w:p>
          <w:p w14:paraId="4F070969">
            <w:pPr>
              <w:pStyle w:val="21"/>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color w:val="auto"/>
                <w:lang w:val="en-US" w:eastAsia="zh-CN"/>
              </w:rPr>
            </w:pPr>
            <w:r>
              <w:rPr>
                <w:rFonts w:hint="eastAsia"/>
                <w:color w:val="auto"/>
                <w:lang w:val="en-US" w:eastAsia="zh-CN"/>
              </w:rPr>
              <w:drawing>
                <wp:inline distT="0" distB="0" distL="114300" distR="114300">
                  <wp:extent cx="4432300" cy="2225675"/>
                  <wp:effectExtent l="0" t="0" r="6350" b="317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2"/>
                          <a:srcRect l="779" t="6515" r="977" b="2926"/>
                          <a:stretch>
                            <a:fillRect/>
                          </a:stretch>
                        </pic:blipFill>
                        <pic:spPr>
                          <a:xfrm>
                            <a:off x="0" y="0"/>
                            <a:ext cx="4432300" cy="2225675"/>
                          </a:xfrm>
                          <a:prstGeom prst="rect">
                            <a:avLst/>
                          </a:prstGeom>
                        </pic:spPr>
                      </pic:pic>
                    </a:graphicData>
                  </a:graphic>
                </wp:inline>
              </w:drawing>
            </w:r>
          </w:p>
          <w:p w14:paraId="5ACF8F7C">
            <w:pPr>
              <w:pStyle w:val="7"/>
              <w:bidi w:val="0"/>
              <w:rPr>
                <w:rFonts w:hint="eastAsia"/>
                <w:color w:val="auto"/>
                <w:lang w:val="en-US" w:eastAsia="zh-CN"/>
              </w:rPr>
            </w:pPr>
            <w:r>
              <w:rPr>
                <w:rFonts w:hint="eastAsia"/>
                <w:color w:val="auto"/>
                <w:lang w:val="en-US" w:eastAsia="zh-CN"/>
              </w:rPr>
              <w:t xml:space="preserve">  1号桥纵断面图</w:t>
            </w:r>
          </w:p>
          <w:p w14:paraId="3F14E34C">
            <w:pPr>
              <w:pStyle w:val="21"/>
              <w:bidi w:val="0"/>
              <w:rPr>
                <w:rFonts w:hint="default" w:eastAsia="宋体"/>
                <w:color w:val="auto"/>
                <w:lang w:val="en-US" w:eastAsia="zh-CN"/>
              </w:rPr>
            </w:pPr>
            <w:r>
              <w:rPr>
                <w:rFonts w:hint="eastAsia"/>
                <w:color w:val="auto"/>
                <w:lang w:val="en-US" w:eastAsia="zh-CN"/>
              </w:rPr>
              <w:t>③</w:t>
            </w:r>
            <w:r>
              <w:rPr>
                <w:rFonts w:hint="default" w:eastAsia="宋体"/>
                <w:color w:val="auto"/>
                <w:lang w:val="en-US" w:eastAsia="zh-CN"/>
              </w:rPr>
              <w:t>桥梁上部结构</w:t>
            </w:r>
          </w:p>
          <w:p w14:paraId="1542A6C7">
            <w:pPr>
              <w:pStyle w:val="21"/>
              <w:bidi w:val="0"/>
              <w:jc w:val="both"/>
              <w:rPr>
                <w:rFonts w:hint="default" w:eastAsia="宋体"/>
                <w:color w:val="auto"/>
                <w:lang w:val="en-US" w:eastAsia="zh-CN"/>
              </w:rPr>
            </w:pPr>
            <w:r>
              <w:rPr>
                <w:rFonts w:hint="default" w:eastAsia="宋体"/>
                <w:color w:val="auto"/>
                <w:lang w:val="en-US" w:eastAsia="zh-CN"/>
              </w:rPr>
              <w:t>桥梁上部结构采用现浇简支预应力混凝土箱梁。主梁分双幅布置，单幅采用直腹式单箱三室截面，梁高1.4m。单幅箱梁顶宽17.15m，底宽13.15m。翼缘板宽2.0m，端部厚度为20cm，在根部加厚至50cm。主梁顶板厚25cm，底板厚22cm，腹板厚50cm，为增强支点处抗剪能力在支承处距实心段4.0m范围内，腹板由50cm加厚至80cm；顶板由25cm加厚至45cm；底板由22cm加厚至42cm。箱梁采用现场搭架现浇施工。</w:t>
            </w:r>
          </w:p>
          <w:p w14:paraId="2B1C3074">
            <w:pPr>
              <w:pStyle w:val="21"/>
              <w:bidi w:val="0"/>
              <w:jc w:val="both"/>
              <w:rPr>
                <w:rFonts w:hint="eastAsia"/>
                <w:color w:val="auto"/>
                <w:lang w:val="en-US" w:eastAsia="zh-CN"/>
              </w:rPr>
            </w:pPr>
            <w:r>
              <w:rPr>
                <w:rFonts w:hint="eastAsia"/>
                <w:color w:val="auto"/>
                <w:lang w:val="en-US" w:eastAsia="zh-CN"/>
              </w:rPr>
              <w:t>④桥台构造</w:t>
            </w:r>
          </w:p>
          <w:p w14:paraId="4DA426EE">
            <w:pPr>
              <w:pStyle w:val="21"/>
              <w:bidi w:val="0"/>
              <w:jc w:val="both"/>
              <w:rPr>
                <w:rFonts w:hint="default"/>
                <w:color w:val="auto"/>
                <w:lang w:val="en-US" w:eastAsia="zh-CN"/>
              </w:rPr>
            </w:pPr>
            <w:r>
              <w:rPr>
                <w:rFonts w:hint="default"/>
                <w:color w:val="auto"/>
                <w:lang w:val="en-US" w:eastAsia="zh-CN"/>
              </w:rPr>
              <w:t>桥台采用轻型桥台，台身采用C35混凝土，基础为桩基础，采用C35水下混凝土，桩基直径1.5m。</w:t>
            </w:r>
          </w:p>
          <w:p w14:paraId="7D632D7A">
            <w:pPr>
              <w:pStyle w:val="21"/>
              <w:bidi w:val="0"/>
              <w:rPr>
                <w:rFonts w:hint="eastAsia"/>
                <w:color w:val="auto"/>
                <w:lang w:val="en-US" w:eastAsia="zh-CN"/>
              </w:rPr>
            </w:pPr>
            <w:r>
              <w:rPr>
                <w:rFonts w:hint="eastAsia"/>
                <w:color w:val="auto"/>
                <w:lang w:val="en-US" w:eastAsia="zh-CN"/>
              </w:rPr>
              <w:t>（2）2号桥</w:t>
            </w:r>
          </w:p>
          <w:p w14:paraId="2A0B72B5">
            <w:pPr>
              <w:pStyle w:val="21"/>
              <w:bidi w:val="0"/>
              <w:rPr>
                <w:rFonts w:hint="default" w:eastAsia="宋体"/>
                <w:color w:val="auto"/>
                <w:lang w:val="en-US" w:eastAsia="zh-CN"/>
              </w:rPr>
            </w:pPr>
            <w:r>
              <w:rPr>
                <w:rFonts w:hint="default" w:eastAsia="宋体"/>
                <w:color w:val="auto"/>
                <w:lang w:val="en-US" w:eastAsia="zh-CN"/>
              </w:rPr>
              <w:t>2号桥由西向东跨越甘溪沟，桥梁起止点桩号为K0+000.000~K0+027.000，桥长27.0m，桥宽49.0m，一跨过河，跨径布置为1×25m，采用现浇简支预应力混凝土箱梁。</w:t>
            </w:r>
          </w:p>
          <w:p w14:paraId="68182EBF">
            <w:pPr>
              <w:pStyle w:val="21"/>
              <w:bidi w:val="0"/>
              <w:rPr>
                <w:rFonts w:hint="default" w:eastAsia="宋体"/>
                <w:color w:val="auto"/>
                <w:lang w:val="en-US" w:eastAsia="zh-CN"/>
              </w:rPr>
            </w:pPr>
            <w:r>
              <w:rPr>
                <w:rFonts w:hint="default" w:eastAsia="宋体"/>
                <w:color w:val="auto"/>
                <w:lang w:val="en-US" w:eastAsia="zh-CN"/>
              </w:rPr>
              <w:t>①桥梁标准横断面</w:t>
            </w:r>
          </w:p>
          <w:p w14:paraId="4FD95EBE">
            <w:pPr>
              <w:pStyle w:val="21"/>
              <w:bidi w:val="0"/>
              <w:rPr>
                <w:rFonts w:hint="default" w:eastAsia="宋体"/>
                <w:color w:val="auto"/>
                <w:lang w:val="en-US" w:eastAsia="zh-CN"/>
              </w:rPr>
            </w:pPr>
            <w:r>
              <w:rPr>
                <w:rFonts w:hint="eastAsia"/>
                <w:color w:val="auto"/>
                <w:lang w:val="en-US" w:eastAsia="zh-CN"/>
              </w:rPr>
              <w:t>B</w:t>
            </w:r>
            <w:r>
              <w:rPr>
                <w:rFonts w:hint="default" w:eastAsia="宋体"/>
                <w:color w:val="auto"/>
                <w:lang w:val="en-US" w:eastAsia="zh-CN"/>
              </w:rPr>
              <w:t>=49.0m</w:t>
            </w:r>
          </w:p>
          <w:p w14:paraId="5E90EE17">
            <w:pPr>
              <w:pStyle w:val="21"/>
              <w:bidi w:val="0"/>
              <w:rPr>
                <w:rFonts w:hint="default" w:eastAsia="宋体"/>
                <w:color w:val="auto"/>
                <w:lang w:val="en-US" w:eastAsia="zh-CN"/>
              </w:rPr>
            </w:pPr>
            <w:r>
              <w:rPr>
                <w:rFonts w:hint="default" w:eastAsia="宋体"/>
                <w:color w:val="auto"/>
                <w:lang w:val="en-US" w:eastAsia="zh-CN"/>
              </w:rPr>
              <w:t>②桥梁上部结构</w:t>
            </w:r>
          </w:p>
          <w:p w14:paraId="6D69B946">
            <w:pPr>
              <w:pStyle w:val="21"/>
              <w:bidi w:val="0"/>
              <w:jc w:val="both"/>
              <w:rPr>
                <w:rFonts w:hint="eastAsia"/>
                <w:color w:val="auto"/>
                <w:lang w:val="en-US" w:eastAsia="zh-CN"/>
              </w:rPr>
            </w:pPr>
            <w:r>
              <w:rPr>
                <w:rFonts w:hint="default" w:eastAsia="宋体"/>
                <w:color w:val="auto"/>
                <w:lang w:val="en-US" w:eastAsia="zh-CN"/>
              </w:rPr>
              <w:t>桥梁上部结构采用现浇简支预应力混凝土箱梁</w:t>
            </w:r>
            <w:r>
              <w:rPr>
                <w:rFonts w:hint="eastAsia"/>
                <w:color w:val="auto"/>
                <w:lang w:val="en-US" w:eastAsia="zh-CN"/>
              </w:rPr>
              <w:t>。主梁分三幅布置，每幅宽度分别为16m、16.5m、16.5m，单幅采用直腹式单箱四室截面，梁高1.2m。单幅箱梁顶宽16m/16.5m，底宽13m/14m。翼缘板端部厚度为20cm，在根部加厚至50cm。主梁顶板厚25cm，底板厚22cm，腹板厚50cm，为增强支点处抗剪能力在支承处距实心段4.0m范围内，腹板由50cm加厚至80cm；顶板由25cm加厚至45cm；底板由22cm加厚至42cm。箱梁采用现场搭架现浇施工。</w:t>
            </w:r>
          </w:p>
          <w:p w14:paraId="79B07175">
            <w:pPr>
              <w:pStyle w:val="21"/>
              <w:bidi w:val="0"/>
              <w:rPr>
                <w:rFonts w:hint="default" w:eastAsia="宋体"/>
                <w:color w:val="auto"/>
                <w:lang w:val="en-US" w:eastAsia="zh-CN"/>
              </w:rPr>
            </w:pPr>
            <w:r>
              <w:rPr>
                <w:rFonts w:hint="default" w:eastAsia="宋体"/>
                <w:color w:val="auto"/>
                <w:lang w:val="en-US" w:eastAsia="zh-CN"/>
              </w:rPr>
              <w:t>③桥台构造</w:t>
            </w:r>
          </w:p>
          <w:p w14:paraId="0E412B1B">
            <w:pPr>
              <w:pStyle w:val="21"/>
              <w:bidi w:val="0"/>
              <w:rPr>
                <w:rFonts w:hint="default" w:eastAsia="宋体"/>
                <w:color w:val="auto"/>
                <w:lang w:val="en-US" w:eastAsia="zh-CN"/>
              </w:rPr>
            </w:pPr>
            <w:r>
              <w:rPr>
                <w:rFonts w:hint="default" w:eastAsia="宋体"/>
                <w:color w:val="auto"/>
                <w:lang w:val="en-US" w:eastAsia="zh-CN"/>
              </w:rPr>
              <w:t>桥台采用轻型桥台，台身采用C35混凝土，基础为桩基础，采用C35水下混凝土，桩基直径1.5m。</w:t>
            </w:r>
          </w:p>
          <w:p w14:paraId="3B4EC85B">
            <w:pPr>
              <w:pStyle w:val="5"/>
              <w:bidi w:val="0"/>
              <w:rPr>
                <w:rFonts w:hint="default"/>
                <w:color w:val="auto"/>
                <w:lang w:val="en-US" w:eastAsia="zh-CN"/>
              </w:rPr>
            </w:pPr>
            <w:r>
              <w:rPr>
                <w:rFonts w:hint="default"/>
                <w:color w:val="auto"/>
                <w:lang w:val="en-US" w:eastAsia="zh-CN"/>
              </w:rPr>
              <w:t>交叉工程</w:t>
            </w:r>
          </w:p>
          <w:p w14:paraId="1C4D8C93">
            <w:pPr>
              <w:pStyle w:val="21"/>
              <w:bidi w:val="0"/>
              <w:rPr>
                <w:rFonts w:hint="eastAsia"/>
                <w:color w:val="auto"/>
                <w:lang w:val="en-US" w:eastAsia="zh-CN"/>
              </w:rPr>
            </w:pPr>
            <w:r>
              <w:rPr>
                <w:rFonts w:hint="default" w:eastAsia="宋体"/>
                <w:color w:val="auto"/>
                <w:lang w:val="en-US" w:eastAsia="zh-CN"/>
              </w:rPr>
              <w:t>本次道路设计范围内共有3处交叉口</w:t>
            </w:r>
            <w:r>
              <w:rPr>
                <w:rFonts w:hint="eastAsia"/>
                <w:color w:val="auto"/>
                <w:lang w:val="en-US" w:eastAsia="zh-CN"/>
              </w:rPr>
              <w:t>，具体见下表。</w:t>
            </w:r>
          </w:p>
          <w:p w14:paraId="463E585C">
            <w:pPr>
              <w:pStyle w:val="6"/>
              <w:bidi w:val="0"/>
              <w:rPr>
                <w:rFonts w:hint="default"/>
                <w:color w:val="auto"/>
                <w:lang w:val="en-US" w:eastAsia="zh-CN"/>
              </w:rPr>
            </w:pPr>
            <w:r>
              <w:rPr>
                <w:rFonts w:hint="eastAsia"/>
                <w:color w:val="auto"/>
                <w:lang w:val="en-US" w:eastAsia="zh-CN"/>
              </w:rPr>
              <w:t>项目交叉工程一览表</w:t>
            </w:r>
          </w:p>
          <w:tbl>
            <w:tblPr>
              <w:tblStyle w:val="16"/>
              <w:tblW w:w="4998" w:type="pct"/>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94"/>
              <w:gridCol w:w="1575"/>
              <w:gridCol w:w="3707"/>
            </w:tblGrid>
            <w:tr w14:paraId="438834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2" w:hRule="atLeast"/>
              </w:trPr>
              <w:tc>
                <w:tcPr>
                  <w:tcW w:w="1808" w:type="pct"/>
                  <w:tcBorders>
                    <w:tl2br w:val="nil"/>
                    <w:tr2bl w:val="nil"/>
                  </w:tcBorders>
                  <w:vAlign w:val="center"/>
                </w:tcPr>
                <w:p w14:paraId="569B6736">
                  <w:pPr>
                    <w:pStyle w:val="23"/>
                    <w:bidi w:val="0"/>
                    <w:rPr>
                      <w:rFonts w:hint="default"/>
                      <w:color w:val="auto"/>
                    </w:rPr>
                  </w:pPr>
                  <w:r>
                    <w:rPr>
                      <w:rFonts w:hint="default"/>
                      <w:color w:val="auto"/>
                    </w:rPr>
                    <w:t>交叉口</w:t>
                  </w:r>
                </w:p>
              </w:tc>
              <w:tc>
                <w:tcPr>
                  <w:tcW w:w="951" w:type="pct"/>
                  <w:tcBorders>
                    <w:tl2br w:val="nil"/>
                    <w:tr2bl w:val="nil"/>
                  </w:tcBorders>
                  <w:vAlign w:val="center"/>
                </w:tcPr>
                <w:p w14:paraId="218A26E8">
                  <w:pPr>
                    <w:pStyle w:val="23"/>
                    <w:bidi w:val="0"/>
                    <w:rPr>
                      <w:rFonts w:hint="default"/>
                      <w:color w:val="auto"/>
                    </w:rPr>
                  </w:pPr>
                  <w:r>
                    <w:rPr>
                      <w:rFonts w:hint="default"/>
                      <w:color w:val="auto"/>
                    </w:rPr>
                    <w:t>交叉口形式</w:t>
                  </w:r>
                </w:p>
              </w:tc>
              <w:tc>
                <w:tcPr>
                  <w:tcW w:w="2239" w:type="pct"/>
                  <w:tcBorders>
                    <w:tl2br w:val="nil"/>
                    <w:tr2bl w:val="nil"/>
                  </w:tcBorders>
                  <w:vAlign w:val="center"/>
                </w:tcPr>
                <w:p w14:paraId="2B4262F3">
                  <w:pPr>
                    <w:pStyle w:val="23"/>
                    <w:bidi w:val="0"/>
                    <w:rPr>
                      <w:rFonts w:hint="default"/>
                      <w:color w:val="auto"/>
                    </w:rPr>
                  </w:pPr>
                  <w:r>
                    <w:rPr>
                      <w:rFonts w:hint="default"/>
                      <w:color w:val="auto"/>
                    </w:rPr>
                    <w:t>渠化方式</w:t>
                  </w:r>
                </w:p>
              </w:tc>
            </w:tr>
            <w:tr w14:paraId="3DA106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1808" w:type="pct"/>
                  <w:tcBorders>
                    <w:tl2br w:val="nil"/>
                    <w:tr2bl w:val="nil"/>
                  </w:tcBorders>
                  <w:vAlign w:val="center"/>
                </w:tcPr>
                <w:p w14:paraId="78DC42B2">
                  <w:pPr>
                    <w:pStyle w:val="23"/>
                    <w:bidi w:val="0"/>
                    <w:rPr>
                      <w:rFonts w:hint="default"/>
                      <w:color w:val="auto"/>
                    </w:rPr>
                  </w:pPr>
                  <w:r>
                    <w:rPr>
                      <w:rFonts w:hint="default"/>
                      <w:color w:val="auto"/>
                    </w:rPr>
                    <w:t>1号桥与甘溪街交叉口</w:t>
                  </w:r>
                </w:p>
              </w:tc>
              <w:tc>
                <w:tcPr>
                  <w:tcW w:w="951" w:type="pct"/>
                  <w:tcBorders>
                    <w:tl2br w:val="nil"/>
                    <w:tr2bl w:val="nil"/>
                  </w:tcBorders>
                  <w:vAlign w:val="center"/>
                </w:tcPr>
                <w:p w14:paraId="4AF02312">
                  <w:pPr>
                    <w:pStyle w:val="23"/>
                    <w:bidi w:val="0"/>
                    <w:rPr>
                      <w:rFonts w:hint="default"/>
                      <w:color w:val="auto"/>
                    </w:rPr>
                  </w:pPr>
                  <w:r>
                    <w:rPr>
                      <w:rFonts w:hint="default"/>
                      <w:color w:val="auto"/>
                    </w:rPr>
                    <w:t>T形平交</w:t>
                  </w:r>
                </w:p>
              </w:tc>
              <w:tc>
                <w:tcPr>
                  <w:tcW w:w="2239" w:type="pct"/>
                  <w:tcBorders>
                    <w:tl2br w:val="nil"/>
                    <w:tr2bl w:val="nil"/>
                  </w:tcBorders>
                  <w:vAlign w:val="center"/>
                </w:tcPr>
                <w:p w14:paraId="6B343F04">
                  <w:pPr>
                    <w:pStyle w:val="23"/>
                    <w:bidi w:val="0"/>
                    <w:rPr>
                      <w:rFonts w:hint="default"/>
                      <w:color w:val="auto"/>
                    </w:rPr>
                  </w:pPr>
                  <w:r>
                    <w:rPr>
                      <w:rFonts w:hint="default"/>
                      <w:color w:val="auto"/>
                    </w:rPr>
                    <w:t>1号桥采用信号控制交通组织</w:t>
                  </w:r>
                </w:p>
              </w:tc>
            </w:tr>
            <w:tr w14:paraId="0DC107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9" w:hRule="atLeast"/>
              </w:trPr>
              <w:tc>
                <w:tcPr>
                  <w:tcW w:w="1808" w:type="pct"/>
                  <w:tcBorders>
                    <w:tl2br w:val="nil"/>
                    <w:tr2bl w:val="nil"/>
                  </w:tcBorders>
                  <w:vAlign w:val="center"/>
                </w:tcPr>
                <w:p w14:paraId="38A7B23A">
                  <w:pPr>
                    <w:pStyle w:val="23"/>
                    <w:bidi w:val="0"/>
                    <w:rPr>
                      <w:rFonts w:hint="default"/>
                      <w:color w:val="auto"/>
                    </w:rPr>
                  </w:pPr>
                  <w:r>
                    <w:rPr>
                      <w:rFonts w:hint="default"/>
                      <w:color w:val="auto"/>
                    </w:rPr>
                    <w:t>连接道路与万胜路辅道交叉口</w:t>
                  </w:r>
                </w:p>
              </w:tc>
              <w:tc>
                <w:tcPr>
                  <w:tcW w:w="951" w:type="pct"/>
                  <w:tcBorders>
                    <w:tl2br w:val="nil"/>
                    <w:tr2bl w:val="nil"/>
                  </w:tcBorders>
                  <w:vAlign w:val="center"/>
                </w:tcPr>
                <w:p w14:paraId="55204BDB">
                  <w:pPr>
                    <w:pStyle w:val="23"/>
                    <w:bidi w:val="0"/>
                    <w:rPr>
                      <w:rFonts w:hint="default"/>
                      <w:color w:val="auto"/>
                    </w:rPr>
                  </w:pPr>
                  <w:r>
                    <w:rPr>
                      <w:rFonts w:hint="default"/>
                      <w:color w:val="auto"/>
                    </w:rPr>
                    <w:t>T形平交</w:t>
                  </w:r>
                </w:p>
              </w:tc>
              <w:tc>
                <w:tcPr>
                  <w:tcW w:w="2239" w:type="pct"/>
                  <w:tcBorders>
                    <w:tl2br w:val="nil"/>
                    <w:tr2bl w:val="nil"/>
                  </w:tcBorders>
                  <w:vAlign w:val="center"/>
                </w:tcPr>
                <w:p w14:paraId="6ADB1C86">
                  <w:pPr>
                    <w:pStyle w:val="23"/>
                    <w:bidi w:val="0"/>
                    <w:rPr>
                      <w:rFonts w:hint="default"/>
                      <w:color w:val="auto"/>
                    </w:rPr>
                  </w:pPr>
                  <w:r>
                    <w:rPr>
                      <w:rFonts w:hint="default"/>
                      <w:color w:val="auto"/>
                    </w:rPr>
                    <w:t>连接道路采用右进右出交通组织</w:t>
                  </w:r>
                </w:p>
              </w:tc>
            </w:tr>
            <w:tr w14:paraId="7CA92C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808" w:type="pct"/>
                  <w:tcBorders>
                    <w:tl2br w:val="nil"/>
                    <w:tr2bl w:val="nil"/>
                  </w:tcBorders>
                  <w:vAlign w:val="center"/>
                </w:tcPr>
                <w:p w14:paraId="01C819CB">
                  <w:pPr>
                    <w:pStyle w:val="23"/>
                    <w:bidi w:val="0"/>
                    <w:rPr>
                      <w:rFonts w:hint="default"/>
                      <w:color w:val="auto"/>
                    </w:rPr>
                  </w:pPr>
                  <w:r>
                    <w:rPr>
                      <w:rFonts w:hint="default"/>
                      <w:color w:val="auto"/>
                    </w:rPr>
                    <w:t>连接道路与夔州西路交叉口</w:t>
                  </w:r>
                </w:p>
              </w:tc>
              <w:tc>
                <w:tcPr>
                  <w:tcW w:w="951" w:type="pct"/>
                  <w:tcBorders>
                    <w:tl2br w:val="nil"/>
                    <w:tr2bl w:val="nil"/>
                  </w:tcBorders>
                  <w:vAlign w:val="center"/>
                </w:tcPr>
                <w:p w14:paraId="49338D0E">
                  <w:pPr>
                    <w:pStyle w:val="23"/>
                    <w:bidi w:val="0"/>
                    <w:rPr>
                      <w:rFonts w:hint="default"/>
                      <w:color w:val="auto"/>
                    </w:rPr>
                  </w:pPr>
                  <w:r>
                    <w:rPr>
                      <w:rFonts w:hint="default"/>
                      <w:color w:val="auto"/>
                    </w:rPr>
                    <w:t>T形平交</w:t>
                  </w:r>
                </w:p>
              </w:tc>
              <w:tc>
                <w:tcPr>
                  <w:tcW w:w="2239" w:type="pct"/>
                  <w:tcBorders>
                    <w:tl2br w:val="nil"/>
                    <w:tr2bl w:val="nil"/>
                  </w:tcBorders>
                  <w:vAlign w:val="center"/>
                </w:tcPr>
                <w:p w14:paraId="0A9B6BD9">
                  <w:pPr>
                    <w:pStyle w:val="23"/>
                    <w:bidi w:val="0"/>
                    <w:rPr>
                      <w:rFonts w:hint="default"/>
                      <w:color w:val="auto"/>
                    </w:rPr>
                  </w:pPr>
                  <w:r>
                    <w:rPr>
                      <w:rFonts w:hint="default"/>
                      <w:color w:val="auto"/>
                    </w:rPr>
                    <w:t>连接道路采用右进右出交通组织，夔州西路辅道拓宽右转专用车道</w:t>
                  </w:r>
                </w:p>
              </w:tc>
            </w:tr>
          </w:tbl>
          <w:p w14:paraId="4CB18FBE">
            <w:pPr>
              <w:pStyle w:val="5"/>
              <w:bidi w:val="0"/>
              <w:rPr>
                <w:rFonts w:hint="default"/>
                <w:color w:val="auto"/>
                <w:lang w:val="en-US" w:eastAsia="zh-CN"/>
              </w:rPr>
            </w:pPr>
            <w:r>
              <w:rPr>
                <w:rFonts w:hint="default"/>
                <w:color w:val="auto"/>
                <w:lang w:val="en-US" w:eastAsia="zh-CN"/>
              </w:rPr>
              <w:t>辅助工程</w:t>
            </w:r>
          </w:p>
          <w:p w14:paraId="2A681961">
            <w:pPr>
              <w:pStyle w:val="21"/>
              <w:bidi w:val="0"/>
              <w:rPr>
                <w:rFonts w:hint="default" w:eastAsia="宋体"/>
                <w:color w:val="auto"/>
                <w:lang w:val="en-US" w:eastAsia="zh-CN"/>
              </w:rPr>
            </w:pPr>
            <w:r>
              <w:rPr>
                <w:rFonts w:hint="default" w:eastAsia="宋体"/>
                <w:color w:val="auto"/>
                <w:lang w:val="en-US" w:eastAsia="zh-CN"/>
              </w:rPr>
              <w:t>（1）</w:t>
            </w:r>
            <w:r>
              <w:rPr>
                <w:rFonts w:hint="eastAsia"/>
                <w:color w:val="auto"/>
                <w:lang w:val="en-US" w:eastAsia="zh-CN"/>
              </w:rPr>
              <w:t>给</w:t>
            </w:r>
            <w:r>
              <w:rPr>
                <w:rFonts w:hint="default" w:eastAsia="宋体"/>
                <w:color w:val="auto"/>
                <w:lang w:val="en-US" w:eastAsia="zh-CN"/>
              </w:rPr>
              <w:t>排水工程</w:t>
            </w:r>
          </w:p>
          <w:p w14:paraId="3C67156B">
            <w:pPr>
              <w:pStyle w:val="21"/>
              <w:bidi w:val="0"/>
              <w:rPr>
                <w:rFonts w:hint="eastAsia"/>
                <w:color w:val="auto"/>
                <w:lang w:val="en-US" w:eastAsia="zh-CN"/>
              </w:rPr>
            </w:pPr>
            <w:r>
              <w:rPr>
                <w:rFonts w:hint="eastAsia"/>
                <w:color w:val="auto"/>
                <w:lang w:val="en-US" w:eastAsia="zh-CN"/>
              </w:rPr>
              <w:t>①给水</w:t>
            </w:r>
          </w:p>
          <w:p w14:paraId="6C319F8D">
            <w:pPr>
              <w:pStyle w:val="21"/>
              <w:bidi w:val="0"/>
              <w:rPr>
                <w:rFonts w:hint="eastAsia"/>
                <w:color w:val="auto"/>
                <w:lang w:val="en-US" w:eastAsia="zh-CN"/>
              </w:rPr>
            </w:pPr>
            <w:r>
              <w:rPr>
                <w:rFonts w:hint="eastAsia"/>
                <w:color w:val="auto"/>
                <w:lang w:val="en-US" w:eastAsia="zh-CN"/>
              </w:rPr>
              <w:t>在新建连接道路人行道下新建一根DN300给水管道，并对受新建桥梁影响的现状给水管道进行迁改，新建给水管道长约290m，迁改给水管道长约110m。</w:t>
            </w:r>
          </w:p>
          <w:p w14:paraId="322892C2">
            <w:pPr>
              <w:pStyle w:val="21"/>
              <w:bidi w:val="0"/>
              <w:rPr>
                <w:rFonts w:hint="default"/>
                <w:color w:val="auto"/>
                <w:lang w:val="en-US" w:eastAsia="zh-CN"/>
              </w:rPr>
            </w:pPr>
            <w:r>
              <w:rPr>
                <w:rFonts w:hint="eastAsia"/>
                <w:color w:val="auto"/>
                <w:lang w:val="en-US" w:eastAsia="zh-CN"/>
              </w:rPr>
              <w:t>②雨水</w:t>
            </w:r>
          </w:p>
          <w:p w14:paraId="747533CC">
            <w:pPr>
              <w:pStyle w:val="21"/>
              <w:bidi w:val="0"/>
              <w:rPr>
                <w:rFonts w:hint="default"/>
                <w:color w:val="auto"/>
                <w:lang w:val="en-US" w:eastAsia="zh-CN"/>
              </w:rPr>
            </w:pPr>
            <w:r>
              <w:rPr>
                <w:rFonts w:hint="default"/>
                <w:color w:val="auto"/>
                <w:lang w:val="en-US" w:eastAsia="zh-CN"/>
              </w:rPr>
              <w:t>雨水系统单侧布置于新建连接道路东侧车行道下，在道路桩号K0+280处逆道路坡向，排入夔州西路现状</w:t>
            </w:r>
            <w:r>
              <w:rPr>
                <w:rFonts w:hint="eastAsia"/>
                <w:color w:val="auto"/>
                <w:lang w:val="en-US" w:eastAsia="zh-CN"/>
              </w:rPr>
              <w:t>DN</w:t>
            </w:r>
            <w:r>
              <w:rPr>
                <w:rFonts w:hint="default"/>
                <w:color w:val="auto"/>
                <w:lang w:val="en-US" w:eastAsia="zh-CN"/>
              </w:rPr>
              <w:t>900雨水管道</w:t>
            </w:r>
            <w:r>
              <w:rPr>
                <w:rFonts w:hint="eastAsia"/>
                <w:color w:val="auto"/>
                <w:lang w:val="en-US" w:eastAsia="zh-CN"/>
              </w:rPr>
              <w:t>，</w:t>
            </w:r>
            <w:r>
              <w:rPr>
                <w:rFonts w:hint="default"/>
                <w:color w:val="auto"/>
                <w:lang w:val="en-US" w:eastAsia="zh-CN"/>
              </w:rPr>
              <w:t>新建雨水管道约350m</w:t>
            </w:r>
            <w:r>
              <w:rPr>
                <w:rFonts w:hint="eastAsia"/>
                <w:color w:val="auto"/>
                <w:lang w:val="en-US" w:eastAsia="zh-CN"/>
              </w:rPr>
              <w:t>。</w:t>
            </w:r>
          </w:p>
          <w:p w14:paraId="40335279">
            <w:pPr>
              <w:pStyle w:val="21"/>
              <w:bidi w:val="0"/>
              <w:rPr>
                <w:rFonts w:hint="eastAsia"/>
                <w:color w:val="auto"/>
                <w:lang w:val="en-US" w:eastAsia="zh-CN"/>
              </w:rPr>
            </w:pPr>
            <w:r>
              <w:rPr>
                <w:rFonts w:hint="eastAsia"/>
                <w:color w:val="auto"/>
                <w:lang w:val="en-US" w:eastAsia="zh-CN"/>
              </w:rPr>
              <w:t>③污水</w:t>
            </w:r>
          </w:p>
          <w:p w14:paraId="73F2B5F7">
            <w:pPr>
              <w:pStyle w:val="21"/>
              <w:bidi w:val="0"/>
              <w:rPr>
                <w:rFonts w:hint="eastAsia"/>
                <w:color w:val="auto"/>
                <w:lang w:val="en-US" w:eastAsia="zh-CN"/>
              </w:rPr>
            </w:pPr>
            <w:r>
              <w:rPr>
                <w:rFonts w:hint="eastAsia"/>
                <w:color w:val="auto"/>
                <w:lang w:val="en-US" w:eastAsia="zh-CN"/>
              </w:rPr>
              <w:t>污水系统单侧布置于新建连接道路西侧车行道下，在道路桩号K0+280处排入下游夔州西路现状DN400污水管道，新建污水管道约280m。</w:t>
            </w:r>
          </w:p>
          <w:p w14:paraId="311A2CB2">
            <w:pPr>
              <w:pStyle w:val="21"/>
              <w:bidi w:val="0"/>
              <w:rPr>
                <w:rFonts w:hint="default" w:eastAsia="宋体"/>
                <w:color w:val="auto"/>
                <w:lang w:val="en-US" w:eastAsia="zh-CN"/>
              </w:rPr>
            </w:pPr>
            <w:r>
              <w:rPr>
                <w:rFonts w:hint="default" w:eastAsia="宋体"/>
                <w:color w:val="auto"/>
                <w:lang w:val="en-US" w:eastAsia="zh-CN"/>
              </w:rPr>
              <w:t>（2）照明工程</w:t>
            </w:r>
          </w:p>
          <w:p w14:paraId="50F4BD54">
            <w:pPr>
              <w:pStyle w:val="21"/>
              <w:bidi w:val="0"/>
              <w:rPr>
                <w:rFonts w:hint="default" w:eastAsia="宋体"/>
                <w:color w:val="auto"/>
                <w:lang w:val="en-US" w:eastAsia="zh-CN"/>
              </w:rPr>
            </w:pPr>
            <w:r>
              <w:rPr>
                <w:rFonts w:hint="default" w:eastAsia="宋体"/>
                <w:color w:val="auto"/>
                <w:lang w:val="en-US" w:eastAsia="zh-CN"/>
              </w:rPr>
              <w:t>工程负荷等级按三级负荷设计</w:t>
            </w:r>
            <w:r>
              <w:rPr>
                <w:rFonts w:hint="eastAsia"/>
                <w:color w:val="auto"/>
                <w:lang w:val="en-US" w:eastAsia="zh-CN"/>
              </w:rPr>
              <w:t>，</w:t>
            </w:r>
            <w:r>
              <w:rPr>
                <w:rFonts w:hint="default" w:eastAsia="宋体"/>
                <w:color w:val="auto"/>
                <w:lang w:val="en-US" w:eastAsia="zh-CN"/>
              </w:rPr>
              <w:t>各照明回路采用AC380/220V供电。</w:t>
            </w:r>
          </w:p>
          <w:p w14:paraId="616DDA30">
            <w:pPr>
              <w:pStyle w:val="21"/>
              <w:bidi w:val="0"/>
              <w:rPr>
                <w:rFonts w:hint="eastAsia"/>
                <w:color w:val="auto"/>
                <w:lang w:val="en-US" w:eastAsia="zh-CN"/>
              </w:rPr>
            </w:pPr>
            <w:r>
              <w:rPr>
                <w:rFonts w:hint="default" w:eastAsia="宋体"/>
                <w:color w:val="auto"/>
                <w:lang w:val="en-US" w:eastAsia="zh-CN"/>
              </w:rPr>
              <w:t>1号桥路灯采取双侧对称布置</w:t>
            </w:r>
            <w:r>
              <w:rPr>
                <w:rFonts w:hint="eastAsia"/>
                <w:color w:val="auto"/>
                <w:lang w:val="en-US" w:eastAsia="zh-CN"/>
              </w:rPr>
              <w:t>，灯杆形式为玉兰灯，高度15m，主要布置在人行道，灯杆中心距离车行道侧路缘石边缘1m，采用LED路灯。</w:t>
            </w:r>
          </w:p>
          <w:p w14:paraId="764D4D97">
            <w:pPr>
              <w:pStyle w:val="21"/>
              <w:bidi w:val="0"/>
              <w:rPr>
                <w:rFonts w:hint="default"/>
                <w:color w:val="auto"/>
                <w:lang w:val="en-US" w:eastAsia="zh-CN"/>
              </w:rPr>
            </w:pPr>
            <w:r>
              <w:rPr>
                <w:rFonts w:hint="eastAsia"/>
                <w:color w:val="auto"/>
                <w:lang w:val="en-US" w:eastAsia="zh-CN"/>
              </w:rPr>
              <w:t>2号桥、</w:t>
            </w:r>
            <w:r>
              <w:rPr>
                <w:rFonts w:hint="default"/>
                <w:color w:val="auto"/>
                <w:lang w:val="en-US" w:eastAsia="zh-CN"/>
              </w:rPr>
              <w:t>连接道路采取单侧布置，灯杆形式为单臂灯杆，高度</w:t>
            </w:r>
            <w:r>
              <w:rPr>
                <w:rFonts w:hint="eastAsia"/>
                <w:color w:val="auto"/>
                <w:lang w:val="en-US" w:eastAsia="zh-CN"/>
              </w:rPr>
              <w:t>9</w:t>
            </w:r>
            <w:r>
              <w:rPr>
                <w:rFonts w:hint="default"/>
                <w:color w:val="auto"/>
                <w:lang w:val="en-US" w:eastAsia="zh-CN"/>
              </w:rPr>
              <w:t>m，主要布置在人行道，灯杆中心距离车行道侧路缘石边缘1m</w:t>
            </w:r>
            <w:r>
              <w:rPr>
                <w:rFonts w:hint="eastAsia"/>
                <w:color w:val="auto"/>
                <w:lang w:val="en-US" w:eastAsia="zh-CN"/>
              </w:rPr>
              <w:t>，采用LED路灯</w:t>
            </w:r>
            <w:r>
              <w:rPr>
                <w:rFonts w:hint="default"/>
                <w:color w:val="auto"/>
                <w:lang w:val="en-US" w:eastAsia="zh-CN"/>
              </w:rPr>
              <w:t>。</w:t>
            </w:r>
          </w:p>
          <w:p w14:paraId="1A9638BB">
            <w:pPr>
              <w:pStyle w:val="21"/>
              <w:bidi w:val="0"/>
              <w:rPr>
                <w:rFonts w:hint="eastAsia"/>
                <w:color w:val="auto"/>
                <w:lang w:val="en-US" w:eastAsia="zh-CN"/>
              </w:rPr>
            </w:pPr>
            <w:r>
              <w:rPr>
                <w:rFonts w:hint="eastAsia"/>
                <w:color w:val="auto"/>
                <w:lang w:val="en-US" w:eastAsia="zh-CN"/>
              </w:rPr>
              <w:t>（3）交通工程</w:t>
            </w:r>
          </w:p>
          <w:p w14:paraId="0C08F7EF">
            <w:pPr>
              <w:pStyle w:val="21"/>
              <w:bidi w:val="0"/>
              <w:rPr>
                <w:rFonts w:hint="default"/>
                <w:color w:val="auto"/>
                <w:lang w:val="en-US" w:eastAsia="zh-CN"/>
              </w:rPr>
            </w:pPr>
            <w:r>
              <w:rPr>
                <w:rFonts w:hint="default"/>
                <w:color w:val="auto"/>
                <w:lang w:val="en-US" w:eastAsia="zh-CN"/>
              </w:rPr>
              <w:t>本项目交叉口有3个，连接道路/夔州西路、1号桥/甘溪街，为信号控制交叉口，连接道路/万胜路辅道采用减速让行标志管制。交叉口设置减速让行标志（版面：900×900×900mm）及人行横道标志（版面：800*800mm），支撑结构：φ89单柱式。</w:t>
            </w:r>
          </w:p>
          <w:p w14:paraId="55B6824C">
            <w:pPr>
              <w:pStyle w:val="21"/>
              <w:bidi w:val="0"/>
              <w:rPr>
                <w:rFonts w:hint="default"/>
                <w:color w:val="auto"/>
                <w:lang w:val="en-US" w:eastAsia="zh-CN"/>
              </w:rPr>
            </w:pPr>
            <w:r>
              <w:rPr>
                <w:rFonts w:hint="default"/>
                <w:color w:val="auto"/>
                <w:lang w:val="en-US" w:eastAsia="zh-CN"/>
              </w:rPr>
              <w:t>在交叉口进口设置指路标志，位于停车线前约30m，版面：1500×2000mm，支撑结构：Φ121单立柱标志杆；在交叉口出口设置限速、违停、陡坡组合标志，版面1000×3000mm，支撑结构：φ121单柱式。</w:t>
            </w:r>
          </w:p>
          <w:p w14:paraId="30CAE1B9">
            <w:pPr>
              <w:pStyle w:val="21"/>
              <w:bidi w:val="0"/>
              <w:rPr>
                <w:rFonts w:hint="eastAsia"/>
                <w:color w:val="auto"/>
                <w:lang w:val="en-US" w:eastAsia="zh-CN"/>
              </w:rPr>
            </w:pPr>
            <w:r>
              <w:rPr>
                <w:rFonts w:hint="eastAsia"/>
                <w:color w:val="auto"/>
                <w:lang w:val="en-US" w:eastAsia="zh-CN"/>
              </w:rPr>
              <w:t>（4）公交及人行系统</w:t>
            </w:r>
          </w:p>
          <w:p w14:paraId="2BC872C0">
            <w:pPr>
              <w:pStyle w:val="21"/>
              <w:bidi w:val="0"/>
              <w:rPr>
                <w:rFonts w:hint="default" w:eastAsia="宋体"/>
                <w:color w:val="auto"/>
                <w:lang w:val="en-US" w:eastAsia="zh-CN"/>
              </w:rPr>
            </w:pPr>
            <w:r>
              <w:rPr>
                <w:rFonts w:hint="default" w:eastAsia="宋体"/>
                <w:color w:val="auto"/>
                <w:lang w:val="en-US" w:eastAsia="zh-CN"/>
              </w:rPr>
              <w:t>本项目周边夔州西路已设置一对公交停车港，满足周边居民便捷出行需求，故本次设计未新增公交停车港。在道路交叉口及连接道路万达人行出入口处设置人行过街斑马线。连接道路东侧人行道宽度为2m，满足基本人行需求。</w:t>
            </w:r>
          </w:p>
          <w:p w14:paraId="097F02D8">
            <w:pPr>
              <w:pStyle w:val="21"/>
              <w:bidi w:val="0"/>
              <w:rPr>
                <w:rFonts w:hint="default" w:eastAsia="宋体"/>
                <w:color w:val="auto"/>
                <w:lang w:val="en-US" w:eastAsia="zh-CN"/>
              </w:rPr>
            </w:pPr>
            <w:r>
              <w:rPr>
                <w:rFonts w:hint="eastAsia"/>
                <w:color w:val="auto"/>
                <w:lang w:val="en-US" w:eastAsia="zh-CN"/>
              </w:rPr>
              <w:t>（5）路缘石、路边石</w:t>
            </w:r>
          </w:p>
          <w:p w14:paraId="08E20B40">
            <w:pPr>
              <w:pStyle w:val="21"/>
              <w:bidi w:val="0"/>
              <w:rPr>
                <w:rFonts w:hint="default" w:eastAsia="宋体"/>
                <w:color w:val="auto"/>
                <w:lang w:val="en-US" w:eastAsia="zh-CN"/>
              </w:rPr>
            </w:pPr>
            <w:r>
              <w:rPr>
                <w:rFonts w:hint="default" w:eastAsia="宋体"/>
                <w:color w:val="auto"/>
                <w:lang w:val="en-US" w:eastAsia="zh-CN"/>
              </w:rPr>
              <w:t>路缘石、路边石均采用芝麻灰花岗石，路缘石规格为15×45×100cm，外露20cm，路边石规格为12×20×100cm。</w:t>
            </w:r>
          </w:p>
          <w:p w14:paraId="1BEAFFEC">
            <w:pPr>
              <w:pStyle w:val="21"/>
              <w:bidi w:val="0"/>
              <w:rPr>
                <w:rFonts w:hint="eastAsia"/>
                <w:color w:val="auto"/>
                <w:lang w:val="en-US" w:eastAsia="zh-CN"/>
              </w:rPr>
            </w:pPr>
            <w:r>
              <w:rPr>
                <w:rFonts w:hint="eastAsia"/>
                <w:color w:val="auto"/>
                <w:lang w:val="en-US" w:eastAsia="zh-CN"/>
              </w:rPr>
              <w:t>（6）人行道砖、无障碍设计（盲道）</w:t>
            </w:r>
          </w:p>
          <w:p w14:paraId="6B1CFAB1">
            <w:pPr>
              <w:pStyle w:val="21"/>
              <w:bidi w:val="0"/>
              <w:rPr>
                <w:rFonts w:hint="eastAsia"/>
                <w:color w:val="auto"/>
                <w:lang w:val="en-US" w:eastAsia="zh-CN"/>
              </w:rPr>
            </w:pPr>
            <w:r>
              <w:rPr>
                <w:rFonts w:hint="eastAsia"/>
                <w:color w:val="auto"/>
                <w:lang w:val="en-US" w:eastAsia="zh-CN"/>
              </w:rPr>
              <w:t>人行道采用芝麻灰仿石材生态砖，规格为60×30×6cm；盲道砖采用芝麻黑仿石材生态砖，规格为30×30×6cm，人行道上必须设置连续的盲道，行进盲道宽60cm，单面坡缘石坡道宽1.5m，在交叉口处须设置残疾人坡道。</w:t>
            </w:r>
          </w:p>
          <w:p w14:paraId="1D62F8BA">
            <w:pPr>
              <w:pStyle w:val="21"/>
              <w:bidi w:val="0"/>
              <w:rPr>
                <w:rFonts w:hint="eastAsia"/>
                <w:color w:val="auto"/>
                <w:lang w:val="en-US" w:eastAsia="zh-CN"/>
              </w:rPr>
            </w:pPr>
            <w:r>
              <w:rPr>
                <w:rFonts w:hint="eastAsia"/>
                <w:color w:val="auto"/>
                <w:lang w:val="en-US" w:eastAsia="zh-CN"/>
              </w:rPr>
              <w:t>（7）景观工程</w:t>
            </w:r>
          </w:p>
          <w:p w14:paraId="1643428D">
            <w:pPr>
              <w:pStyle w:val="21"/>
              <w:bidi w:val="0"/>
              <w:rPr>
                <w:rFonts w:hint="default"/>
                <w:color w:val="auto"/>
                <w:lang w:val="en-US" w:eastAsia="zh-CN"/>
              </w:rPr>
            </w:pPr>
            <w:r>
              <w:rPr>
                <w:rFonts w:hint="eastAsia"/>
                <w:color w:val="auto"/>
                <w:lang w:val="en-US" w:eastAsia="zh-CN"/>
              </w:rPr>
              <w:t>1号桥景观面积约1126m</w:t>
            </w:r>
            <w:r>
              <w:rPr>
                <w:rFonts w:hint="eastAsia"/>
                <w:color w:val="auto"/>
                <w:vertAlign w:val="superscript"/>
                <w:lang w:val="en-US" w:eastAsia="zh-CN"/>
              </w:rPr>
              <w:t>2</w:t>
            </w:r>
            <w:r>
              <w:rPr>
                <w:rFonts w:hint="eastAsia"/>
                <w:color w:val="auto"/>
                <w:lang w:val="en-US" w:eastAsia="zh-CN"/>
              </w:rPr>
              <w:t>，2号桥景观面积约2327m</w:t>
            </w:r>
            <w:r>
              <w:rPr>
                <w:rFonts w:hint="eastAsia"/>
                <w:color w:val="auto"/>
                <w:vertAlign w:val="superscript"/>
                <w:lang w:val="en-US" w:eastAsia="zh-CN"/>
              </w:rPr>
              <w:t>2</w:t>
            </w:r>
            <w:r>
              <w:rPr>
                <w:rFonts w:hint="eastAsia"/>
                <w:color w:val="auto"/>
                <w:lang w:val="en-US" w:eastAsia="zh-CN"/>
              </w:rPr>
              <w:t>，主要包含铺装、花池、景观照明、绿化，植物选用桂花、蓝花楹、紫薇、红叶石楠球、大叶黄杨球等。</w:t>
            </w:r>
          </w:p>
          <w:p w14:paraId="56FD73F6">
            <w:pPr>
              <w:pStyle w:val="4"/>
              <w:rPr>
                <w:color w:val="auto"/>
              </w:rPr>
            </w:pPr>
            <w:r>
              <w:rPr>
                <w:rFonts w:hint="eastAsia"/>
                <w:color w:val="auto"/>
                <w:lang w:val="en-US" w:eastAsia="zh-CN"/>
              </w:rPr>
              <w:t>项目</w:t>
            </w:r>
            <w:r>
              <w:rPr>
                <w:rFonts w:hint="eastAsia"/>
                <w:color w:val="auto"/>
              </w:rPr>
              <w:t>占地及拆迁安置</w:t>
            </w:r>
          </w:p>
          <w:p w14:paraId="6F2A4B61">
            <w:pPr>
              <w:pStyle w:val="21"/>
              <w:rPr>
                <w:rFonts w:hint="eastAsia" w:eastAsia="宋体"/>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）占地</w:t>
            </w:r>
          </w:p>
          <w:p w14:paraId="4E2CD22E">
            <w:pPr>
              <w:pStyle w:val="21"/>
              <w:rPr>
                <w:rFonts w:hint="eastAsia"/>
                <w:color w:val="auto"/>
              </w:rPr>
            </w:pPr>
            <w:r>
              <w:rPr>
                <w:rFonts w:hint="eastAsia"/>
                <w:color w:val="auto"/>
                <w:lang w:val="en-US" w:eastAsia="zh-CN"/>
              </w:rPr>
              <w:t>项目永久占地5964.56m</w:t>
            </w:r>
            <w:r>
              <w:rPr>
                <w:rFonts w:hint="eastAsia"/>
                <w:color w:val="auto"/>
                <w:vertAlign w:val="superscript"/>
                <w:lang w:val="en-US" w:eastAsia="zh-CN"/>
              </w:rPr>
              <w:t>2</w:t>
            </w:r>
            <w:r>
              <w:rPr>
                <w:rFonts w:hint="eastAsia"/>
                <w:color w:val="auto"/>
                <w:lang w:val="en-US" w:eastAsia="zh-CN"/>
              </w:rPr>
              <w:t>，其中1号桥和2号桥用地面积2843m</w:t>
            </w:r>
            <w:r>
              <w:rPr>
                <w:rFonts w:hint="eastAsia"/>
                <w:color w:val="auto"/>
                <w:vertAlign w:val="superscript"/>
                <w:lang w:val="en-US" w:eastAsia="zh-CN"/>
              </w:rPr>
              <w:t>2</w:t>
            </w:r>
            <w:r>
              <w:rPr>
                <w:rFonts w:hint="eastAsia"/>
                <w:color w:val="auto"/>
                <w:lang w:val="en-US" w:eastAsia="zh-CN"/>
              </w:rPr>
              <w:t>，连接道路用地面积3121.56m</w:t>
            </w:r>
            <w:r>
              <w:rPr>
                <w:rFonts w:hint="eastAsia"/>
                <w:color w:val="auto"/>
                <w:vertAlign w:val="superscript"/>
                <w:lang w:val="en-US" w:eastAsia="zh-CN"/>
              </w:rPr>
              <w:t>2</w:t>
            </w:r>
            <w:r>
              <w:rPr>
                <w:rFonts w:hint="eastAsia"/>
                <w:color w:val="auto"/>
                <w:lang w:val="en-US" w:eastAsia="zh-CN"/>
              </w:rPr>
              <w:t>已出让给重庆飞洋控股（集团）有限公司，本次仅负责建设，故用地预审与选址意见书拟用地面积仅为1号桥和2号桥用地面积2843m</w:t>
            </w:r>
            <w:r>
              <w:rPr>
                <w:rFonts w:hint="eastAsia"/>
                <w:color w:val="auto"/>
                <w:vertAlign w:val="superscript"/>
                <w:lang w:val="en-US" w:eastAsia="zh-CN"/>
              </w:rPr>
              <w:t>2</w:t>
            </w:r>
            <w:r>
              <w:rPr>
                <w:rFonts w:hint="eastAsia"/>
                <w:color w:val="auto"/>
                <w:lang w:val="en-US" w:eastAsia="zh-CN"/>
              </w:rPr>
              <w:t>，用地说明见附件5。永久占地类型为公园绿地、</w:t>
            </w:r>
            <w:r>
              <w:rPr>
                <w:rFonts w:hint="eastAsia" w:ascii="Times New Roman" w:eastAsia="宋体"/>
                <w:color w:val="auto"/>
                <w:vertAlign w:val="baseline"/>
                <w:lang w:val="en-US" w:eastAsia="zh-CN"/>
              </w:rPr>
              <w:t>交通运输用地</w:t>
            </w:r>
            <w:r>
              <w:rPr>
                <w:rFonts w:hint="eastAsia"/>
                <w:color w:val="auto"/>
                <w:vertAlign w:val="baseline"/>
                <w:lang w:val="en-US" w:eastAsia="zh-CN"/>
              </w:rPr>
              <w:t>、河流水面、商业用地</w:t>
            </w:r>
            <w:r>
              <w:rPr>
                <w:rFonts w:hint="eastAsia"/>
                <w:color w:val="auto"/>
                <w:lang w:val="en-US" w:eastAsia="zh-CN"/>
              </w:rPr>
              <w:t>；临时占地为施工场地，位于1号桥K0+052.000东侧、连接道路K0+200.000右侧，主要用于材料堆放及钢筋加工、机械设备停放、表土临时堆放等，占地面积约1300m</w:t>
            </w:r>
            <w:r>
              <w:rPr>
                <w:rFonts w:hint="eastAsia"/>
                <w:color w:val="auto"/>
                <w:vertAlign w:val="superscript"/>
                <w:lang w:val="en-US" w:eastAsia="zh-CN"/>
              </w:rPr>
              <w:t>2</w:t>
            </w:r>
            <w:r>
              <w:rPr>
                <w:rFonts w:hint="eastAsia"/>
                <w:color w:val="auto"/>
                <w:lang w:val="en-US" w:eastAsia="zh-CN"/>
              </w:rPr>
              <w:t>，占地类型为商业用地。其中占用公园绿地的植物交由园林所指定单位清运处置。</w:t>
            </w:r>
            <w:r>
              <w:rPr>
                <w:rFonts w:hint="eastAsia"/>
                <w:color w:val="auto"/>
              </w:rPr>
              <w:t>具体见下表。</w:t>
            </w:r>
          </w:p>
          <w:p w14:paraId="1E51F38B">
            <w:pPr>
              <w:pStyle w:val="6"/>
              <w:bidi w:val="0"/>
              <w:rPr>
                <w:rFonts w:hint="eastAsia"/>
                <w:color w:val="auto"/>
              </w:rPr>
            </w:pPr>
            <w:r>
              <w:rPr>
                <w:rFonts w:hint="eastAsia"/>
                <w:color w:val="auto"/>
              </w:rPr>
              <w:t>项目占地类型</w:t>
            </w:r>
            <w:r>
              <w:rPr>
                <w:rFonts w:hint="eastAsia"/>
                <w:color w:val="auto"/>
                <w:lang w:val="en-US" w:eastAsia="zh-CN"/>
              </w:rPr>
              <w:t>及面积</w:t>
            </w:r>
            <w:r>
              <w:rPr>
                <w:rFonts w:hint="eastAsia"/>
                <w:color w:val="auto"/>
              </w:rPr>
              <w:t>统计表</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714"/>
              <w:gridCol w:w="866"/>
              <w:gridCol w:w="1181"/>
              <w:gridCol w:w="1050"/>
              <w:gridCol w:w="1317"/>
              <w:gridCol w:w="984"/>
            </w:tblGrid>
            <w:tr w14:paraId="32DC7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03" w:type="pct"/>
                  <w:vMerge w:val="restart"/>
                  <w:tcBorders>
                    <w:tl2br w:val="nil"/>
                    <w:tr2bl w:val="nil"/>
                  </w:tcBorders>
                  <w:shd w:val="clear" w:color="auto" w:fill="auto"/>
                  <w:vAlign w:val="center"/>
                </w:tcPr>
                <w:p w14:paraId="7C5B3913">
                  <w:pPr>
                    <w:pStyle w:val="23"/>
                    <w:bidi w:val="0"/>
                    <w:rPr>
                      <w:color w:val="auto"/>
                    </w:rPr>
                  </w:pPr>
                  <w:r>
                    <w:rPr>
                      <w:color w:val="auto"/>
                    </w:rPr>
                    <w:t>分类</w:t>
                  </w:r>
                </w:p>
              </w:tc>
              <w:tc>
                <w:tcPr>
                  <w:tcW w:w="1035" w:type="pct"/>
                  <w:vMerge w:val="restart"/>
                  <w:tcBorders>
                    <w:tl2br w:val="nil"/>
                    <w:tr2bl w:val="nil"/>
                  </w:tcBorders>
                  <w:shd w:val="clear" w:color="auto" w:fill="auto"/>
                  <w:vAlign w:val="center"/>
                </w:tcPr>
                <w:p w14:paraId="6E3810F8">
                  <w:pPr>
                    <w:pStyle w:val="23"/>
                    <w:bidi w:val="0"/>
                    <w:rPr>
                      <w:color w:val="auto"/>
                    </w:rPr>
                  </w:pPr>
                  <w:r>
                    <w:rPr>
                      <w:color w:val="auto"/>
                    </w:rPr>
                    <w:t>分区</w:t>
                  </w:r>
                </w:p>
              </w:tc>
              <w:tc>
                <w:tcPr>
                  <w:tcW w:w="2666" w:type="pct"/>
                  <w:gridSpan w:val="4"/>
                  <w:tcBorders>
                    <w:tl2br w:val="nil"/>
                    <w:tr2bl w:val="nil"/>
                  </w:tcBorders>
                  <w:shd w:val="clear" w:color="auto" w:fill="auto"/>
                  <w:vAlign w:val="center"/>
                </w:tcPr>
                <w:p w14:paraId="5401B5ED">
                  <w:pPr>
                    <w:pStyle w:val="23"/>
                    <w:bidi w:val="0"/>
                    <w:rPr>
                      <w:color w:val="auto"/>
                    </w:rPr>
                  </w:pPr>
                  <w:r>
                    <w:rPr>
                      <w:color w:val="auto"/>
                    </w:rPr>
                    <w:t>分类占地面积</w:t>
                  </w:r>
                  <w:r>
                    <w:rPr>
                      <w:rFonts w:hint="eastAsia"/>
                      <w:color w:val="auto"/>
                      <w:lang w:eastAsia="zh-CN"/>
                    </w:rPr>
                    <w:t>（</w:t>
                  </w:r>
                  <w:r>
                    <w:rPr>
                      <w:rFonts w:hint="eastAsia"/>
                      <w:color w:val="auto"/>
                      <w:lang w:val="en-US" w:eastAsia="zh-CN"/>
                    </w:rPr>
                    <w:t>m</w:t>
                  </w:r>
                  <w:r>
                    <w:rPr>
                      <w:rFonts w:hint="eastAsia"/>
                      <w:color w:val="auto"/>
                      <w:vertAlign w:val="superscript"/>
                      <w:lang w:val="en-US" w:eastAsia="zh-CN"/>
                    </w:rPr>
                    <w:t>2</w:t>
                  </w:r>
                  <w:r>
                    <w:rPr>
                      <w:rFonts w:hint="eastAsia"/>
                      <w:color w:val="auto"/>
                      <w:lang w:eastAsia="zh-CN"/>
                    </w:rPr>
                    <w:t>）</w:t>
                  </w:r>
                </w:p>
              </w:tc>
              <w:tc>
                <w:tcPr>
                  <w:tcW w:w="594" w:type="pct"/>
                  <w:vMerge w:val="restart"/>
                  <w:tcBorders>
                    <w:tl2br w:val="nil"/>
                    <w:tr2bl w:val="nil"/>
                  </w:tcBorders>
                  <w:shd w:val="clear" w:color="auto" w:fill="auto"/>
                  <w:vAlign w:val="center"/>
                </w:tcPr>
                <w:p w14:paraId="6D3872E7">
                  <w:pPr>
                    <w:pStyle w:val="23"/>
                    <w:bidi w:val="0"/>
                    <w:rPr>
                      <w:color w:val="auto"/>
                    </w:rPr>
                  </w:pPr>
                  <w:r>
                    <w:rPr>
                      <w:color w:val="auto"/>
                    </w:rPr>
                    <w:t>合计</w:t>
                  </w:r>
                </w:p>
              </w:tc>
            </w:tr>
            <w:tr w14:paraId="55AA4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03" w:type="pct"/>
                  <w:vMerge w:val="continue"/>
                  <w:tcBorders>
                    <w:tl2br w:val="nil"/>
                    <w:tr2bl w:val="nil"/>
                  </w:tcBorders>
                  <w:vAlign w:val="center"/>
                </w:tcPr>
                <w:p w14:paraId="6A0C7EA8">
                  <w:pPr>
                    <w:pStyle w:val="23"/>
                    <w:bidi w:val="0"/>
                    <w:rPr>
                      <w:color w:val="auto"/>
                    </w:rPr>
                  </w:pPr>
                </w:p>
              </w:tc>
              <w:tc>
                <w:tcPr>
                  <w:tcW w:w="1035" w:type="pct"/>
                  <w:vMerge w:val="continue"/>
                  <w:tcBorders>
                    <w:tl2br w:val="nil"/>
                    <w:tr2bl w:val="nil"/>
                  </w:tcBorders>
                  <w:vAlign w:val="center"/>
                </w:tcPr>
                <w:p w14:paraId="6E4AC74B">
                  <w:pPr>
                    <w:pStyle w:val="23"/>
                    <w:bidi w:val="0"/>
                    <w:rPr>
                      <w:color w:val="auto"/>
                    </w:rPr>
                  </w:pPr>
                </w:p>
              </w:tc>
              <w:tc>
                <w:tcPr>
                  <w:tcW w:w="1871" w:type="pct"/>
                  <w:gridSpan w:val="3"/>
                  <w:tcBorders>
                    <w:tl2br w:val="nil"/>
                    <w:tr2bl w:val="nil"/>
                  </w:tcBorders>
                  <w:shd w:val="clear" w:color="auto" w:fill="auto"/>
                  <w:vAlign w:val="center"/>
                </w:tcPr>
                <w:p w14:paraId="45EFAFB5">
                  <w:pPr>
                    <w:pStyle w:val="23"/>
                    <w:bidi w:val="0"/>
                    <w:rPr>
                      <w:color w:val="auto"/>
                    </w:rPr>
                  </w:pPr>
                  <w:r>
                    <w:rPr>
                      <w:rFonts w:hint="eastAsia"/>
                      <w:color w:val="auto"/>
                      <w:lang w:val="en-US" w:eastAsia="zh-CN"/>
                    </w:rPr>
                    <w:t>建设用地</w:t>
                  </w:r>
                </w:p>
              </w:tc>
              <w:tc>
                <w:tcPr>
                  <w:tcW w:w="795" w:type="pct"/>
                  <w:tcBorders>
                    <w:tl2br w:val="nil"/>
                    <w:tr2bl w:val="nil"/>
                  </w:tcBorders>
                  <w:shd w:val="clear" w:color="auto" w:fill="auto"/>
                  <w:vAlign w:val="center"/>
                </w:tcPr>
                <w:p w14:paraId="3657C8FB">
                  <w:pPr>
                    <w:pStyle w:val="23"/>
                    <w:bidi w:val="0"/>
                    <w:rPr>
                      <w:rFonts w:hint="eastAsia"/>
                      <w:color w:val="auto"/>
                      <w:lang w:val="en-US" w:eastAsia="zh-CN"/>
                    </w:rPr>
                  </w:pPr>
                  <w:r>
                    <w:rPr>
                      <w:rFonts w:hint="eastAsia"/>
                      <w:color w:val="auto"/>
                      <w:lang w:val="en-US" w:eastAsia="zh-CN"/>
                    </w:rPr>
                    <w:t>未利用土地</w:t>
                  </w:r>
                </w:p>
              </w:tc>
              <w:tc>
                <w:tcPr>
                  <w:tcW w:w="594" w:type="pct"/>
                  <w:vMerge w:val="continue"/>
                  <w:tcBorders>
                    <w:tl2br w:val="nil"/>
                    <w:tr2bl w:val="nil"/>
                  </w:tcBorders>
                  <w:vAlign w:val="center"/>
                </w:tcPr>
                <w:p w14:paraId="6316089B">
                  <w:pPr>
                    <w:pStyle w:val="23"/>
                    <w:bidi w:val="0"/>
                    <w:rPr>
                      <w:color w:val="auto"/>
                    </w:rPr>
                  </w:pPr>
                </w:p>
              </w:tc>
            </w:tr>
            <w:tr w14:paraId="29330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03" w:type="pct"/>
                  <w:vMerge w:val="continue"/>
                  <w:tcBorders>
                    <w:tl2br w:val="nil"/>
                    <w:tr2bl w:val="nil"/>
                  </w:tcBorders>
                  <w:vAlign w:val="center"/>
                </w:tcPr>
                <w:p w14:paraId="5976E9B7">
                  <w:pPr>
                    <w:pStyle w:val="23"/>
                    <w:bidi w:val="0"/>
                    <w:rPr>
                      <w:color w:val="auto"/>
                    </w:rPr>
                  </w:pPr>
                </w:p>
              </w:tc>
              <w:tc>
                <w:tcPr>
                  <w:tcW w:w="1035" w:type="pct"/>
                  <w:vMerge w:val="continue"/>
                  <w:tcBorders>
                    <w:tl2br w:val="nil"/>
                    <w:tr2bl w:val="nil"/>
                  </w:tcBorders>
                  <w:vAlign w:val="center"/>
                </w:tcPr>
                <w:p w14:paraId="7D4431E2">
                  <w:pPr>
                    <w:pStyle w:val="23"/>
                    <w:bidi w:val="0"/>
                    <w:rPr>
                      <w:color w:val="auto"/>
                    </w:rPr>
                  </w:pPr>
                </w:p>
              </w:tc>
              <w:tc>
                <w:tcPr>
                  <w:tcW w:w="523" w:type="pct"/>
                  <w:tcBorders>
                    <w:tl2br w:val="nil"/>
                    <w:tr2bl w:val="nil"/>
                  </w:tcBorders>
                  <w:shd w:val="clear" w:color="auto" w:fill="auto"/>
                  <w:vAlign w:val="center"/>
                </w:tcPr>
                <w:p w14:paraId="7AABB826">
                  <w:pPr>
                    <w:pStyle w:val="23"/>
                    <w:bidi w:val="0"/>
                    <w:rPr>
                      <w:color w:val="auto"/>
                    </w:rPr>
                  </w:pPr>
                  <w:r>
                    <w:rPr>
                      <w:rFonts w:hint="eastAsia"/>
                      <w:color w:val="auto"/>
                      <w:lang w:val="en-US" w:eastAsia="zh-CN"/>
                    </w:rPr>
                    <w:t>公园绿地</w:t>
                  </w:r>
                </w:p>
              </w:tc>
              <w:tc>
                <w:tcPr>
                  <w:tcW w:w="713" w:type="pct"/>
                  <w:tcBorders>
                    <w:tl2br w:val="nil"/>
                    <w:tr2bl w:val="nil"/>
                  </w:tcBorders>
                  <w:shd w:val="clear" w:color="auto" w:fill="auto"/>
                  <w:vAlign w:val="center"/>
                </w:tcPr>
                <w:p w14:paraId="50B2285D">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交通运输用地</w:t>
                  </w:r>
                </w:p>
              </w:tc>
              <w:tc>
                <w:tcPr>
                  <w:tcW w:w="634" w:type="pct"/>
                  <w:tcBorders>
                    <w:tl2br w:val="nil"/>
                    <w:tr2bl w:val="nil"/>
                  </w:tcBorders>
                  <w:shd w:val="clear" w:color="auto" w:fill="auto"/>
                  <w:vAlign w:val="center"/>
                </w:tcPr>
                <w:p w14:paraId="4A460588">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商业用地</w:t>
                  </w:r>
                </w:p>
              </w:tc>
              <w:tc>
                <w:tcPr>
                  <w:tcW w:w="795" w:type="pct"/>
                  <w:tcBorders>
                    <w:tl2br w:val="nil"/>
                    <w:tr2bl w:val="nil"/>
                  </w:tcBorders>
                  <w:shd w:val="clear" w:color="auto" w:fill="auto"/>
                  <w:vAlign w:val="center"/>
                </w:tcPr>
                <w:p w14:paraId="25571826">
                  <w:pPr>
                    <w:pStyle w:val="23"/>
                    <w:bidi w:val="0"/>
                    <w:rPr>
                      <w:color w:val="auto"/>
                    </w:rPr>
                  </w:pPr>
                  <w:r>
                    <w:rPr>
                      <w:rFonts w:hint="eastAsia"/>
                      <w:color w:val="auto"/>
                      <w:lang w:val="en-US" w:eastAsia="zh-CN"/>
                    </w:rPr>
                    <w:t>河流水面</w:t>
                  </w:r>
                </w:p>
              </w:tc>
              <w:tc>
                <w:tcPr>
                  <w:tcW w:w="594" w:type="pct"/>
                  <w:vMerge w:val="continue"/>
                  <w:tcBorders>
                    <w:tl2br w:val="nil"/>
                    <w:tr2bl w:val="nil"/>
                  </w:tcBorders>
                  <w:vAlign w:val="center"/>
                </w:tcPr>
                <w:p w14:paraId="48916CEE">
                  <w:pPr>
                    <w:pStyle w:val="23"/>
                    <w:bidi w:val="0"/>
                    <w:rPr>
                      <w:color w:val="auto"/>
                    </w:rPr>
                  </w:pPr>
                </w:p>
              </w:tc>
            </w:tr>
            <w:tr w14:paraId="03C4C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pct"/>
                  <w:vMerge w:val="restart"/>
                  <w:tcBorders>
                    <w:tl2br w:val="nil"/>
                    <w:tr2bl w:val="nil"/>
                  </w:tcBorders>
                  <w:shd w:val="clear" w:color="auto" w:fill="auto"/>
                  <w:vAlign w:val="center"/>
                </w:tcPr>
                <w:p w14:paraId="37768A09">
                  <w:pPr>
                    <w:pStyle w:val="23"/>
                    <w:bidi w:val="0"/>
                    <w:rPr>
                      <w:color w:val="auto"/>
                    </w:rPr>
                  </w:pPr>
                  <w:r>
                    <w:rPr>
                      <w:color w:val="auto"/>
                    </w:rPr>
                    <w:t>永久占地</w:t>
                  </w:r>
                </w:p>
              </w:tc>
              <w:tc>
                <w:tcPr>
                  <w:tcW w:w="1035" w:type="pct"/>
                  <w:tcBorders>
                    <w:tl2br w:val="nil"/>
                    <w:tr2bl w:val="nil"/>
                  </w:tcBorders>
                  <w:shd w:val="clear" w:color="auto" w:fill="auto"/>
                  <w:vAlign w:val="center"/>
                </w:tcPr>
                <w:p w14:paraId="0F0D3910">
                  <w:pPr>
                    <w:pStyle w:val="23"/>
                    <w:bidi w:val="0"/>
                    <w:rPr>
                      <w:color w:val="auto"/>
                    </w:rPr>
                  </w:pPr>
                  <w:r>
                    <w:rPr>
                      <w:rFonts w:hint="eastAsia"/>
                      <w:color w:val="auto"/>
                      <w:lang w:val="en-US" w:eastAsia="zh-CN"/>
                    </w:rPr>
                    <w:t>1号桥、2号桥</w:t>
                  </w:r>
                </w:p>
              </w:tc>
              <w:tc>
                <w:tcPr>
                  <w:tcW w:w="523" w:type="pct"/>
                  <w:tcBorders>
                    <w:tl2br w:val="nil"/>
                    <w:tr2bl w:val="nil"/>
                  </w:tcBorders>
                  <w:shd w:val="clear" w:color="auto" w:fill="auto"/>
                  <w:noWrap/>
                  <w:vAlign w:val="center"/>
                </w:tcPr>
                <w:p w14:paraId="22E56FC1">
                  <w:pPr>
                    <w:pStyle w:val="23"/>
                    <w:bidi w:val="0"/>
                    <w:rPr>
                      <w:rFonts w:hint="default" w:eastAsia="宋体"/>
                      <w:color w:val="auto"/>
                      <w:lang w:val="en-US" w:eastAsia="zh-CN"/>
                    </w:rPr>
                  </w:pPr>
                  <w:r>
                    <w:rPr>
                      <w:rFonts w:hint="eastAsia"/>
                      <w:color w:val="auto"/>
                      <w:lang w:val="en-US" w:eastAsia="zh-CN"/>
                    </w:rPr>
                    <w:t>1669</w:t>
                  </w:r>
                </w:p>
              </w:tc>
              <w:tc>
                <w:tcPr>
                  <w:tcW w:w="713" w:type="pct"/>
                  <w:tcBorders>
                    <w:tl2br w:val="nil"/>
                    <w:tr2bl w:val="nil"/>
                  </w:tcBorders>
                  <w:shd w:val="clear" w:color="auto" w:fill="auto"/>
                  <w:noWrap/>
                  <w:vAlign w:val="center"/>
                </w:tcPr>
                <w:p w14:paraId="74DDC4E6">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220</w:t>
                  </w:r>
                </w:p>
              </w:tc>
              <w:tc>
                <w:tcPr>
                  <w:tcW w:w="634" w:type="pct"/>
                  <w:tcBorders>
                    <w:tl2br w:val="nil"/>
                    <w:tr2bl w:val="nil"/>
                  </w:tcBorders>
                  <w:shd w:val="clear" w:color="auto" w:fill="auto"/>
                  <w:noWrap/>
                  <w:vAlign w:val="center"/>
                </w:tcPr>
                <w:p w14:paraId="533AC81B">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w:t>
                  </w:r>
                </w:p>
              </w:tc>
              <w:tc>
                <w:tcPr>
                  <w:tcW w:w="795" w:type="pct"/>
                  <w:tcBorders>
                    <w:tl2br w:val="nil"/>
                    <w:tr2bl w:val="nil"/>
                  </w:tcBorders>
                  <w:shd w:val="clear" w:color="auto" w:fill="auto"/>
                  <w:noWrap/>
                  <w:vAlign w:val="center"/>
                </w:tcPr>
                <w:p w14:paraId="0B083699">
                  <w:pPr>
                    <w:pStyle w:val="23"/>
                    <w:bidi w:val="0"/>
                    <w:rPr>
                      <w:rFonts w:hint="default" w:eastAsia="宋体"/>
                      <w:color w:val="auto"/>
                      <w:lang w:val="en-US" w:eastAsia="zh-CN"/>
                    </w:rPr>
                  </w:pPr>
                  <w:r>
                    <w:rPr>
                      <w:rFonts w:hint="eastAsia"/>
                      <w:color w:val="auto"/>
                      <w:lang w:val="en-US" w:eastAsia="zh-CN"/>
                    </w:rPr>
                    <w:t>954</w:t>
                  </w:r>
                </w:p>
              </w:tc>
              <w:tc>
                <w:tcPr>
                  <w:tcW w:w="594" w:type="pct"/>
                  <w:tcBorders>
                    <w:tl2br w:val="nil"/>
                    <w:tr2bl w:val="nil"/>
                  </w:tcBorders>
                  <w:shd w:val="clear" w:color="auto" w:fill="auto"/>
                  <w:vAlign w:val="center"/>
                </w:tcPr>
                <w:p w14:paraId="1987C839">
                  <w:pPr>
                    <w:pStyle w:val="23"/>
                    <w:bidi w:val="0"/>
                    <w:rPr>
                      <w:rFonts w:hint="default" w:eastAsia="宋体"/>
                      <w:color w:val="auto"/>
                      <w:lang w:val="en-US" w:eastAsia="zh-CN"/>
                    </w:rPr>
                  </w:pPr>
                  <w:r>
                    <w:rPr>
                      <w:rFonts w:hint="eastAsia"/>
                      <w:color w:val="auto"/>
                      <w:lang w:val="en-US" w:eastAsia="zh-CN"/>
                    </w:rPr>
                    <w:t>2843</w:t>
                  </w:r>
                </w:p>
              </w:tc>
            </w:tr>
            <w:tr w14:paraId="34489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03" w:type="pct"/>
                  <w:vMerge w:val="continue"/>
                  <w:tcBorders>
                    <w:tl2br w:val="nil"/>
                    <w:tr2bl w:val="nil"/>
                  </w:tcBorders>
                  <w:shd w:val="clear" w:color="auto" w:fill="auto"/>
                  <w:vAlign w:val="center"/>
                </w:tcPr>
                <w:p w14:paraId="4D0F63F0">
                  <w:pPr>
                    <w:pStyle w:val="23"/>
                    <w:bidi w:val="0"/>
                    <w:rPr>
                      <w:color w:val="auto"/>
                    </w:rPr>
                  </w:pPr>
                </w:p>
              </w:tc>
              <w:tc>
                <w:tcPr>
                  <w:tcW w:w="1035" w:type="pct"/>
                  <w:tcBorders>
                    <w:tl2br w:val="nil"/>
                    <w:tr2bl w:val="nil"/>
                  </w:tcBorders>
                  <w:shd w:val="clear" w:color="auto" w:fill="auto"/>
                  <w:vAlign w:val="center"/>
                </w:tcPr>
                <w:p w14:paraId="05350DA8">
                  <w:pPr>
                    <w:pStyle w:val="23"/>
                    <w:bidi w:val="0"/>
                    <w:rPr>
                      <w:rFonts w:hint="eastAsia"/>
                      <w:color w:val="auto"/>
                      <w:lang w:val="en-US" w:eastAsia="zh-CN"/>
                    </w:rPr>
                  </w:pPr>
                  <w:r>
                    <w:rPr>
                      <w:rFonts w:hint="eastAsia"/>
                      <w:color w:val="auto"/>
                      <w:lang w:val="en-US" w:eastAsia="zh-CN"/>
                    </w:rPr>
                    <w:t>连接道路</w:t>
                  </w:r>
                </w:p>
              </w:tc>
              <w:tc>
                <w:tcPr>
                  <w:tcW w:w="523" w:type="pct"/>
                  <w:tcBorders>
                    <w:tl2br w:val="nil"/>
                    <w:tr2bl w:val="nil"/>
                  </w:tcBorders>
                  <w:shd w:val="clear" w:color="auto" w:fill="auto"/>
                  <w:noWrap/>
                  <w:vAlign w:val="center"/>
                </w:tcPr>
                <w:p w14:paraId="50181EC4">
                  <w:pPr>
                    <w:pStyle w:val="23"/>
                    <w:bidi w:val="0"/>
                    <w:rPr>
                      <w:rFonts w:hint="eastAsia" w:eastAsia="宋体"/>
                      <w:color w:val="auto"/>
                      <w:lang w:val="en-US" w:eastAsia="zh-CN"/>
                    </w:rPr>
                  </w:pPr>
                  <w:r>
                    <w:rPr>
                      <w:rFonts w:hint="eastAsia"/>
                      <w:color w:val="auto"/>
                      <w:lang w:val="en-US" w:eastAsia="zh-CN"/>
                    </w:rPr>
                    <w:t>/</w:t>
                  </w:r>
                </w:p>
              </w:tc>
              <w:tc>
                <w:tcPr>
                  <w:tcW w:w="713" w:type="pct"/>
                  <w:tcBorders>
                    <w:tl2br w:val="nil"/>
                    <w:tr2bl w:val="nil"/>
                  </w:tcBorders>
                  <w:shd w:val="clear" w:color="auto" w:fill="auto"/>
                  <w:noWrap/>
                  <w:vAlign w:val="center"/>
                </w:tcPr>
                <w:p w14:paraId="7A3C43E4">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w:t>
                  </w:r>
                </w:p>
              </w:tc>
              <w:tc>
                <w:tcPr>
                  <w:tcW w:w="634" w:type="pct"/>
                  <w:tcBorders>
                    <w:tl2br w:val="nil"/>
                    <w:tr2bl w:val="nil"/>
                  </w:tcBorders>
                  <w:shd w:val="clear" w:color="auto" w:fill="auto"/>
                  <w:noWrap/>
                  <w:vAlign w:val="center"/>
                </w:tcPr>
                <w:p w14:paraId="44DFCE3E">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3121.56</w:t>
                  </w:r>
                </w:p>
              </w:tc>
              <w:tc>
                <w:tcPr>
                  <w:tcW w:w="795" w:type="pct"/>
                  <w:tcBorders>
                    <w:tl2br w:val="nil"/>
                    <w:tr2bl w:val="nil"/>
                  </w:tcBorders>
                  <w:shd w:val="clear" w:color="auto" w:fill="auto"/>
                  <w:noWrap/>
                  <w:vAlign w:val="center"/>
                </w:tcPr>
                <w:p w14:paraId="36C5117D">
                  <w:pPr>
                    <w:pStyle w:val="23"/>
                    <w:bidi w:val="0"/>
                    <w:rPr>
                      <w:rFonts w:hint="eastAsia" w:eastAsia="宋体"/>
                      <w:color w:val="auto"/>
                      <w:lang w:val="en-US" w:eastAsia="zh-CN"/>
                    </w:rPr>
                  </w:pPr>
                  <w:r>
                    <w:rPr>
                      <w:rFonts w:hint="eastAsia"/>
                      <w:color w:val="auto"/>
                      <w:lang w:val="en-US" w:eastAsia="zh-CN"/>
                    </w:rPr>
                    <w:t>/</w:t>
                  </w:r>
                </w:p>
              </w:tc>
              <w:tc>
                <w:tcPr>
                  <w:tcW w:w="594" w:type="pct"/>
                  <w:tcBorders>
                    <w:tl2br w:val="nil"/>
                    <w:tr2bl w:val="nil"/>
                  </w:tcBorders>
                  <w:shd w:val="clear" w:color="auto" w:fill="auto"/>
                  <w:vAlign w:val="center"/>
                </w:tcPr>
                <w:p w14:paraId="2B2F4853">
                  <w:pPr>
                    <w:pStyle w:val="23"/>
                    <w:bidi w:val="0"/>
                    <w:rPr>
                      <w:rFonts w:hint="default" w:eastAsia="宋体"/>
                      <w:color w:val="auto"/>
                      <w:lang w:val="en-US" w:eastAsia="zh-CN"/>
                    </w:rPr>
                  </w:pPr>
                  <w:r>
                    <w:rPr>
                      <w:rFonts w:hint="eastAsia"/>
                      <w:color w:val="auto"/>
                      <w:lang w:val="en-US" w:eastAsia="zh-CN"/>
                    </w:rPr>
                    <w:t>3121.56</w:t>
                  </w:r>
                </w:p>
              </w:tc>
            </w:tr>
            <w:tr w14:paraId="568DF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3" w:type="pct"/>
                  <w:vMerge w:val="continue"/>
                  <w:tcBorders>
                    <w:tl2br w:val="nil"/>
                    <w:tr2bl w:val="nil"/>
                  </w:tcBorders>
                  <w:shd w:val="clear" w:color="auto" w:fill="auto"/>
                  <w:vAlign w:val="center"/>
                </w:tcPr>
                <w:p w14:paraId="21FDEE76">
                  <w:pPr>
                    <w:pStyle w:val="23"/>
                    <w:bidi w:val="0"/>
                    <w:rPr>
                      <w:color w:val="auto"/>
                    </w:rPr>
                  </w:pPr>
                </w:p>
              </w:tc>
              <w:tc>
                <w:tcPr>
                  <w:tcW w:w="1035" w:type="pct"/>
                  <w:tcBorders>
                    <w:tl2br w:val="nil"/>
                    <w:tr2bl w:val="nil"/>
                  </w:tcBorders>
                  <w:shd w:val="clear" w:color="auto" w:fill="auto"/>
                  <w:vAlign w:val="center"/>
                </w:tcPr>
                <w:p w14:paraId="7F26F545">
                  <w:pPr>
                    <w:pStyle w:val="23"/>
                    <w:bidi w:val="0"/>
                    <w:rPr>
                      <w:rFonts w:hint="default"/>
                      <w:color w:val="auto"/>
                      <w:lang w:val="en-US" w:eastAsia="zh-CN"/>
                    </w:rPr>
                  </w:pPr>
                  <w:r>
                    <w:rPr>
                      <w:rFonts w:hint="eastAsia"/>
                      <w:color w:val="auto"/>
                      <w:lang w:val="en-US" w:eastAsia="zh-CN"/>
                    </w:rPr>
                    <w:t>小计</w:t>
                  </w:r>
                </w:p>
              </w:tc>
              <w:tc>
                <w:tcPr>
                  <w:tcW w:w="523" w:type="pct"/>
                  <w:tcBorders>
                    <w:tl2br w:val="nil"/>
                    <w:tr2bl w:val="nil"/>
                  </w:tcBorders>
                  <w:shd w:val="clear" w:color="auto" w:fill="auto"/>
                  <w:noWrap/>
                  <w:vAlign w:val="center"/>
                </w:tcPr>
                <w:p w14:paraId="60A4C45E">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1669</w:t>
                  </w:r>
                </w:p>
              </w:tc>
              <w:tc>
                <w:tcPr>
                  <w:tcW w:w="713" w:type="pct"/>
                  <w:tcBorders>
                    <w:tl2br w:val="nil"/>
                    <w:tr2bl w:val="nil"/>
                  </w:tcBorders>
                  <w:shd w:val="clear" w:color="auto" w:fill="auto"/>
                  <w:noWrap/>
                  <w:vAlign w:val="center"/>
                </w:tcPr>
                <w:p w14:paraId="6AFFCF46">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220</w:t>
                  </w:r>
                </w:p>
              </w:tc>
              <w:tc>
                <w:tcPr>
                  <w:tcW w:w="634" w:type="pct"/>
                  <w:tcBorders>
                    <w:tl2br w:val="nil"/>
                    <w:tr2bl w:val="nil"/>
                  </w:tcBorders>
                  <w:shd w:val="clear" w:color="auto" w:fill="auto"/>
                  <w:noWrap/>
                  <w:vAlign w:val="center"/>
                </w:tcPr>
                <w:p w14:paraId="38876D13">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3121.56</w:t>
                  </w:r>
                </w:p>
              </w:tc>
              <w:tc>
                <w:tcPr>
                  <w:tcW w:w="795" w:type="pct"/>
                  <w:tcBorders>
                    <w:tl2br w:val="nil"/>
                    <w:tr2bl w:val="nil"/>
                  </w:tcBorders>
                  <w:shd w:val="clear" w:color="auto" w:fill="auto"/>
                  <w:noWrap/>
                  <w:vAlign w:val="center"/>
                </w:tcPr>
                <w:p w14:paraId="39C85502">
                  <w:pPr>
                    <w:pStyle w:val="23"/>
                    <w:bidi w:val="0"/>
                    <w:rPr>
                      <w:rFonts w:hint="eastAsia"/>
                      <w:color w:val="auto"/>
                      <w:lang w:val="en-US" w:eastAsia="zh-CN"/>
                    </w:rPr>
                  </w:pPr>
                  <w:r>
                    <w:rPr>
                      <w:rFonts w:hint="eastAsia"/>
                      <w:color w:val="auto"/>
                      <w:lang w:val="en-US" w:eastAsia="zh-CN"/>
                    </w:rPr>
                    <w:t>954</w:t>
                  </w:r>
                </w:p>
              </w:tc>
              <w:tc>
                <w:tcPr>
                  <w:tcW w:w="594" w:type="pct"/>
                  <w:tcBorders>
                    <w:tl2br w:val="nil"/>
                    <w:tr2bl w:val="nil"/>
                  </w:tcBorders>
                  <w:shd w:val="clear" w:color="auto" w:fill="auto"/>
                  <w:vAlign w:val="center"/>
                </w:tcPr>
                <w:p w14:paraId="24B65462">
                  <w:pPr>
                    <w:pStyle w:val="23"/>
                    <w:bidi w:val="0"/>
                    <w:rPr>
                      <w:rFonts w:hint="eastAsia"/>
                      <w:color w:val="auto"/>
                      <w:lang w:val="en-US" w:eastAsia="zh-CN"/>
                    </w:rPr>
                  </w:pPr>
                  <w:r>
                    <w:rPr>
                      <w:rFonts w:hint="eastAsia"/>
                      <w:color w:val="auto"/>
                      <w:lang w:val="en-US" w:eastAsia="zh-CN"/>
                    </w:rPr>
                    <w:t>5964.56</w:t>
                  </w:r>
                </w:p>
              </w:tc>
            </w:tr>
            <w:tr w14:paraId="46615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03" w:type="pct"/>
                  <w:tcBorders>
                    <w:tl2br w:val="nil"/>
                    <w:tr2bl w:val="nil"/>
                  </w:tcBorders>
                  <w:shd w:val="clear" w:color="auto" w:fill="auto"/>
                  <w:noWrap/>
                  <w:vAlign w:val="center"/>
                </w:tcPr>
                <w:p w14:paraId="23293CA8">
                  <w:pPr>
                    <w:pStyle w:val="23"/>
                    <w:bidi w:val="0"/>
                    <w:rPr>
                      <w:color w:val="auto"/>
                    </w:rPr>
                  </w:pPr>
                  <w:r>
                    <w:rPr>
                      <w:rFonts w:hint="eastAsia"/>
                      <w:color w:val="auto"/>
                    </w:rPr>
                    <w:t>临时占地</w:t>
                  </w:r>
                </w:p>
              </w:tc>
              <w:tc>
                <w:tcPr>
                  <w:tcW w:w="1035" w:type="pct"/>
                  <w:tcBorders>
                    <w:tl2br w:val="nil"/>
                    <w:tr2bl w:val="nil"/>
                  </w:tcBorders>
                  <w:shd w:val="clear" w:color="auto" w:fill="auto"/>
                  <w:noWrap/>
                  <w:vAlign w:val="center"/>
                </w:tcPr>
                <w:p w14:paraId="4BE90643">
                  <w:pPr>
                    <w:pStyle w:val="23"/>
                    <w:bidi w:val="0"/>
                    <w:rPr>
                      <w:color w:val="auto"/>
                    </w:rPr>
                  </w:pPr>
                  <w:r>
                    <w:rPr>
                      <w:color w:val="auto"/>
                    </w:rPr>
                    <w:t>施工场地</w:t>
                  </w:r>
                </w:p>
              </w:tc>
              <w:tc>
                <w:tcPr>
                  <w:tcW w:w="523" w:type="pct"/>
                  <w:tcBorders>
                    <w:tl2br w:val="nil"/>
                    <w:tr2bl w:val="nil"/>
                  </w:tcBorders>
                  <w:shd w:val="clear" w:color="auto" w:fill="auto"/>
                  <w:noWrap/>
                  <w:vAlign w:val="center"/>
                </w:tcPr>
                <w:p w14:paraId="63C9EA4B">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w:t>
                  </w:r>
                </w:p>
              </w:tc>
              <w:tc>
                <w:tcPr>
                  <w:tcW w:w="713" w:type="pct"/>
                  <w:tcBorders>
                    <w:tl2br w:val="nil"/>
                    <w:tr2bl w:val="nil"/>
                  </w:tcBorders>
                  <w:shd w:val="clear" w:color="auto" w:fill="auto"/>
                  <w:noWrap/>
                  <w:vAlign w:val="center"/>
                </w:tcPr>
                <w:p w14:paraId="01B248F8">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w:t>
                  </w:r>
                </w:p>
              </w:tc>
              <w:tc>
                <w:tcPr>
                  <w:tcW w:w="634" w:type="pct"/>
                  <w:tcBorders>
                    <w:tl2br w:val="nil"/>
                    <w:tr2bl w:val="nil"/>
                  </w:tcBorders>
                  <w:shd w:val="clear" w:color="auto" w:fill="auto"/>
                  <w:noWrap/>
                  <w:vAlign w:val="center"/>
                </w:tcPr>
                <w:p w14:paraId="44899942">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1300</w:t>
                  </w:r>
                </w:p>
              </w:tc>
              <w:tc>
                <w:tcPr>
                  <w:tcW w:w="795" w:type="pct"/>
                  <w:tcBorders>
                    <w:tl2br w:val="nil"/>
                    <w:tr2bl w:val="nil"/>
                  </w:tcBorders>
                  <w:shd w:val="clear" w:color="auto" w:fill="auto"/>
                  <w:noWrap/>
                  <w:vAlign w:val="center"/>
                </w:tcPr>
                <w:p w14:paraId="0D828B0F">
                  <w:pPr>
                    <w:pStyle w:val="23"/>
                    <w:bidi w:val="0"/>
                    <w:rPr>
                      <w:color w:val="auto"/>
                    </w:rPr>
                  </w:pPr>
                  <w:r>
                    <w:rPr>
                      <w:rFonts w:hint="eastAsia"/>
                      <w:color w:val="auto"/>
                      <w:lang w:val="en-US" w:eastAsia="zh-CN"/>
                    </w:rPr>
                    <w:t>/</w:t>
                  </w:r>
                </w:p>
              </w:tc>
              <w:tc>
                <w:tcPr>
                  <w:tcW w:w="594" w:type="pct"/>
                  <w:tcBorders>
                    <w:tl2br w:val="nil"/>
                    <w:tr2bl w:val="nil"/>
                  </w:tcBorders>
                  <w:shd w:val="clear" w:color="auto" w:fill="auto"/>
                  <w:noWrap/>
                  <w:vAlign w:val="center"/>
                </w:tcPr>
                <w:p w14:paraId="7E4DFF58">
                  <w:pPr>
                    <w:pStyle w:val="23"/>
                    <w:bidi w:val="0"/>
                    <w:rPr>
                      <w:rFonts w:hint="default" w:eastAsia="宋体"/>
                      <w:color w:val="auto"/>
                      <w:lang w:val="en-US" w:eastAsia="zh-CN"/>
                    </w:rPr>
                  </w:pPr>
                  <w:r>
                    <w:rPr>
                      <w:rFonts w:hint="eastAsia"/>
                      <w:color w:val="auto"/>
                      <w:lang w:val="en-US" w:eastAsia="zh-CN"/>
                    </w:rPr>
                    <w:t>1300</w:t>
                  </w:r>
                </w:p>
              </w:tc>
            </w:tr>
            <w:tr w14:paraId="0B3C0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8" w:type="pct"/>
                  <w:gridSpan w:val="2"/>
                  <w:tcBorders>
                    <w:tl2br w:val="nil"/>
                    <w:tr2bl w:val="nil"/>
                  </w:tcBorders>
                  <w:shd w:val="clear" w:color="auto" w:fill="auto"/>
                  <w:noWrap/>
                  <w:vAlign w:val="center"/>
                </w:tcPr>
                <w:p w14:paraId="69C419E8">
                  <w:pPr>
                    <w:pStyle w:val="23"/>
                    <w:bidi w:val="0"/>
                    <w:rPr>
                      <w:color w:val="auto"/>
                    </w:rPr>
                  </w:pPr>
                  <w:r>
                    <w:rPr>
                      <w:color w:val="auto"/>
                    </w:rPr>
                    <w:t>合计</w:t>
                  </w:r>
                </w:p>
              </w:tc>
              <w:tc>
                <w:tcPr>
                  <w:tcW w:w="523" w:type="pct"/>
                  <w:tcBorders>
                    <w:tl2br w:val="nil"/>
                    <w:tr2bl w:val="nil"/>
                  </w:tcBorders>
                  <w:shd w:val="clear" w:color="auto" w:fill="auto"/>
                  <w:noWrap/>
                  <w:vAlign w:val="center"/>
                </w:tcPr>
                <w:p w14:paraId="5B86348A">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1669</w:t>
                  </w:r>
                </w:p>
              </w:tc>
              <w:tc>
                <w:tcPr>
                  <w:tcW w:w="713" w:type="pct"/>
                  <w:tcBorders>
                    <w:tl2br w:val="nil"/>
                    <w:tr2bl w:val="nil"/>
                  </w:tcBorders>
                  <w:shd w:val="clear" w:color="auto" w:fill="auto"/>
                  <w:noWrap/>
                  <w:vAlign w:val="center"/>
                </w:tcPr>
                <w:p w14:paraId="5408C96F">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220</w:t>
                  </w:r>
                </w:p>
              </w:tc>
              <w:tc>
                <w:tcPr>
                  <w:tcW w:w="634" w:type="pct"/>
                  <w:tcBorders>
                    <w:tl2br w:val="nil"/>
                    <w:tr2bl w:val="nil"/>
                  </w:tcBorders>
                  <w:shd w:val="clear" w:color="auto" w:fill="auto"/>
                  <w:noWrap/>
                  <w:vAlign w:val="center"/>
                </w:tcPr>
                <w:p w14:paraId="51E995A4">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4421.56</w:t>
                  </w:r>
                </w:p>
              </w:tc>
              <w:tc>
                <w:tcPr>
                  <w:tcW w:w="795" w:type="pct"/>
                  <w:tcBorders>
                    <w:tl2br w:val="nil"/>
                    <w:tr2bl w:val="nil"/>
                  </w:tcBorders>
                  <w:shd w:val="clear" w:color="auto" w:fill="auto"/>
                  <w:noWrap/>
                  <w:vAlign w:val="center"/>
                </w:tcPr>
                <w:p w14:paraId="41BF32AA">
                  <w:pPr>
                    <w:pStyle w:val="23"/>
                    <w:bidi w:val="0"/>
                    <w:rPr>
                      <w:rFonts w:hint="default" w:eastAsia="宋体"/>
                      <w:color w:val="auto"/>
                      <w:lang w:val="en-US" w:eastAsia="zh-CN"/>
                    </w:rPr>
                  </w:pPr>
                  <w:r>
                    <w:rPr>
                      <w:rFonts w:hint="eastAsia"/>
                      <w:color w:val="auto"/>
                      <w:lang w:val="en-US" w:eastAsia="zh-CN"/>
                    </w:rPr>
                    <w:t>954</w:t>
                  </w:r>
                </w:p>
              </w:tc>
              <w:tc>
                <w:tcPr>
                  <w:tcW w:w="594" w:type="pct"/>
                  <w:tcBorders>
                    <w:tl2br w:val="nil"/>
                    <w:tr2bl w:val="nil"/>
                  </w:tcBorders>
                  <w:shd w:val="clear" w:color="auto" w:fill="auto"/>
                  <w:noWrap/>
                  <w:vAlign w:val="center"/>
                </w:tcPr>
                <w:p w14:paraId="7D9850EE">
                  <w:pPr>
                    <w:pStyle w:val="23"/>
                    <w:bidi w:val="0"/>
                    <w:rPr>
                      <w:rFonts w:hint="default" w:eastAsia="宋体"/>
                      <w:color w:val="auto"/>
                      <w:lang w:val="en-US" w:eastAsia="zh-CN"/>
                    </w:rPr>
                  </w:pPr>
                  <w:r>
                    <w:rPr>
                      <w:rFonts w:hint="eastAsia"/>
                      <w:color w:val="auto"/>
                      <w:lang w:val="en-US" w:eastAsia="zh-CN"/>
                    </w:rPr>
                    <w:t>7264.56</w:t>
                  </w:r>
                </w:p>
              </w:tc>
            </w:tr>
          </w:tbl>
          <w:p w14:paraId="01D52278">
            <w:pPr>
              <w:pStyle w:val="21"/>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）拆迁安置</w:t>
            </w:r>
          </w:p>
          <w:p w14:paraId="637BC441">
            <w:pPr>
              <w:pStyle w:val="21"/>
              <w:rPr>
                <w:rFonts w:hint="eastAsia" w:eastAsia="宋体"/>
                <w:color w:val="auto"/>
                <w:lang w:eastAsia="zh-CN"/>
              </w:rPr>
            </w:pPr>
            <w:r>
              <w:rPr>
                <w:rFonts w:hint="eastAsia" w:eastAsia="宋体"/>
                <w:color w:val="auto"/>
                <w:lang w:eastAsia="zh-CN"/>
              </w:rPr>
              <w:t>本项目不涉及拆迁安置。</w:t>
            </w:r>
          </w:p>
          <w:p w14:paraId="242A4391">
            <w:pPr>
              <w:pStyle w:val="3"/>
              <w:bidi w:val="0"/>
              <w:rPr>
                <w:color w:val="auto"/>
              </w:rPr>
            </w:pPr>
            <w:r>
              <w:rPr>
                <w:rFonts w:hint="eastAsia"/>
                <w:color w:val="auto"/>
              </w:rPr>
              <w:t>土石方平衡</w:t>
            </w:r>
          </w:p>
          <w:p w14:paraId="3BF4AA61">
            <w:pPr>
              <w:pStyle w:val="21"/>
              <w:bidi w:val="0"/>
              <w:rPr>
                <w:color w:val="auto"/>
              </w:rPr>
            </w:pPr>
            <w:r>
              <w:rPr>
                <w:color w:val="auto"/>
              </w:rPr>
              <w:t>（1）表土剥离</w:t>
            </w:r>
          </w:p>
          <w:p w14:paraId="4B2CE863">
            <w:pPr>
              <w:pStyle w:val="21"/>
              <w:bidi w:val="0"/>
              <w:rPr>
                <w:color w:val="auto"/>
              </w:rPr>
            </w:pPr>
            <w:r>
              <w:rPr>
                <w:color w:val="auto"/>
              </w:rPr>
              <w:t>项目</w:t>
            </w:r>
            <w:r>
              <w:rPr>
                <w:rFonts w:hint="eastAsia"/>
                <w:color w:val="auto"/>
                <w:lang w:val="en-US" w:eastAsia="zh-CN"/>
              </w:rPr>
              <w:t>主要对公园绿地进行清表，</w:t>
            </w:r>
            <w:r>
              <w:rPr>
                <w:rFonts w:hint="eastAsia"/>
                <w:color w:val="auto"/>
              </w:rPr>
              <w:t>剥离厚度</w:t>
            </w:r>
            <w:r>
              <w:rPr>
                <w:rFonts w:hint="eastAsia"/>
                <w:color w:val="auto"/>
                <w:lang w:val="en-US" w:eastAsia="zh-CN"/>
              </w:rPr>
              <w:t>约0.3</w:t>
            </w:r>
            <w:r>
              <w:rPr>
                <w:color w:val="auto"/>
              </w:rPr>
              <w:t>m</w:t>
            </w:r>
            <w:r>
              <w:rPr>
                <w:rFonts w:hint="eastAsia"/>
                <w:color w:val="auto"/>
              </w:rPr>
              <w:t>，剥离面积</w:t>
            </w:r>
            <w:r>
              <w:rPr>
                <w:rFonts w:hint="eastAsia"/>
                <w:color w:val="auto"/>
                <w:lang w:val="en-US" w:eastAsia="zh-CN"/>
              </w:rPr>
              <w:t>1669</w:t>
            </w:r>
            <w:r>
              <w:rPr>
                <w:color w:val="auto"/>
              </w:rPr>
              <w:t>m</w:t>
            </w:r>
            <w:r>
              <w:rPr>
                <w:color w:val="auto"/>
                <w:vertAlign w:val="superscript"/>
              </w:rPr>
              <w:t>2</w:t>
            </w:r>
            <w:r>
              <w:rPr>
                <w:rFonts w:hint="eastAsia"/>
                <w:color w:val="auto"/>
              </w:rPr>
              <w:t>，则</w:t>
            </w:r>
            <w:r>
              <w:rPr>
                <w:color w:val="auto"/>
              </w:rPr>
              <w:t>剥离表土量</w:t>
            </w:r>
            <w:r>
              <w:rPr>
                <w:rFonts w:hint="eastAsia"/>
                <w:color w:val="auto"/>
                <w:lang w:val="en-US" w:eastAsia="zh-CN"/>
              </w:rPr>
              <w:t>500</w:t>
            </w:r>
            <w:r>
              <w:rPr>
                <w:color w:val="auto"/>
              </w:rPr>
              <w:t>m</w:t>
            </w:r>
            <w:r>
              <w:rPr>
                <w:color w:val="auto"/>
                <w:vertAlign w:val="superscript"/>
              </w:rPr>
              <w:t>3</w:t>
            </w:r>
            <w:r>
              <w:rPr>
                <w:rFonts w:hint="eastAsia"/>
                <w:color w:val="auto"/>
              </w:rPr>
              <w:t>。项目表土剥离量少，堆放于施工场地的表土堆放区内，待施工结束后用于路基边坡、景观绿化用土。</w:t>
            </w:r>
          </w:p>
          <w:p w14:paraId="5FEA17E1">
            <w:pPr>
              <w:pStyle w:val="21"/>
              <w:bidi w:val="0"/>
              <w:rPr>
                <w:color w:val="auto"/>
              </w:rPr>
            </w:pPr>
            <w:r>
              <w:rPr>
                <w:color w:val="auto"/>
              </w:rPr>
              <w:t>（2）土石方平衡</w:t>
            </w:r>
          </w:p>
          <w:p w14:paraId="5676AD3E">
            <w:pPr>
              <w:pStyle w:val="21"/>
              <w:bidi w:val="0"/>
              <w:rPr>
                <w:rFonts w:hint="default" w:eastAsia="宋体"/>
                <w:color w:val="auto"/>
                <w:lang w:val="en-US" w:eastAsia="zh-CN"/>
              </w:rPr>
            </w:pPr>
            <w:r>
              <w:rPr>
                <w:color w:val="auto"/>
              </w:rPr>
              <w:t>项目总挖方</w:t>
            </w:r>
            <w:r>
              <w:rPr>
                <w:rFonts w:hint="eastAsia"/>
                <w:color w:val="auto"/>
                <w:lang w:val="en-US" w:eastAsia="zh-CN"/>
              </w:rPr>
              <w:t>4888</w:t>
            </w:r>
            <w:r>
              <w:rPr>
                <w:rFonts w:hint="eastAsia"/>
                <w:color w:val="auto"/>
              </w:rPr>
              <w:t>m</w:t>
            </w:r>
            <w:r>
              <w:rPr>
                <w:rFonts w:hint="eastAsia"/>
                <w:color w:val="auto"/>
                <w:vertAlign w:val="superscript"/>
              </w:rPr>
              <w:t>3</w:t>
            </w:r>
            <w:r>
              <w:rPr>
                <w:color w:val="auto"/>
              </w:rPr>
              <w:t>（含表土剥离</w:t>
            </w:r>
            <w:r>
              <w:rPr>
                <w:rFonts w:hint="eastAsia"/>
                <w:color w:val="auto"/>
                <w:lang w:val="en-US" w:eastAsia="zh-CN"/>
              </w:rPr>
              <w:t>500</w:t>
            </w:r>
            <w:r>
              <w:rPr>
                <w:color w:val="auto"/>
              </w:rPr>
              <w:t>m</w:t>
            </w:r>
            <w:r>
              <w:rPr>
                <w:color w:val="auto"/>
                <w:vertAlign w:val="superscript"/>
              </w:rPr>
              <w:t>3</w:t>
            </w:r>
            <w:r>
              <w:rPr>
                <w:color w:val="auto"/>
              </w:rPr>
              <w:t>），总填方</w:t>
            </w:r>
            <w:r>
              <w:rPr>
                <w:rFonts w:hint="eastAsia"/>
                <w:color w:val="auto"/>
                <w:lang w:val="en-US" w:eastAsia="zh-CN"/>
              </w:rPr>
              <w:t>3546</w:t>
            </w:r>
            <w:r>
              <w:rPr>
                <w:rFonts w:hint="eastAsia"/>
                <w:color w:val="auto"/>
              </w:rPr>
              <w:t>m</w:t>
            </w:r>
            <w:r>
              <w:rPr>
                <w:rFonts w:hint="eastAsia"/>
                <w:color w:val="auto"/>
                <w:vertAlign w:val="superscript"/>
              </w:rPr>
              <w:t>3</w:t>
            </w:r>
            <w:r>
              <w:rPr>
                <w:color w:val="auto"/>
              </w:rPr>
              <w:t>（含表土回填</w:t>
            </w:r>
            <w:r>
              <w:rPr>
                <w:rFonts w:hint="eastAsia"/>
                <w:color w:val="auto"/>
                <w:lang w:val="en-US" w:eastAsia="zh-CN"/>
              </w:rPr>
              <w:t>500</w:t>
            </w:r>
            <w:r>
              <w:rPr>
                <w:color w:val="auto"/>
              </w:rPr>
              <w:t>m</w:t>
            </w:r>
            <w:r>
              <w:rPr>
                <w:color w:val="auto"/>
                <w:vertAlign w:val="superscript"/>
              </w:rPr>
              <w:t>3</w:t>
            </w:r>
            <w:r>
              <w:rPr>
                <w:color w:val="auto"/>
              </w:rPr>
              <w:t>），</w:t>
            </w:r>
            <w:r>
              <w:rPr>
                <w:rFonts w:hint="eastAsia"/>
                <w:color w:val="auto"/>
              </w:rPr>
              <w:t>弃方量约为1342m</w:t>
            </w:r>
            <w:r>
              <w:rPr>
                <w:rFonts w:hint="eastAsia"/>
                <w:color w:val="auto"/>
                <w:vertAlign w:val="superscript"/>
              </w:rPr>
              <w:t>3</w:t>
            </w:r>
            <w:r>
              <w:rPr>
                <w:rFonts w:hint="eastAsia"/>
                <w:color w:val="auto"/>
              </w:rPr>
              <w:t>。项目弃方量少，根据建设单位提供的资料，项目</w:t>
            </w:r>
            <w:r>
              <w:rPr>
                <w:rFonts w:hint="eastAsia"/>
                <w:color w:val="auto"/>
                <w:lang w:val="en-US" w:eastAsia="zh-CN"/>
              </w:rPr>
              <w:t>周边正在进行开发建设，弃方调运至奉节高铁生态纵三路以东路网完善工程一横四路中段进行回填</w:t>
            </w:r>
            <w:r>
              <w:rPr>
                <w:rFonts w:hint="eastAsia"/>
                <w:color w:val="auto"/>
              </w:rPr>
              <w:t>，不设置弃土场</w:t>
            </w:r>
            <w:r>
              <w:rPr>
                <w:rFonts w:hint="eastAsia"/>
                <w:color w:val="auto"/>
                <w:lang w:eastAsia="zh-CN"/>
              </w:rPr>
              <w:t>。</w:t>
            </w:r>
            <w:r>
              <w:rPr>
                <w:rFonts w:hint="eastAsia"/>
                <w:color w:val="auto"/>
                <w:lang w:val="en-US" w:eastAsia="zh-CN"/>
              </w:rPr>
              <w:t>根据建设单位提供资料，横四路中段总需填方量约46034m</w:t>
            </w:r>
            <w:r>
              <w:rPr>
                <w:rFonts w:hint="eastAsia"/>
                <w:color w:val="auto"/>
                <w:vertAlign w:val="superscript"/>
                <w:lang w:val="en-US" w:eastAsia="zh-CN"/>
              </w:rPr>
              <w:t>3</w:t>
            </w:r>
            <w:r>
              <w:rPr>
                <w:rFonts w:hint="eastAsia"/>
                <w:color w:val="auto"/>
                <w:lang w:val="en-US" w:eastAsia="zh-CN"/>
              </w:rPr>
              <w:t>，该道路正在办理施工许可，预计在2024年8月中旬开工建设，能够接纳本项目弃方。土石方调运说明见附件4。</w:t>
            </w:r>
          </w:p>
          <w:p w14:paraId="6DA72803">
            <w:pPr>
              <w:pStyle w:val="3"/>
              <w:bidi w:val="0"/>
              <w:rPr>
                <w:rFonts w:hint="eastAsia"/>
                <w:color w:val="auto"/>
              </w:rPr>
            </w:pPr>
            <w:r>
              <w:rPr>
                <w:rFonts w:hint="eastAsia"/>
                <w:color w:val="auto"/>
              </w:rPr>
              <w:t>交通量预测</w:t>
            </w:r>
          </w:p>
          <w:p w14:paraId="6C82AA85">
            <w:pPr>
              <w:pStyle w:val="21"/>
              <w:bidi w:val="0"/>
              <w:rPr>
                <w:rFonts w:hint="eastAsia"/>
                <w:color w:val="auto"/>
              </w:rPr>
            </w:pPr>
            <w:r>
              <w:rPr>
                <w:rFonts w:hint="eastAsia"/>
                <w:color w:val="auto"/>
                <w:lang w:val="en-US" w:eastAsia="zh-CN"/>
              </w:rPr>
              <w:t>本项目选取运营第1年、</w:t>
            </w:r>
            <w:r>
              <w:rPr>
                <w:rFonts w:hint="eastAsia"/>
                <w:color w:val="auto"/>
              </w:rPr>
              <w:t>第7年和第15年作为运营近期、中期、远期</w:t>
            </w:r>
            <w:r>
              <w:rPr>
                <w:rFonts w:hint="eastAsia"/>
                <w:color w:val="auto"/>
                <w:lang w:val="en-US" w:eastAsia="zh-CN"/>
              </w:rPr>
              <w:t>的代表年份。</w:t>
            </w:r>
            <w:r>
              <w:rPr>
                <w:rFonts w:hint="eastAsia"/>
                <w:color w:val="auto"/>
              </w:rPr>
              <w:t>结合《</w:t>
            </w:r>
            <w:r>
              <w:rPr>
                <w:rFonts w:hint="eastAsia"/>
                <w:color w:val="auto"/>
                <w:lang w:val="en-US" w:eastAsia="zh-CN"/>
              </w:rPr>
              <w:t>奉节县夔州街道魏家社区移民安置区人居环境改善工程（周边配套项目）初步设计</w:t>
            </w:r>
            <w:r>
              <w:rPr>
                <w:rFonts w:hint="eastAsia"/>
                <w:color w:val="auto"/>
              </w:rPr>
              <w:t>》，本项目预计于202</w:t>
            </w:r>
            <w:r>
              <w:rPr>
                <w:rFonts w:hint="eastAsia"/>
                <w:color w:val="auto"/>
                <w:lang w:val="en-US" w:eastAsia="zh-CN"/>
              </w:rPr>
              <w:t>5</w:t>
            </w:r>
            <w:r>
              <w:rPr>
                <w:rFonts w:hint="eastAsia"/>
                <w:color w:val="auto"/>
              </w:rPr>
              <w:t>年年底建成通车，则近期、中期、远期分别为202</w:t>
            </w:r>
            <w:r>
              <w:rPr>
                <w:rFonts w:hint="eastAsia"/>
                <w:color w:val="auto"/>
                <w:lang w:val="en-US" w:eastAsia="zh-CN"/>
              </w:rPr>
              <w:t>6</w:t>
            </w:r>
            <w:r>
              <w:rPr>
                <w:rFonts w:hint="eastAsia"/>
                <w:color w:val="auto"/>
              </w:rPr>
              <w:t>年、203</w:t>
            </w:r>
            <w:r>
              <w:rPr>
                <w:rFonts w:hint="eastAsia"/>
                <w:color w:val="auto"/>
                <w:lang w:val="en-US" w:eastAsia="zh-CN"/>
              </w:rPr>
              <w:t>2</w:t>
            </w:r>
            <w:r>
              <w:rPr>
                <w:rFonts w:hint="eastAsia"/>
                <w:color w:val="auto"/>
              </w:rPr>
              <w:t>年、20</w:t>
            </w:r>
            <w:r>
              <w:rPr>
                <w:rFonts w:hint="eastAsia"/>
                <w:color w:val="auto"/>
                <w:lang w:val="en-US" w:eastAsia="zh-CN"/>
              </w:rPr>
              <w:t>40</w:t>
            </w:r>
            <w:r>
              <w:rPr>
                <w:rFonts w:hint="eastAsia"/>
                <w:color w:val="auto"/>
              </w:rPr>
              <w:t>年。</w:t>
            </w:r>
            <w:r>
              <w:rPr>
                <w:rFonts w:hint="eastAsia"/>
                <w:color w:val="auto"/>
                <w:lang w:val="en-US" w:eastAsia="zh-CN"/>
              </w:rPr>
              <w:t>本项目</w:t>
            </w:r>
            <w:r>
              <w:rPr>
                <w:rFonts w:hint="eastAsia"/>
                <w:color w:val="auto"/>
              </w:rPr>
              <w:t>交通量预测见下表。</w:t>
            </w:r>
          </w:p>
          <w:p w14:paraId="0E6D4279">
            <w:pPr>
              <w:pStyle w:val="21"/>
              <w:bidi w:val="0"/>
              <w:rPr>
                <w:rFonts w:hint="eastAsia"/>
                <w:color w:val="auto"/>
              </w:rPr>
            </w:pPr>
          </w:p>
          <w:p w14:paraId="2D605000">
            <w:pPr>
              <w:pStyle w:val="6"/>
              <w:bidi w:val="0"/>
              <w:rPr>
                <w:color w:val="auto"/>
              </w:rPr>
            </w:pPr>
            <w:r>
              <w:rPr>
                <w:rFonts w:hint="eastAsia"/>
                <w:color w:val="auto"/>
              </w:rPr>
              <w:t>本</w:t>
            </w:r>
            <w:r>
              <w:rPr>
                <w:rFonts w:hint="eastAsia"/>
                <w:color w:val="auto"/>
                <w:lang w:val="en-US" w:eastAsia="zh-CN"/>
              </w:rPr>
              <w:t>项目</w:t>
            </w:r>
            <w:r>
              <w:rPr>
                <w:rFonts w:hint="eastAsia"/>
                <w:color w:val="auto"/>
              </w:rPr>
              <w:t xml:space="preserve">未来特征年交通量预测结果 </w:t>
            </w:r>
            <w:r>
              <w:rPr>
                <w:color w:val="auto"/>
              </w:rPr>
              <w:t xml:space="preserve"> </w:t>
            </w:r>
            <w:r>
              <w:rPr>
                <w:rFonts w:hint="eastAsia"/>
                <w:color w:val="auto"/>
              </w:rPr>
              <w:t>单位：pcu/</w:t>
            </w:r>
            <w:r>
              <w:rPr>
                <w:rFonts w:hint="eastAsia"/>
                <w:color w:val="auto"/>
                <w:lang w:val="en-US" w:eastAsia="zh-CN"/>
              </w:rPr>
              <w:t>d</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16"/>
              <w:gridCol w:w="1492"/>
              <w:gridCol w:w="1103"/>
              <w:gridCol w:w="1103"/>
              <w:gridCol w:w="1580"/>
              <w:gridCol w:w="1585"/>
            </w:tblGrid>
            <w:tr w14:paraId="63433F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55" w:type="pct"/>
                  <w:vMerge w:val="restart"/>
                  <w:vAlign w:val="center"/>
                </w:tcPr>
                <w:p w14:paraId="567924FD">
                  <w:pPr>
                    <w:pStyle w:val="23"/>
                    <w:bidi w:val="0"/>
                    <w:rPr>
                      <w:color w:val="auto"/>
                    </w:rPr>
                  </w:pPr>
                  <w:r>
                    <w:rPr>
                      <w:rFonts w:hint="eastAsia"/>
                      <w:color w:val="auto"/>
                    </w:rPr>
                    <w:t>道路名称</w:t>
                  </w:r>
                </w:p>
              </w:tc>
              <w:tc>
                <w:tcPr>
                  <w:tcW w:w="901" w:type="pct"/>
                  <w:vMerge w:val="restart"/>
                  <w:vAlign w:val="center"/>
                </w:tcPr>
                <w:p w14:paraId="39645C94">
                  <w:pPr>
                    <w:pStyle w:val="23"/>
                    <w:bidi w:val="0"/>
                    <w:rPr>
                      <w:color w:val="auto"/>
                    </w:rPr>
                  </w:pPr>
                  <w:r>
                    <w:rPr>
                      <w:rFonts w:hint="eastAsia"/>
                      <w:color w:val="auto"/>
                    </w:rPr>
                    <w:t>道路等级</w:t>
                  </w:r>
                </w:p>
              </w:tc>
              <w:tc>
                <w:tcPr>
                  <w:tcW w:w="666" w:type="pct"/>
                  <w:vMerge w:val="restart"/>
                  <w:vAlign w:val="center"/>
                </w:tcPr>
                <w:p w14:paraId="15ECD74C">
                  <w:pPr>
                    <w:pStyle w:val="23"/>
                    <w:bidi w:val="0"/>
                    <w:rPr>
                      <w:color w:val="auto"/>
                    </w:rPr>
                  </w:pPr>
                  <w:r>
                    <w:rPr>
                      <w:rFonts w:hint="eastAsia"/>
                      <w:color w:val="auto"/>
                    </w:rPr>
                    <w:t>车道数</w:t>
                  </w:r>
                </w:p>
              </w:tc>
              <w:tc>
                <w:tcPr>
                  <w:tcW w:w="2576" w:type="pct"/>
                  <w:gridSpan w:val="3"/>
                  <w:vAlign w:val="center"/>
                </w:tcPr>
                <w:p w14:paraId="78740E9F">
                  <w:pPr>
                    <w:pStyle w:val="23"/>
                    <w:bidi w:val="0"/>
                    <w:rPr>
                      <w:rFonts w:hint="eastAsia" w:eastAsia="宋体"/>
                      <w:color w:val="auto"/>
                      <w:lang w:eastAsia="zh-CN"/>
                    </w:rPr>
                  </w:pPr>
                  <w:r>
                    <w:rPr>
                      <w:rFonts w:hint="eastAsia"/>
                      <w:color w:val="auto"/>
                    </w:rPr>
                    <w:t>预测</w:t>
                  </w:r>
                  <w:r>
                    <w:rPr>
                      <w:rFonts w:hint="eastAsia"/>
                      <w:color w:val="auto"/>
                      <w:lang w:val="en-US" w:eastAsia="zh-CN"/>
                    </w:rPr>
                    <w:t>年份</w:t>
                  </w:r>
                </w:p>
              </w:tc>
            </w:tr>
            <w:tr w14:paraId="2D8E94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55" w:type="pct"/>
                  <w:vMerge w:val="continue"/>
                  <w:vAlign w:val="center"/>
                </w:tcPr>
                <w:p w14:paraId="60476068">
                  <w:pPr>
                    <w:pStyle w:val="23"/>
                    <w:bidi w:val="0"/>
                    <w:rPr>
                      <w:color w:val="auto"/>
                    </w:rPr>
                  </w:pPr>
                </w:p>
              </w:tc>
              <w:tc>
                <w:tcPr>
                  <w:tcW w:w="901" w:type="pct"/>
                  <w:vMerge w:val="continue"/>
                  <w:vAlign w:val="center"/>
                </w:tcPr>
                <w:p w14:paraId="13A0657C">
                  <w:pPr>
                    <w:pStyle w:val="23"/>
                    <w:bidi w:val="0"/>
                    <w:rPr>
                      <w:color w:val="auto"/>
                    </w:rPr>
                  </w:pPr>
                </w:p>
              </w:tc>
              <w:tc>
                <w:tcPr>
                  <w:tcW w:w="666" w:type="pct"/>
                  <w:vMerge w:val="continue"/>
                  <w:vAlign w:val="center"/>
                </w:tcPr>
                <w:p w14:paraId="46B0A37A">
                  <w:pPr>
                    <w:pStyle w:val="23"/>
                    <w:bidi w:val="0"/>
                    <w:rPr>
                      <w:color w:val="auto"/>
                    </w:rPr>
                  </w:pPr>
                </w:p>
              </w:tc>
              <w:tc>
                <w:tcPr>
                  <w:tcW w:w="666" w:type="pct"/>
                  <w:vAlign w:val="center"/>
                </w:tcPr>
                <w:p w14:paraId="68EEB712">
                  <w:pPr>
                    <w:pStyle w:val="23"/>
                    <w:bidi w:val="0"/>
                    <w:rPr>
                      <w:color w:val="auto"/>
                    </w:rPr>
                  </w:pPr>
                  <w:r>
                    <w:rPr>
                      <w:color w:val="auto"/>
                    </w:rPr>
                    <w:t>202</w:t>
                  </w:r>
                  <w:r>
                    <w:rPr>
                      <w:rFonts w:hint="eastAsia"/>
                      <w:color w:val="auto"/>
                      <w:lang w:val="en-US" w:eastAsia="zh-CN"/>
                    </w:rPr>
                    <w:t>6</w:t>
                  </w:r>
                  <w:r>
                    <w:rPr>
                      <w:color w:val="auto"/>
                    </w:rPr>
                    <w:t>年</w:t>
                  </w:r>
                </w:p>
              </w:tc>
              <w:tc>
                <w:tcPr>
                  <w:tcW w:w="954" w:type="pct"/>
                  <w:vAlign w:val="center"/>
                </w:tcPr>
                <w:p w14:paraId="0F3B0694">
                  <w:pPr>
                    <w:pStyle w:val="23"/>
                    <w:bidi w:val="0"/>
                    <w:rPr>
                      <w:color w:val="auto"/>
                    </w:rPr>
                  </w:pPr>
                  <w:r>
                    <w:rPr>
                      <w:color w:val="auto"/>
                    </w:rPr>
                    <w:t>20</w:t>
                  </w:r>
                  <w:r>
                    <w:rPr>
                      <w:rFonts w:hint="eastAsia"/>
                      <w:color w:val="auto"/>
                      <w:lang w:val="en-US" w:eastAsia="zh-CN"/>
                    </w:rPr>
                    <w:t>32</w:t>
                  </w:r>
                  <w:r>
                    <w:rPr>
                      <w:color w:val="auto"/>
                    </w:rPr>
                    <w:t>年</w:t>
                  </w:r>
                </w:p>
              </w:tc>
              <w:tc>
                <w:tcPr>
                  <w:tcW w:w="954" w:type="pct"/>
                  <w:vAlign w:val="center"/>
                </w:tcPr>
                <w:p w14:paraId="11A9C9ED">
                  <w:pPr>
                    <w:pStyle w:val="23"/>
                    <w:bidi w:val="0"/>
                    <w:rPr>
                      <w:color w:val="auto"/>
                    </w:rPr>
                  </w:pPr>
                  <w:r>
                    <w:rPr>
                      <w:color w:val="auto"/>
                    </w:rPr>
                    <w:t>20</w:t>
                  </w:r>
                  <w:r>
                    <w:rPr>
                      <w:rFonts w:hint="eastAsia"/>
                      <w:color w:val="auto"/>
                      <w:lang w:val="en-US" w:eastAsia="zh-CN"/>
                    </w:rPr>
                    <w:t>40</w:t>
                  </w:r>
                  <w:r>
                    <w:rPr>
                      <w:color w:val="auto"/>
                    </w:rPr>
                    <w:t>年</w:t>
                  </w:r>
                </w:p>
              </w:tc>
            </w:tr>
            <w:tr w14:paraId="5056D9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55" w:type="pct"/>
                  <w:vAlign w:val="center"/>
                </w:tcPr>
                <w:p w14:paraId="7FC5CEEC">
                  <w:pPr>
                    <w:pStyle w:val="23"/>
                    <w:bidi w:val="0"/>
                    <w:rPr>
                      <w:color w:val="auto"/>
                    </w:rPr>
                  </w:pPr>
                  <w:r>
                    <w:rPr>
                      <w:rFonts w:hint="eastAsia"/>
                      <w:color w:val="auto"/>
                    </w:rPr>
                    <w:t>1号桥</w:t>
                  </w:r>
                </w:p>
              </w:tc>
              <w:tc>
                <w:tcPr>
                  <w:tcW w:w="901" w:type="pct"/>
                  <w:vAlign w:val="center"/>
                </w:tcPr>
                <w:p w14:paraId="0FDDD02A">
                  <w:pPr>
                    <w:pStyle w:val="23"/>
                    <w:bidi w:val="0"/>
                    <w:rPr>
                      <w:color w:val="auto"/>
                    </w:rPr>
                  </w:pPr>
                  <w:r>
                    <w:rPr>
                      <w:rFonts w:hint="eastAsia"/>
                      <w:color w:val="auto"/>
                      <w:lang w:val="en-US" w:eastAsia="zh-CN"/>
                    </w:rPr>
                    <w:t>城市次干路</w:t>
                  </w:r>
                </w:p>
              </w:tc>
              <w:tc>
                <w:tcPr>
                  <w:tcW w:w="666" w:type="pct"/>
                  <w:vAlign w:val="center"/>
                </w:tcPr>
                <w:p w14:paraId="66FD1D99">
                  <w:pPr>
                    <w:pStyle w:val="23"/>
                    <w:bidi w:val="0"/>
                    <w:rPr>
                      <w:rFonts w:hint="eastAsia" w:eastAsia="宋体"/>
                      <w:color w:val="auto"/>
                      <w:lang w:eastAsia="zh-CN"/>
                    </w:rPr>
                  </w:pPr>
                  <w:r>
                    <w:rPr>
                      <w:rFonts w:hint="eastAsia"/>
                      <w:color w:val="auto"/>
                      <w:lang w:val="en-US" w:eastAsia="zh-CN"/>
                    </w:rPr>
                    <w:t>4</w:t>
                  </w:r>
                </w:p>
              </w:tc>
              <w:tc>
                <w:tcPr>
                  <w:tcW w:w="666" w:type="pct"/>
                  <w:vAlign w:val="center"/>
                </w:tcPr>
                <w:p w14:paraId="0FA96333">
                  <w:pPr>
                    <w:pStyle w:val="23"/>
                    <w:bidi w:val="0"/>
                    <w:rPr>
                      <w:rFonts w:hint="default" w:eastAsia="宋体"/>
                      <w:color w:val="auto"/>
                      <w:lang w:val="en-US" w:eastAsia="zh-CN"/>
                    </w:rPr>
                  </w:pPr>
                  <w:r>
                    <w:rPr>
                      <w:rFonts w:hint="eastAsia"/>
                      <w:color w:val="auto"/>
                      <w:lang w:val="en-US" w:eastAsia="zh-CN"/>
                    </w:rPr>
                    <w:t>4500</w:t>
                  </w:r>
                </w:p>
              </w:tc>
              <w:tc>
                <w:tcPr>
                  <w:tcW w:w="954" w:type="pct"/>
                  <w:vAlign w:val="center"/>
                </w:tcPr>
                <w:p w14:paraId="2E5A2DF8">
                  <w:pPr>
                    <w:pStyle w:val="23"/>
                    <w:bidi w:val="0"/>
                    <w:rPr>
                      <w:rFonts w:hint="default" w:eastAsia="宋体"/>
                      <w:color w:val="auto"/>
                      <w:lang w:val="en-US" w:eastAsia="zh-CN"/>
                    </w:rPr>
                  </w:pPr>
                  <w:r>
                    <w:rPr>
                      <w:rFonts w:hint="eastAsia"/>
                      <w:color w:val="auto"/>
                      <w:lang w:val="en-US" w:eastAsia="zh-CN"/>
                    </w:rPr>
                    <w:t>7150</w:t>
                  </w:r>
                </w:p>
              </w:tc>
              <w:tc>
                <w:tcPr>
                  <w:tcW w:w="954" w:type="pct"/>
                  <w:vAlign w:val="center"/>
                </w:tcPr>
                <w:p w14:paraId="38E42503">
                  <w:pPr>
                    <w:pStyle w:val="23"/>
                    <w:bidi w:val="0"/>
                    <w:rPr>
                      <w:rFonts w:hint="default" w:eastAsia="宋体"/>
                      <w:color w:val="auto"/>
                      <w:lang w:val="en-US" w:eastAsia="zh-CN"/>
                    </w:rPr>
                  </w:pPr>
                  <w:r>
                    <w:rPr>
                      <w:rFonts w:hint="eastAsia"/>
                      <w:color w:val="auto"/>
                      <w:lang w:val="en-US" w:eastAsia="zh-CN"/>
                    </w:rPr>
                    <w:t>9790</w:t>
                  </w:r>
                </w:p>
              </w:tc>
            </w:tr>
            <w:tr w14:paraId="1C3D48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55" w:type="pct"/>
                  <w:vAlign w:val="center"/>
                </w:tcPr>
                <w:p w14:paraId="63A0E44F">
                  <w:pPr>
                    <w:pStyle w:val="23"/>
                    <w:bidi w:val="0"/>
                    <w:rPr>
                      <w:rFonts w:hint="eastAsia"/>
                      <w:color w:val="auto"/>
                    </w:rPr>
                  </w:pPr>
                  <w:r>
                    <w:rPr>
                      <w:rFonts w:hint="eastAsia"/>
                      <w:color w:val="auto"/>
                      <w:lang w:val="en-US" w:eastAsia="zh-CN"/>
                    </w:rPr>
                    <w:t>连接道路</w:t>
                  </w:r>
                </w:p>
              </w:tc>
              <w:tc>
                <w:tcPr>
                  <w:tcW w:w="901" w:type="pct"/>
                  <w:vAlign w:val="center"/>
                </w:tcPr>
                <w:p w14:paraId="6386A07A">
                  <w:pPr>
                    <w:pStyle w:val="23"/>
                    <w:bidi w:val="0"/>
                    <w:rPr>
                      <w:rFonts w:hint="eastAsia"/>
                      <w:color w:val="auto"/>
                    </w:rPr>
                  </w:pPr>
                  <w:r>
                    <w:rPr>
                      <w:rFonts w:hint="eastAsia"/>
                      <w:color w:val="auto"/>
                      <w:lang w:val="en-US" w:eastAsia="zh-CN"/>
                    </w:rPr>
                    <w:t>城市支路</w:t>
                  </w:r>
                </w:p>
              </w:tc>
              <w:tc>
                <w:tcPr>
                  <w:tcW w:w="666" w:type="pct"/>
                  <w:vAlign w:val="center"/>
                </w:tcPr>
                <w:p w14:paraId="453DE749">
                  <w:pPr>
                    <w:pStyle w:val="23"/>
                    <w:bidi w:val="0"/>
                    <w:rPr>
                      <w:rFonts w:hint="eastAsia" w:eastAsia="宋体"/>
                      <w:color w:val="auto"/>
                      <w:lang w:val="en-US" w:eastAsia="zh-CN"/>
                    </w:rPr>
                  </w:pPr>
                  <w:r>
                    <w:rPr>
                      <w:rFonts w:hint="eastAsia"/>
                      <w:color w:val="auto"/>
                      <w:lang w:val="en-US" w:eastAsia="zh-CN"/>
                    </w:rPr>
                    <w:t>2</w:t>
                  </w:r>
                </w:p>
              </w:tc>
              <w:tc>
                <w:tcPr>
                  <w:tcW w:w="666" w:type="pct"/>
                  <w:vAlign w:val="center"/>
                </w:tcPr>
                <w:p w14:paraId="570E4458">
                  <w:pPr>
                    <w:pStyle w:val="23"/>
                    <w:bidi w:val="0"/>
                    <w:rPr>
                      <w:rFonts w:hint="default"/>
                      <w:color w:val="auto"/>
                      <w:lang w:val="en-US"/>
                    </w:rPr>
                  </w:pPr>
                  <w:r>
                    <w:rPr>
                      <w:rFonts w:hint="eastAsia"/>
                      <w:color w:val="auto"/>
                      <w:lang w:val="en-US" w:eastAsia="zh-CN"/>
                    </w:rPr>
                    <w:t>2180</w:t>
                  </w:r>
                </w:p>
              </w:tc>
              <w:tc>
                <w:tcPr>
                  <w:tcW w:w="954" w:type="pct"/>
                  <w:vAlign w:val="center"/>
                </w:tcPr>
                <w:p w14:paraId="6141498C">
                  <w:pPr>
                    <w:pStyle w:val="23"/>
                    <w:bidi w:val="0"/>
                    <w:rPr>
                      <w:rFonts w:hint="default"/>
                      <w:color w:val="auto"/>
                      <w:lang w:val="en-US"/>
                    </w:rPr>
                  </w:pPr>
                  <w:r>
                    <w:rPr>
                      <w:rFonts w:hint="eastAsia"/>
                      <w:color w:val="auto"/>
                      <w:lang w:val="en-US" w:eastAsia="zh-CN"/>
                    </w:rPr>
                    <w:t>3520</w:t>
                  </w:r>
                </w:p>
              </w:tc>
              <w:tc>
                <w:tcPr>
                  <w:tcW w:w="954" w:type="pct"/>
                  <w:vAlign w:val="center"/>
                </w:tcPr>
                <w:p w14:paraId="3C2258F4">
                  <w:pPr>
                    <w:pStyle w:val="23"/>
                    <w:bidi w:val="0"/>
                    <w:rPr>
                      <w:rFonts w:hint="default"/>
                      <w:color w:val="auto"/>
                      <w:lang w:val="en-US"/>
                    </w:rPr>
                  </w:pPr>
                  <w:r>
                    <w:rPr>
                      <w:rFonts w:hint="eastAsia"/>
                      <w:color w:val="auto"/>
                      <w:lang w:val="en-US" w:eastAsia="zh-CN"/>
                    </w:rPr>
                    <w:t>4240</w:t>
                  </w:r>
                </w:p>
              </w:tc>
            </w:tr>
          </w:tbl>
          <w:p w14:paraId="6D49B104">
            <w:pPr>
              <w:pStyle w:val="21"/>
              <w:bidi w:val="0"/>
              <w:rPr>
                <w:color w:val="auto"/>
              </w:rPr>
            </w:pPr>
            <w:r>
              <w:rPr>
                <w:rFonts w:hint="eastAsia"/>
                <w:color w:val="auto"/>
                <w:lang w:val="en-US" w:eastAsia="zh-CN"/>
              </w:rPr>
              <w:t>本项目位于奉节西部新区，周边主要为居住用地、商业用地、行政办公用地等，且本项目主要为万达广场服务，</w:t>
            </w:r>
            <w:r>
              <w:rPr>
                <w:rFonts w:hint="eastAsia"/>
                <w:color w:val="auto"/>
              </w:rPr>
              <w:t>根据项目设计方案及</w:t>
            </w:r>
            <w:r>
              <w:rPr>
                <w:rFonts w:hint="eastAsia"/>
                <w:color w:val="auto"/>
                <w:lang w:val="en-US" w:eastAsia="zh-CN"/>
              </w:rPr>
              <w:t>类比区域</w:t>
            </w:r>
            <w:r>
              <w:rPr>
                <w:rFonts w:hint="eastAsia"/>
                <w:color w:val="auto"/>
              </w:rPr>
              <w:t>周边道路通行情况确定车型比，车型比、昼夜比见下表。</w:t>
            </w:r>
          </w:p>
          <w:p w14:paraId="606ABCF9">
            <w:pPr>
              <w:pStyle w:val="6"/>
              <w:bidi w:val="0"/>
              <w:rPr>
                <w:color w:val="auto"/>
              </w:rPr>
            </w:pPr>
            <w:r>
              <w:rPr>
                <w:color w:val="auto"/>
              </w:rPr>
              <w:t>车型比及昼夜比</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03"/>
              <w:gridCol w:w="1666"/>
              <w:gridCol w:w="1666"/>
              <w:gridCol w:w="1671"/>
              <w:gridCol w:w="1673"/>
            </w:tblGrid>
            <w:tr w14:paraId="75029D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968" w:type="pct"/>
                  <w:vAlign w:val="center"/>
                </w:tcPr>
                <w:p w14:paraId="6E44BE98">
                  <w:pPr>
                    <w:pStyle w:val="23"/>
                    <w:bidi w:val="0"/>
                    <w:rPr>
                      <w:color w:val="auto"/>
                    </w:rPr>
                  </w:pPr>
                  <w:r>
                    <w:rPr>
                      <w:color w:val="auto"/>
                    </w:rPr>
                    <w:t>项目</w:t>
                  </w:r>
                </w:p>
              </w:tc>
              <w:tc>
                <w:tcPr>
                  <w:tcW w:w="1006" w:type="pct"/>
                  <w:vAlign w:val="center"/>
                </w:tcPr>
                <w:p w14:paraId="1B3858D8">
                  <w:pPr>
                    <w:pStyle w:val="23"/>
                    <w:bidi w:val="0"/>
                    <w:rPr>
                      <w:color w:val="auto"/>
                    </w:rPr>
                  </w:pPr>
                  <w:r>
                    <w:rPr>
                      <w:color w:val="auto"/>
                    </w:rPr>
                    <w:t>小型车</w:t>
                  </w:r>
                </w:p>
              </w:tc>
              <w:tc>
                <w:tcPr>
                  <w:tcW w:w="1006" w:type="pct"/>
                  <w:vAlign w:val="center"/>
                </w:tcPr>
                <w:p w14:paraId="0FC47685">
                  <w:pPr>
                    <w:pStyle w:val="23"/>
                    <w:bidi w:val="0"/>
                    <w:rPr>
                      <w:color w:val="auto"/>
                    </w:rPr>
                  </w:pPr>
                  <w:r>
                    <w:rPr>
                      <w:color w:val="auto"/>
                    </w:rPr>
                    <w:t>中型车</w:t>
                  </w:r>
                </w:p>
              </w:tc>
              <w:tc>
                <w:tcPr>
                  <w:tcW w:w="1009" w:type="pct"/>
                  <w:vAlign w:val="center"/>
                </w:tcPr>
                <w:p w14:paraId="1F17262D">
                  <w:pPr>
                    <w:pStyle w:val="23"/>
                    <w:bidi w:val="0"/>
                    <w:rPr>
                      <w:color w:val="auto"/>
                    </w:rPr>
                  </w:pPr>
                  <w:r>
                    <w:rPr>
                      <w:color w:val="auto"/>
                    </w:rPr>
                    <w:t>大型车</w:t>
                  </w:r>
                </w:p>
              </w:tc>
              <w:tc>
                <w:tcPr>
                  <w:tcW w:w="1009" w:type="pct"/>
                  <w:vAlign w:val="center"/>
                </w:tcPr>
                <w:p w14:paraId="56A1542D">
                  <w:pPr>
                    <w:pStyle w:val="23"/>
                    <w:bidi w:val="0"/>
                    <w:rPr>
                      <w:color w:val="auto"/>
                    </w:rPr>
                  </w:pPr>
                  <w:r>
                    <w:rPr>
                      <w:rFonts w:hint="eastAsia"/>
                      <w:color w:val="auto"/>
                    </w:rPr>
                    <w:t>汽车列车</w:t>
                  </w:r>
                </w:p>
              </w:tc>
            </w:tr>
            <w:tr w14:paraId="0111EA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68" w:type="pct"/>
                  <w:vAlign w:val="center"/>
                </w:tcPr>
                <w:p w14:paraId="3B9BA8FF">
                  <w:pPr>
                    <w:pStyle w:val="23"/>
                    <w:bidi w:val="0"/>
                    <w:rPr>
                      <w:color w:val="auto"/>
                    </w:rPr>
                  </w:pPr>
                  <w:r>
                    <w:rPr>
                      <w:color w:val="auto"/>
                    </w:rPr>
                    <w:t>车型比，%</w:t>
                  </w:r>
                </w:p>
              </w:tc>
              <w:tc>
                <w:tcPr>
                  <w:tcW w:w="1006" w:type="pct"/>
                  <w:vAlign w:val="center"/>
                </w:tcPr>
                <w:p w14:paraId="7A7032B2">
                  <w:pPr>
                    <w:pStyle w:val="23"/>
                    <w:bidi w:val="0"/>
                    <w:rPr>
                      <w:rFonts w:hint="default" w:eastAsia="宋体"/>
                      <w:color w:val="auto"/>
                      <w:lang w:val="en-US" w:eastAsia="zh-CN"/>
                    </w:rPr>
                  </w:pPr>
                  <w:r>
                    <w:rPr>
                      <w:rFonts w:hint="eastAsia"/>
                      <w:color w:val="auto"/>
                      <w:lang w:val="en-US" w:eastAsia="zh-CN"/>
                    </w:rPr>
                    <w:t>90</w:t>
                  </w:r>
                </w:p>
              </w:tc>
              <w:tc>
                <w:tcPr>
                  <w:tcW w:w="1006" w:type="pct"/>
                  <w:vAlign w:val="center"/>
                </w:tcPr>
                <w:p w14:paraId="52310E6E">
                  <w:pPr>
                    <w:pStyle w:val="23"/>
                    <w:bidi w:val="0"/>
                    <w:rPr>
                      <w:rFonts w:hint="default" w:eastAsia="宋体"/>
                      <w:color w:val="auto"/>
                      <w:lang w:val="en-US" w:eastAsia="zh-CN"/>
                    </w:rPr>
                  </w:pPr>
                  <w:r>
                    <w:rPr>
                      <w:rFonts w:hint="eastAsia"/>
                      <w:color w:val="auto"/>
                      <w:lang w:val="en-US" w:eastAsia="zh-CN"/>
                    </w:rPr>
                    <w:t>3</w:t>
                  </w:r>
                </w:p>
              </w:tc>
              <w:tc>
                <w:tcPr>
                  <w:tcW w:w="1009" w:type="pct"/>
                  <w:vAlign w:val="center"/>
                </w:tcPr>
                <w:p w14:paraId="225048E6">
                  <w:pPr>
                    <w:pStyle w:val="23"/>
                    <w:bidi w:val="0"/>
                    <w:rPr>
                      <w:rFonts w:hint="eastAsia" w:eastAsia="宋体"/>
                      <w:color w:val="auto"/>
                      <w:lang w:eastAsia="zh-CN"/>
                    </w:rPr>
                  </w:pPr>
                  <w:r>
                    <w:rPr>
                      <w:rFonts w:hint="eastAsia"/>
                      <w:color w:val="auto"/>
                      <w:lang w:val="en-US" w:eastAsia="zh-CN"/>
                    </w:rPr>
                    <w:t>2</w:t>
                  </w:r>
                </w:p>
              </w:tc>
              <w:tc>
                <w:tcPr>
                  <w:tcW w:w="1009" w:type="pct"/>
                  <w:vAlign w:val="center"/>
                </w:tcPr>
                <w:p w14:paraId="197D3FAE">
                  <w:pPr>
                    <w:pStyle w:val="23"/>
                    <w:bidi w:val="0"/>
                    <w:rPr>
                      <w:color w:val="auto"/>
                    </w:rPr>
                  </w:pPr>
                  <w:r>
                    <w:rPr>
                      <w:rFonts w:hint="eastAsia"/>
                      <w:color w:val="auto"/>
                    </w:rPr>
                    <w:t>0</w:t>
                  </w:r>
                </w:p>
              </w:tc>
            </w:tr>
            <w:tr w14:paraId="6F991C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68" w:type="pct"/>
                  <w:vAlign w:val="center"/>
                </w:tcPr>
                <w:p w14:paraId="6667F686">
                  <w:pPr>
                    <w:pStyle w:val="23"/>
                    <w:bidi w:val="0"/>
                    <w:rPr>
                      <w:color w:val="auto"/>
                    </w:rPr>
                  </w:pPr>
                  <w:r>
                    <w:rPr>
                      <w:color w:val="auto"/>
                    </w:rPr>
                    <w:t>昼夜比，%</w:t>
                  </w:r>
                </w:p>
              </w:tc>
              <w:tc>
                <w:tcPr>
                  <w:tcW w:w="4031" w:type="pct"/>
                  <w:gridSpan w:val="4"/>
                  <w:vAlign w:val="center"/>
                </w:tcPr>
                <w:p w14:paraId="74AEA0CD">
                  <w:pPr>
                    <w:pStyle w:val="23"/>
                    <w:bidi w:val="0"/>
                    <w:rPr>
                      <w:color w:val="auto"/>
                    </w:rPr>
                  </w:pPr>
                  <w:r>
                    <w:rPr>
                      <w:rFonts w:hint="eastAsia"/>
                      <w:color w:val="auto"/>
                      <w:lang w:val="en-US" w:eastAsia="zh-CN"/>
                    </w:rPr>
                    <w:t>9</w:t>
                  </w:r>
                  <w:r>
                    <w:rPr>
                      <w:color w:val="auto"/>
                    </w:rPr>
                    <w:t>：1（昼6：00～22：00，夜22：00～6：00）</w:t>
                  </w:r>
                </w:p>
              </w:tc>
            </w:tr>
          </w:tbl>
          <w:p w14:paraId="6C735794">
            <w:pPr>
              <w:pStyle w:val="21"/>
              <w:bidi w:val="0"/>
              <w:rPr>
                <w:color w:val="auto"/>
              </w:rPr>
            </w:pPr>
            <w:r>
              <w:rPr>
                <w:rFonts w:hint="eastAsia"/>
                <w:color w:val="auto"/>
              </w:rPr>
              <w:t>车辆折算系数根据《环境影响评价技术导则 声环境》（HJ</w:t>
            </w:r>
            <w:r>
              <w:rPr>
                <w:rFonts w:hint="eastAsia"/>
                <w:color w:val="auto"/>
                <w:lang w:val="en-US" w:eastAsia="zh-CN"/>
              </w:rPr>
              <w:t xml:space="preserve"> </w:t>
            </w:r>
            <w:r>
              <w:rPr>
                <w:rFonts w:hint="eastAsia"/>
                <w:color w:val="auto"/>
              </w:rPr>
              <w:t>2.4-2021）附录B中表B.1车型分类表，</w:t>
            </w:r>
            <w:r>
              <w:rPr>
                <w:rFonts w:hint="eastAsia"/>
                <w:color w:val="auto"/>
                <w:lang w:val="en-US" w:eastAsia="zh-CN"/>
              </w:rPr>
              <w:t>具体</w:t>
            </w:r>
            <w:r>
              <w:rPr>
                <w:rFonts w:hint="eastAsia"/>
                <w:color w:val="auto"/>
              </w:rPr>
              <w:t>见下表。</w:t>
            </w:r>
          </w:p>
          <w:p w14:paraId="73D7854A">
            <w:pPr>
              <w:pStyle w:val="6"/>
              <w:bidi w:val="0"/>
              <w:rPr>
                <w:color w:val="auto"/>
              </w:rPr>
            </w:pPr>
            <w:r>
              <w:rPr>
                <w:rFonts w:hint="eastAsia"/>
                <w:color w:val="auto"/>
              </w:rPr>
              <w:t>车型分类表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67"/>
              <w:gridCol w:w="1663"/>
              <w:gridCol w:w="1557"/>
              <w:gridCol w:w="4092"/>
            </w:tblGrid>
            <w:tr w14:paraId="3B5D89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84" w:type="pct"/>
                  <w:vAlign w:val="center"/>
                </w:tcPr>
                <w:p w14:paraId="52646928">
                  <w:pPr>
                    <w:pStyle w:val="23"/>
                    <w:bidi w:val="0"/>
                    <w:rPr>
                      <w:color w:val="auto"/>
                    </w:rPr>
                  </w:pPr>
                  <w:r>
                    <w:rPr>
                      <w:color w:val="auto"/>
                    </w:rPr>
                    <w:t>车型</w:t>
                  </w:r>
                </w:p>
              </w:tc>
              <w:tc>
                <w:tcPr>
                  <w:tcW w:w="1004" w:type="pct"/>
                  <w:vAlign w:val="center"/>
                </w:tcPr>
                <w:p w14:paraId="4C4EEA80">
                  <w:pPr>
                    <w:pStyle w:val="23"/>
                    <w:bidi w:val="0"/>
                    <w:rPr>
                      <w:color w:val="auto"/>
                    </w:rPr>
                  </w:pPr>
                  <w:r>
                    <w:rPr>
                      <w:color w:val="auto"/>
                    </w:rPr>
                    <w:t>汽车代表车型</w:t>
                  </w:r>
                </w:p>
              </w:tc>
              <w:tc>
                <w:tcPr>
                  <w:tcW w:w="940" w:type="pct"/>
                  <w:vAlign w:val="center"/>
                </w:tcPr>
                <w:p w14:paraId="299AB163">
                  <w:pPr>
                    <w:pStyle w:val="23"/>
                    <w:bidi w:val="0"/>
                    <w:rPr>
                      <w:color w:val="auto"/>
                    </w:rPr>
                  </w:pPr>
                  <w:r>
                    <w:rPr>
                      <w:color w:val="auto"/>
                    </w:rPr>
                    <w:t>车辆折算系数</w:t>
                  </w:r>
                </w:p>
              </w:tc>
              <w:tc>
                <w:tcPr>
                  <w:tcW w:w="2470" w:type="pct"/>
                  <w:vAlign w:val="center"/>
                </w:tcPr>
                <w:p w14:paraId="7FDCC675">
                  <w:pPr>
                    <w:pStyle w:val="23"/>
                    <w:bidi w:val="0"/>
                    <w:rPr>
                      <w:color w:val="auto"/>
                    </w:rPr>
                  </w:pPr>
                  <w:r>
                    <w:rPr>
                      <w:color w:val="auto"/>
                    </w:rPr>
                    <w:t>车型划分标准</w:t>
                  </w:r>
                </w:p>
              </w:tc>
            </w:tr>
            <w:tr w14:paraId="4668CA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84" w:type="pct"/>
                  <w:vAlign w:val="center"/>
                </w:tcPr>
                <w:p w14:paraId="7B8BBEBD">
                  <w:pPr>
                    <w:pStyle w:val="23"/>
                    <w:bidi w:val="0"/>
                    <w:rPr>
                      <w:color w:val="auto"/>
                    </w:rPr>
                  </w:pPr>
                  <w:r>
                    <w:rPr>
                      <w:color w:val="auto"/>
                    </w:rPr>
                    <w:t>小</w:t>
                  </w:r>
                </w:p>
              </w:tc>
              <w:tc>
                <w:tcPr>
                  <w:tcW w:w="1004" w:type="pct"/>
                  <w:vAlign w:val="center"/>
                </w:tcPr>
                <w:p w14:paraId="105664D5">
                  <w:pPr>
                    <w:pStyle w:val="23"/>
                    <w:bidi w:val="0"/>
                    <w:rPr>
                      <w:color w:val="auto"/>
                    </w:rPr>
                  </w:pPr>
                  <w:r>
                    <w:rPr>
                      <w:color w:val="auto"/>
                    </w:rPr>
                    <w:t>小客车</w:t>
                  </w:r>
                </w:p>
              </w:tc>
              <w:tc>
                <w:tcPr>
                  <w:tcW w:w="940" w:type="pct"/>
                  <w:vAlign w:val="center"/>
                </w:tcPr>
                <w:p w14:paraId="77B8F876">
                  <w:pPr>
                    <w:pStyle w:val="23"/>
                    <w:bidi w:val="0"/>
                    <w:rPr>
                      <w:color w:val="auto"/>
                    </w:rPr>
                  </w:pPr>
                  <w:r>
                    <w:rPr>
                      <w:color w:val="auto"/>
                    </w:rPr>
                    <w:t>1.0</w:t>
                  </w:r>
                </w:p>
              </w:tc>
              <w:tc>
                <w:tcPr>
                  <w:tcW w:w="2470" w:type="pct"/>
                  <w:vAlign w:val="center"/>
                </w:tcPr>
                <w:p w14:paraId="749A76C4">
                  <w:pPr>
                    <w:pStyle w:val="23"/>
                    <w:bidi w:val="0"/>
                    <w:rPr>
                      <w:color w:val="auto"/>
                    </w:rPr>
                  </w:pPr>
                  <w:r>
                    <w:rPr>
                      <w:color w:val="auto"/>
                    </w:rPr>
                    <w:t>座位≤19座的客车和载质量≤2t货车</w:t>
                  </w:r>
                </w:p>
              </w:tc>
            </w:tr>
            <w:tr w14:paraId="65A279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84" w:type="pct"/>
                  <w:vAlign w:val="center"/>
                </w:tcPr>
                <w:p w14:paraId="570C7BC1">
                  <w:pPr>
                    <w:pStyle w:val="23"/>
                    <w:bidi w:val="0"/>
                    <w:rPr>
                      <w:color w:val="auto"/>
                    </w:rPr>
                  </w:pPr>
                  <w:r>
                    <w:rPr>
                      <w:color w:val="auto"/>
                    </w:rPr>
                    <w:t>中</w:t>
                  </w:r>
                </w:p>
              </w:tc>
              <w:tc>
                <w:tcPr>
                  <w:tcW w:w="1004" w:type="pct"/>
                  <w:vAlign w:val="center"/>
                </w:tcPr>
                <w:p w14:paraId="347E0B49">
                  <w:pPr>
                    <w:pStyle w:val="23"/>
                    <w:bidi w:val="0"/>
                    <w:rPr>
                      <w:color w:val="auto"/>
                    </w:rPr>
                  </w:pPr>
                  <w:r>
                    <w:rPr>
                      <w:color w:val="auto"/>
                    </w:rPr>
                    <w:t>中型车</w:t>
                  </w:r>
                </w:p>
              </w:tc>
              <w:tc>
                <w:tcPr>
                  <w:tcW w:w="940" w:type="pct"/>
                  <w:vAlign w:val="center"/>
                </w:tcPr>
                <w:p w14:paraId="6E11E053">
                  <w:pPr>
                    <w:pStyle w:val="23"/>
                    <w:bidi w:val="0"/>
                    <w:rPr>
                      <w:color w:val="auto"/>
                    </w:rPr>
                  </w:pPr>
                  <w:r>
                    <w:rPr>
                      <w:color w:val="auto"/>
                    </w:rPr>
                    <w:t>1.5</w:t>
                  </w:r>
                </w:p>
              </w:tc>
              <w:tc>
                <w:tcPr>
                  <w:tcW w:w="2470" w:type="pct"/>
                  <w:vAlign w:val="center"/>
                </w:tcPr>
                <w:p w14:paraId="5CD672BC">
                  <w:pPr>
                    <w:pStyle w:val="23"/>
                    <w:bidi w:val="0"/>
                    <w:rPr>
                      <w:color w:val="auto"/>
                    </w:rPr>
                  </w:pPr>
                  <w:r>
                    <w:rPr>
                      <w:color w:val="auto"/>
                    </w:rPr>
                    <w:t>座位＞19座的客车和2t＜载质量≤7t货车</w:t>
                  </w:r>
                </w:p>
              </w:tc>
            </w:tr>
            <w:tr w14:paraId="7C6644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4" w:hRule="atLeast"/>
                <w:jc w:val="center"/>
              </w:trPr>
              <w:tc>
                <w:tcPr>
                  <w:tcW w:w="584" w:type="pct"/>
                  <w:vMerge w:val="restart"/>
                  <w:vAlign w:val="center"/>
                </w:tcPr>
                <w:p w14:paraId="4DEA16BF">
                  <w:pPr>
                    <w:pStyle w:val="23"/>
                    <w:bidi w:val="0"/>
                    <w:rPr>
                      <w:color w:val="auto"/>
                    </w:rPr>
                  </w:pPr>
                  <w:r>
                    <w:rPr>
                      <w:color w:val="auto"/>
                    </w:rPr>
                    <w:t>大</w:t>
                  </w:r>
                </w:p>
              </w:tc>
              <w:tc>
                <w:tcPr>
                  <w:tcW w:w="1004" w:type="pct"/>
                  <w:vAlign w:val="center"/>
                </w:tcPr>
                <w:p w14:paraId="1BC3CC39">
                  <w:pPr>
                    <w:pStyle w:val="23"/>
                    <w:bidi w:val="0"/>
                    <w:rPr>
                      <w:color w:val="auto"/>
                    </w:rPr>
                  </w:pPr>
                  <w:r>
                    <w:rPr>
                      <w:color w:val="auto"/>
                    </w:rPr>
                    <w:t>大型车</w:t>
                  </w:r>
                </w:p>
              </w:tc>
              <w:tc>
                <w:tcPr>
                  <w:tcW w:w="940" w:type="pct"/>
                  <w:vAlign w:val="center"/>
                </w:tcPr>
                <w:p w14:paraId="42218941">
                  <w:pPr>
                    <w:pStyle w:val="23"/>
                    <w:bidi w:val="0"/>
                    <w:rPr>
                      <w:color w:val="auto"/>
                    </w:rPr>
                  </w:pPr>
                  <w:r>
                    <w:rPr>
                      <w:color w:val="auto"/>
                    </w:rPr>
                    <w:t>2.5</w:t>
                  </w:r>
                </w:p>
              </w:tc>
              <w:tc>
                <w:tcPr>
                  <w:tcW w:w="2470" w:type="pct"/>
                  <w:vAlign w:val="center"/>
                </w:tcPr>
                <w:p w14:paraId="175FC85B">
                  <w:pPr>
                    <w:pStyle w:val="23"/>
                    <w:bidi w:val="0"/>
                    <w:rPr>
                      <w:color w:val="auto"/>
                    </w:rPr>
                  </w:pPr>
                  <w:r>
                    <w:rPr>
                      <w:color w:val="auto"/>
                    </w:rPr>
                    <w:t>7t＜载质量≤20t货车</w:t>
                  </w:r>
                </w:p>
              </w:tc>
            </w:tr>
            <w:tr w14:paraId="3A2C12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84" w:type="pct"/>
                  <w:vMerge w:val="continue"/>
                  <w:vAlign w:val="center"/>
                </w:tcPr>
                <w:p w14:paraId="394C06BD">
                  <w:pPr>
                    <w:pStyle w:val="23"/>
                    <w:bidi w:val="0"/>
                    <w:rPr>
                      <w:color w:val="auto"/>
                    </w:rPr>
                  </w:pPr>
                </w:p>
              </w:tc>
              <w:tc>
                <w:tcPr>
                  <w:tcW w:w="1004" w:type="pct"/>
                  <w:vAlign w:val="center"/>
                </w:tcPr>
                <w:p w14:paraId="6137219C">
                  <w:pPr>
                    <w:pStyle w:val="23"/>
                    <w:bidi w:val="0"/>
                    <w:rPr>
                      <w:color w:val="auto"/>
                    </w:rPr>
                  </w:pPr>
                  <w:r>
                    <w:rPr>
                      <w:color w:val="auto"/>
                    </w:rPr>
                    <w:t>汽车列车</w:t>
                  </w:r>
                </w:p>
              </w:tc>
              <w:tc>
                <w:tcPr>
                  <w:tcW w:w="940" w:type="pct"/>
                  <w:vAlign w:val="center"/>
                </w:tcPr>
                <w:p w14:paraId="43A039BE">
                  <w:pPr>
                    <w:pStyle w:val="23"/>
                    <w:bidi w:val="0"/>
                    <w:rPr>
                      <w:color w:val="auto"/>
                    </w:rPr>
                  </w:pPr>
                  <w:r>
                    <w:rPr>
                      <w:color w:val="auto"/>
                    </w:rPr>
                    <w:t>4.0</w:t>
                  </w:r>
                </w:p>
              </w:tc>
              <w:tc>
                <w:tcPr>
                  <w:tcW w:w="2470" w:type="pct"/>
                  <w:vAlign w:val="center"/>
                </w:tcPr>
                <w:p w14:paraId="1A58EE1D">
                  <w:pPr>
                    <w:pStyle w:val="23"/>
                    <w:bidi w:val="0"/>
                    <w:rPr>
                      <w:color w:val="auto"/>
                    </w:rPr>
                  </w:pPr>
                  <w:r>
                    <w:rPr>
                      <w:color w:val="auto"/>
                    </w:rPr>
                    <w:t>载质量＞20t的货车</w:t>
                  </w:r>
                </w:p>
              </w:tc>
            </w:tr>
          </w:tbl>
          <w:p w14:paraId="4FA56A91">
            <w:pPr>
              <w:pStyle w:val="21"/>
              <w:bidi w:val="0"/>
              <w:rPr>
                <w:rFonts w:hint="eastAsia"/>
                <w:color w:val="auto"/>
              </w:rPr>
            </w:pPr>
            <w:r>
              <w:rPr>
                <w:rFonts w:hint="eastAsia"/>
                <w:color w:val="auto"/>
              </w:rPr>
              <w:t>根据各车型比折算本工程道路运营初、中、远期预测年份各种车型交通量情况详见下表。</w:t>
            </w:r>
          </w:p>
          <w:p w14:paraId="162A1F19">
            <w:pPr>
              <w:pStyle w:val="6"/>
              <w:bidi w:val="0"/>
              <w:rPr>
                <w:color w:val="auto"/>
              </w:rPr>
            </w:pPr>
            <w:r>
              <w:rPr>
                <w:color w:val="auto"/>
              </w:rPr>
              <w:t xml:space="preserve">各型车流量预测表            </w:t>
            </w:r>
            <w:r>
              <w:rPr>
                <w:rFonts w:hint="eastAsia"/>
                <w:color w:val="auto"/>
              </w:rPr>
              <w:t xml:space="preserve">   </w:t>
            </w:r>
            <w:r>
              <w:rPr>
                <w:color w:val="auto"/>
              </w:rPr>
              <w:t xml:space="preserve"> 单位：辆/h</w:t>
            </w:r>
          </w:p>
          <w:tbl>
            <w:tblPr>
              <w:tblStyle w:val="16"/>
              <w:tblW w:w="4998" w:type="pct"/>
              <w:tblInd w:w="10" w:type="dxa"/>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1169"/>
              <w:gridCol w:w="1170"/>
              <w:gridCol w:w="1658"/>
              <w:gridCol w:w="1658"/>
              <w:gridCol w:w="1446"/>
              <w:gridCol w:w="1170"/>
            </w:tblGrid>
            <w:tr w14:paraId="4721170A">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707" w:type="pct"/>
                  <w:tcBorders>
                    <w:tl2br w:val="nil"/>
                    <w:tr2bl w:val="nil"/>
                  </w:tcBorders>
                  <w:shd w:val="clear" w:color="auto" w:fill="auto"/>
                  <w:vAlign w:val="center"/>
                </w:tcPr>
                <w:p w14:paraId="2D454FA7">
                  <w:pPr>
                    <w:pStyle w:val="23"/>
                    <w:bidi w:val="0"/>
                    <w:rPr>
                      <w:rFonts w:hint="eastAsia"/>
                      <w:color w:val="auto"/>
                    </w:rPr>
                  </w:pPr>
                  <w:r>
                    <w:rPr>
                      <w:rFonts w:hint="eastAsia"/>
                      <w:color w:val="auto"/>
                      <w:lang w:val="en-US" w:eastAsia="zh-CN"/>
                    </w:rPr>
                    <w:t>路段</w:t>
                  </w:r>
                </w:p>
              </w:tc>
              <w:tc>
                <w:tcPr>
                  <w:tcW w:w="707" w:type="pct"/>
                  <w:tcBorders>
                    <w:tl2br w:val="nil"/>
                    <w:tr2bl w:val="nil"/>
                  </w:tcBorders>
                  <w:shd w:val="clear" w:color="auto" w:fill="auto"/>
                  <w:vAlign w:val="center"/>
                </w:tcPr>
                <w:p w14:paraId="61266963">
                  <w:pPr>
                    <w:pStyle w:val="23"/>
                    <w:bidi w:val="0"/>
                    <w:rPr>
                      <w:rFonts w:hint="eastAsia"/>
                      <w:color w:val="auto"/>
                    </w:rPr>
                  </w:pPr>
                  <w:r>
                    <w:rPr>
                      <w:rFonts w:hint="eastAsia"/>
                      <w:color w:val="auto"/>
                      <w:lang w:val="en-US" w:eastAsia="zh-CN"/>
                    </w:rPr>
                    <w:t>年份</w:t>
                  </w:r>
                </w:p>
              </w:tc>
              <w:tc>
                <w:tcPr>
                  <w:tcW w:w="1002" w:type="pct"/>
                  <w:tcBorders>
                    <w:tl2br w:val="nil"/>
                    <w:tr2bl w:val="nil"/>
                  </w:tcBorders>
                  <w:shd w:val="clear" w:color="auto" w:fill="auto"/>
                  <w:vAlign w:val="center"/>
                </w:tcPr>
                <w:p w14:paraId="100636EB">
                  <w:pPr>
                    <w:pStyle w:val="23"/>
                    <w:bidi w:val="0"/>
                    <w:rPr>
                      <w:rFonts w:hint="eastAsia"/>
                      <w:color w:val="auto"/>
                    </w:rPr>
                  </w:pPr>
                  <w:r>
                    <w:rPr>
                      <w:rFonts w:hint="eastAsia"/>
                      <w:color w:val="auto"/>
                      <w:lang w:val="en-US" w:eastAsia="zh-CN"/>
                    </w:rPr>
                    <w:t>时段</w:t>
                  </w:r>
                </w:p>
              </w:tc>
              <w:tc>
                <w:tcPr>
                  <w:tcW w:w="1002" w:type="pct"/>
                  <w:tcBorders>
                    <w:tl2br w:val="nil"/>
                    <w:tr2bl w:val="nil"/>
                  </w:tcBorders>
                  <w:shd w:val="clear" w:color="auto" w:fill="auto"/>
                  <w:vAlign w:val="center"/>
                </w:tcPr>
                <w:p w14:paraId="0E3011EB">
                  <w:pPr>
                    <w:pStyle w:val="23"/>
                    <w:bidi w:val="0"/>
                    <w:rPr>
                      <w:rFonts w:hint="eastAsia"/>
                      <w:color w:val="auto"/>
                    </w:rPr>
                  </w:pPr>
                  <w:r>
                    <w:rPr>
                      <w:rFonts w:hint="eastAsia"/>
                      <w:color w:val="auto"/>
                      <w:lang w:val="en-US" w:eastAsia="zh-CN"/>
                    </w:rPr>
                    <w:t>小型车</w:t>
                  </w:r>
                </w:p>
              </w:tc>
              <w:tc>
                <w:tcPr>
                  <w:tcW w:w="874" w:type="pct"/>
                  <w:tcBorders>
                    <w:tl2br w:val="nil"/>
                    <w:tr2bl w:val="nil"/>
                  </w:tcBorders>
                  <w:shd w:val="clear" w:color="auto" w:fill="auto"/>
                  <w:vAlign w:val="center"/>
                </w:tcPr>
                <w:p w14:paraId="18AAD46D">
                  <w:pPr>
                    <w:pStyle w:val="23"/>
                    <w:bidi w:val="0"/>
                    <w:rPr>
                      <w:rFonts w:hint="eastAsia"/>
                      <w:color w:val="auto"/>
                    </w:rPr>
                  </w:pPr>
                  <w:r>
                    <w:rPr>
                      <w:rFonts w:hint="eastAsia"/>
                      <w:color w:val="auto"/>
                      <w:lang w:val="en-US" w:eastAsia="zh-CN"/>
                    </w:rPr>
                    <w:t>中型车</w:t>
                  </w:r>
                </w:p>
              </w:tc>
              <w:tc>
                <w:tcPr>
                  <w:tcW w:w="707" w:type="pct"/>
                  <w:tcBorders>
                    <w:tl2br w:val="nil"/>
                    <w:tr2bl w:val="nil"/>
                  </w:tcBorders>
                  <w:shd w:val="clear" w:color="auto" w:fill="auto"/>
                  <w:vAlign w:val="center"/>
                </w:tcPr>
                <w:p w14:paraId="77171366">
                  <w:pPr>
                    <w:pStyle w:val="23"/>
                    <w:bidi w:val="0"/>
                    <w:rPr>
                      <w:rFonts w:hint="eastAsia"/>
                      <w:color w:val="auto"/>
                    </w:rPr>
                  </w:pPr>
                  <w:r>
                    <w:rPr>
                      <w:rFonts w:hint="eastAsia"/>
                      <w:color w:val="auto"/>
                      <w:lang w:val="en-US" w:eastAsia="zh-CN"/>
                    </w:rPr>
                    <w:t>大型车</w:t>
                  </w:r>
                </w:p>
              </w:tc>
            </w:tr>
            <w:tr w14:paraId="23590B7D">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707" w:type="pct"/>
                  <w:vMerge w:val="restart"/>
                  <w:tcBorders>
                    <w:tl2br w:val="nil"/>
                    <w:tr2bl w:val="nil"/>
                  </w:tcBorders>
                  <w:shd w:val="clear" w:color="auto" w:fill="auto"/>
                  <w:vAlign w:val="center"/>
                </w:tcPr>
                <w:p w14:paraId="152F4034">
                  <w:pPr>
                    <w:pStyle w:val="23"/>
                    <w:bidi w:val="0"/>
                    <w:rPr>
                      <w:rFonts w:hint="eastAsia"/>
                      <w:color w:val="auto"/>
                    </w:rPr>
                  </w:pPr>
                  <w:r>
                    <w:rPr>
                      <w:rFonts w:hint="eastAsia"/>
                      <w:color w:val="auto"/>
                      <w:lang w:val="en-US" w:eastAsia="zh-CN"/>
                    </w:rPr>
                    <w:t>1号桥</w:t>
                  </w:r>
                </w:p>
              </w:tc>
              <w:tc>
                <w:tcPr>
                  <w:tcW w:w="707" w:type="pct"/>
                  <w:vMerge w:val="restart"/>
                  <w:tcBorders>
                    <w:tl2br w:val="nil"/>
                    <w:tr2bl w:val="nil"/>
                  </w:tcBorders>
                  <w:shd w:val="clear" w:color="auto" w:fill="auto"/>
                  <w:vAlign w:val="center"/>
                </w:tcPr>
                <w:p w14:paraId="3ACD4F70">
                  <w:pPr>
                    <w:pStyle w:val="23"/>
                    <w:bidi w:val="0"/>
                    <w:rPr>
                      <w:rFonts w:hint="default"/>
                      <w:color w:val="auto"/>
                    </w:rPr>
                  </w:pPr>
                  <w:r>
                    <w:rPr>
                      <w:rFonts w:hint="default"/>
                      <w:color w:val="auto"/>
                      <w:lang w:val="en-US" w:eastAsia="zh-CN"/>
                    </w:rPr>
                    <w:t>2026年</w:t>
                  </w:r>
                </w:p>
              </w:tc>
              <w:tc>
                <w:tcPr>
                  <w:tcW w:w="1002" w:type="pct"/>
                  <w:tcBorders>
                    <w:tl2br w:val="nil"/>
                    <w:tr2bl w:val="nil"/>
                  </w:tcBorders>
                  <w:shd w:val="clear" w:color="auto" w:fill="auto"/>
                  <w:vAlign w:val="center"/>
                </w:tcPr>
                <w:p w14:paraId="2ECFED33">
                  <w:pPr>
                    <w:pStyle w:val="23"/>
                    <w:bidi w:val="0"/>
                    <w:rPr>
                      <w:rFonts w:hint="eastAsia"/>
                      <w:color w:val="auto"/>
                    </w:rPr>
                  </w:pPr>
                  <w:r>
                    <w:rPr>
                      <w:rFonts w:hint="eastAsia"/>
                      <w:color w:val="auto"/>
                      <w:lang w:val="en-US" w:eastAsia="zh-CN"/>
                    </w:rPr>
                    <w:t>昼间</w:t>
                  </w:r>
                </w:p>
              </w:tc>
              <w:tc>
                <w:tcPr>
                  <w:tcW w:w="1706" w:type="dxa"/>
                  <w:tcBorders>
                    <w:tl2br w:val="nil"/>
                    <w:tr2bl w:val="nil"/>
                  </w:tcBorders>
                  <w:shd w:val="clear" w:color="auto" w:fill="auto"/>
                  <w:vAlign w:val="center"/>
                </w:tcPr>
                <w:p w14:paraId="45B88BC8">
                  <w:pPr>
                    <w:pStyle w:val="23"/>
                    <w:bidi w:val="0"/>
                    <w:rPr>
                      <w:rFonts w:hint="eastAsia"/>
                      <w:color w:val="auto"/>
                    </w:rPr>
                  </w:pPr>
                  <w:r>
                    <w:rPr>
                      <w:rFonts w:hint="eastAsia"/>
                      <w:color w:val="auto"/>
                      <w:lang w:val="en-US" w:eastAsia="zh-CN"/>
                    </w:rPr>
                    <w:t>134</w:t>
                  </w:r>
                </w:p>
              </w:tc>
              <w:tc>
                <w:tcPr>
                  <w:tcW w:w="1488" w:type="dxa"/>
                  <w:tcBorders>
                    <w:tl2br w:val="nil"/>
                    <w:tr2bl w:val="nil"/>
                  </w:tcBorders>
                  <w:shd w:val="clear" w:color="auto" w:fill="auto"/>
                  <w:vAlign w:val="center"/>
                </w:tcPr>
                <w:p w14:paraId="0770C31F">
                  <w:pPr>
                    <w:pStyle w:val="23"/>
                    <w:bidi w:val="0"/>
                    <w:rPr>
                      <w:rFonts w:hint="eastAsia"/>
                      <w:color w:val="auto"/>
                    </w:rPr>
                  </w:pPr>
                  <w:r>
                    <w:rPr>
                      <w:rFonts w:hint="eastAsia"/>
                      <w:color w:val="auto"/>
                      <w:lang w:val="en-US" w:eastAsia="zh-CN"/>
                    </w:rPr>
                    <w:t>4</w:t>
                  </w:r>
                </w:p>
              </w:tc>
              <w:tc>
                <w:tcPr>
                  <w:tcW w:w="1204" w:type="dxa"/>
                  <w:tcBorders>
                    <w:tl2br w:val="nil"/>
                    <w:tr2bl w:val="nil"/>
                  </w:tcBorders>
                  <w:shd w:val="clear" w:color="auto" w:fill="auto"/>
                  <w:vAlign w:val="center"/>
                </w:tcPr>
                <w:p w14:paraId="6BEA575E">
                  <w:pPr>
                    <w:pStyle w:val="23"/>
                    <w:bidi w:val="0"/>
                    <w:rPr>
                      <w:rFonts w:hint="eastAsia"/>
                      <w:color w:val="auto"/>
                    </w:rPr>
                  </w:pPr>
                  <w:r>
                    <w:rPr>
                      <w:rFonts w:hint="eastAsia"/>
                      <w:color w:val="auto"/>
                      <w:lang w:val="en-US" w:eastAsia="zh-CN"/>
                    </w:rPr>
                    <w:t>3</w:t>
                  </w:r>
                </w:p>
              </w:tc>
            </w:tr>
            <w:tr w14:paraId="16C39B3B">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707" w:type="pct"/>
                  <w:vMerge w:val="continue"/>
                  <w:tcBorders>
                    <w:tl2br w:val="nil"/>
                    <w:tr2bl w:val="nil"/>
                  </w:tcBorders>
                  <w:shd w:val="clear" w:color="auto" w:fill="auto"/>
                  <w:vAlign w:val="center"/>
                </w:tcPr>
                <w:p w14:paraId="41FCFBC6">
                  <w:pPr>
                    <w:pStyle w:val="23"/>
                    <w:bidi w:val="0"/>
                    <w:rPr>
                      <w:rFonts w:hint="eastAsia"/>
                      <w:color w:val="auto"/>
                    </w:rPr>
                  </w:pPr>
                </w:p>
              </w:tc>
              <w:tc>
                <w:tcPr>
                  <w:tcW w:w="707" w:type="pct"/>
                  <w:vMerge w:val="continue"/>
                  <w:tcBorders>
                    <w:tl2br w:val="nil"/>
                    <w:tr2bl w:val="nil"/>
                  </w:tcBorders>
                  <w:shd w:val="clear" w:color="auto" w:fill="auto"/>
                  <w:vAlign w:val="center"/>
                </w:tcPr>
                <w:p w14:paraId="1810E891">
                  <w:pPr>
                    <w:pStyle w:val="23"/>
                    <w:bidi w:val="0"/>
                    <w:rPr>
                      <w:rFonts w:hint="default"/>
                      <w:color w:val="auto"/>
                    </w:rPr>
                  </w:pPr>
                </w:p>
              </w:tc>
              <w:tc>
                <w:tcPr>
                  <w:tcW w:w="1002" w:type="pct"/>
                  <w:tcBorders>
                    <w:tl2br w:val="nil"/>
                    <w:tr2bl w:val="nil"/>
                  </w:tcBorders>
                  <w:shd w:val="clear" w:color="auto" w:fill="auto"/>
                  <w:vAlign w:val="center"/>
                </w:tcPr>
                <w:p w14:paraId="4B576356">
                  <w:pPr>
                    <w:pStyle w:val="23"/>
                    <w:bidi w:val="0"/>
                    <w:rPr>
                      <w:rFonts w:hint="eastAsia"/>
                      <w:color w:val="auto"/>
                    </w:rPr>
                  </w:pPr>
                  <w:r>
                    <w:rPr>
                      <w:rFonts w:hint="eastAsia"/>
                      <w:color w:val="auto"/>
                      <w:lang w:val="en-US" w:eastAsia="zh-CN"/>
                    </w:rPr>
                    <w:t>夜间</w:t>
                  </w:r>
                </w:p>
              </w:tc>
              <w:tc>
                <w:tcPr>
                  <w:tcW w:w="1706" w:type="dxa"/>
                  <w:tcBorders>
                    <w:tl2br w:val="nil"/>
                    <w:tr2bl w:val="nil"/>
                  </w:tcBorders>
                  <w:shd w:val="clear" w:color="auto" w:fill="auto"/>
                  <w:vAlign w:val="center"/>
                </w:tcPr>
                <w:p w14:paraId="7D4616EC">
                  <w:pPr>
                    <w:pStyle w:val="23"/>
                    <w:bidi w:val="0"/>
                    <w:rPr>
                      <w:rFonts w:hint="eastAsia"/>
                      <w:color w:val="auto"/>
                    </w:rPr>
                  </w:pPr>
                  <w:r>
                    <w:rPr>
                      <w:rFonts w:hint="eastAsia"/>
                      <w:color w:val="auto"/>
                      <w:lang w:val="en-US" w:eastAsia="zh-CN"/>
                    </w:rPr>
                    <w:t>30</w:t>
                  </w:r>
                </w:p>
              </w:tc>
              <w:tc>
                <w:tcPr>
                  <w:tcW w:w="1488" w:type="dxa"/>
                  <w:tcBorders>
                    <w:tl2br w:val="nil"/>
                    <w:tr2bl w:val="nil"/>
                  </w:tcBorders>
                  <w:shd w:val="clear" w:color="auto" w:fill="auto"/>
                  <w:vAlign w:val="center"/>
                </w:tcPr>
                <w:p w14:paraId="4D2FF351">
                  <w:pPr>
                    <w:pStyle w:val="23"/>
                    <w:bidi w:val="0"/>
                    <w:rPr>
                      <w:rFonts w:hint="eastAsia"/>
                      <w:color w:val="auto"/>
                    </w:rPr>
                  </w:pPr>
                  <w:r>
                    <w:rPr>
                      <w:rFonts w:hint="eastAsia"/>
                      <w:color w:val="auto"/>
                      <w:lang w:val="en-US" w:eastAsia="zh-CN"/>
                    </w:rPr>
                    <w:t>1</w:t>
                  </w:r>
                </w:p>
              </w:tc>
              <w:tc>
                <w:tcPr>
                  <w:tcW w:w="1204" w:type="dxa"/>
                  <w:tcBorders>
                    <w:tl2br w:val="nil"/>
                    <w:tr2bl w:val="nil"/>
                  </w:tcBorders>
                  <w:shd w:val="clear" w:color="auto" w:fill="auto"/>
                  <w:vAlign w:val="center"/>
                </w:tcPr>
                <w:p w14:paraId="09F5B732">
                  <w:pPr>
                    <w:pStyle w:val="23"/>
                    <w:bidi w:val="0"/>
                    <w:rPr>
                      <w:rFonts w:hint="eastAsia"/>
                      <w:color w:val="auto"/>
                    </w:rPr>
                  </w:pPr>
                  <w:r>
                    <w:rPr>
                      <w:rFonts w:hint="eastAsia"/>
                      <w:color w:val="auto"/>
                      <w:lang w:val="en-US" w:eastAsia="zh-CN"/>
                    </w:rPr>
                    <w:t>1</w:t>
                  </w:r>
                </w:p>
              </w:tc>
            </w:tr>
            <w:tr w14:paraId="0599335E">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707" w:type="pct"/>
                  <w:vMerge w:val="continue"/>
                  <w:tcBorders>
                    <w:tl2br w:val="nil"/>
                    <w:tr2bl w:val="nil"/>
                  </w:tcBorders>
                  <w:shd w:val="clear" w:color="auto" w:fill="auto"/>
                  <w:vAlign w:val="center"/>
                </w:tcPr>
                <w:p w14:paraId="5F80A784">
                  <w:pPr>
                    <w:pStyle w:val="23"/>
                    <w:bidi w:val="0"/>
                    <w:rPr>
                      <w:rFonts w:hint="eastAsia"/>
                      <w:color w:val="auto"/>
                    </w:rPr>
                  </w:pPr>
                </w:p>
              </w:tc>
              <w:tc>
                <w:tcPr>
                  <w:tcW w:w="707" w:type="pct"/>
                  <w:vMerge w:val="restart"/>
                  <w:tcBorders>
                    <w:tl2br w:val="nil"/>
                    <w:tr2bl w:val="nil"/>
                  </w:tcBorders>
                  <w:shd w:val="clear" w:color="auto" w:fill="auto"/>
                  <w:vAlign w:val="center"/>
                </w:tcPr>
                <w:p w14:paraId="2877335A">
                  <w:pPr>
                    <w:pStyle w:val="23"/>
                    <w:bidi w:val="0"/>
                    <w:rPr>
                      <w:rFonts w:hint="default"/>
                      <w:color w:val="auto"/>
                    </w:rPr>
                  </w:pPr>
                  <w:r>
                    <w:rPr>
                      <w:rFonts w:hint="default"/>
                      <w:color w:val="auto"/>
                      <w:lang w:val="en-US" w:eastAsia="zh-CN"/>
                    </w:rPr>
                    <w:t>2032年</w:t>
                  </w:r>
                </w:p>
              </w:tc>
              <w:tc>
                <w:tcPr>
                  <w:tcW w:w="1002" w:type="pct"/>
                  <w:tcBorders>
                    <w:tl2br w:val="nil"/>
                    <w:tr2bl w:val="nil"/>
                  </w:tcBorders>
                  <w:shd w:val="clear" w:color="auto" w:fill="auto"/>
                  <w:vAlign w:val="center"/>
                </w:tcPr>
                <w:p w14:paraId="5BA5E81C">
                  <w:pPr>
                    <w:pStyle w:val="23"/>
                    <w:bidi w:val="0"/>
                    <w:rPr>
                      <w:rFonts w:hint="eastAsia"/>
                      <w:color w:val="auto"/>
                    </w:rPr>
                  </w:pPr>
                  <w:r>
                    <w:rPr>
                      <w:rFonts w:hint="eastAsia"/>
                      <w:color w:val="auto"/>
                      <w:lang w:val="en-US" w:eastAsia="zh-CN"/>
                    </w:rPr>
                    <w:t>昼间</w:t>
                  </w:r>
                </w:p>
              </w:tc>
              <w:tc>
                <w:tcPr>
                  <w:tcW w:w="1706" w:type="dxa"/>
                  <w:tcBorders>
                    <w:tl2br w:val="nil"/>
                    <w:tr2bl w:val="nil"/>
                  </w:tcBorders>
                  <w:shd w:val="clear" w:color="auto" w:fill="auto"/>
                  <w:vAlign w:val="center"/>
                </w:tcPr>
                <w:p w14:paraId="4F26009C">
                  <w:pPr>
                    <w:pStyle w:val="23"/>
                    <w:bidi w:val="0"/>
                    <w:rPr>
                      <w:rFonts w:hint="eastAsia"/>
                      <w:color w:val="auto"/>
                    </w:rPr>
                  </w:pPr>
                  <w:r>
                    <w:rPr>
                      <w:rFonts w:hint="eastAsia"/>
                      <w:color w:val="auto"/>
                      <w:lang w:val="en-US" w:eastAsia="zh-CN"/>
                    </w:rPr>
                    <w:t>228</w:t>
                  </w:r>
                </w:p>
              </w:tc>
              <w:tc>
                <w:tcPr>
                  <w:tcW w:w="1488" w:type="dxa"/>
                  <w:tcBorders>
                    <w:tl2br w:val="nil"/>
                    <w:tr2bl w:val="nil"/>
                  </w:tcBorders>
                  <w:shd w:val="clear" w:color="auto" w:fill="auto"/>
                  <w:vAlign w:val="center"/>
                </w:tcPr>
                <w:p w14:paraId="7E7EE9FB">
                  <w:pPr>
                    <w:pStyle w:val="23"/>
                    <w:bidi w:val="0"/>
                    <w:rPr>
                      <w:rFonts w:hint="eastAsia"/>
                      <w:color w:val="auto"/>
                    </w:rPr>
                  </w:pPr>
                  <w:r>
                    <w:rPr>
                      <w:rFonts w:hint="eastAsia"/>
                      <w:color w:val="auto"/>
                      <w:lang w:val="en-US" w:eastAsia="zh-CN"/>
                    </w:rPr>
                    <w:t>8</w:t>
                  </w:r>
                </w:p>
              </w:tc>
              <w:tc>
                <w:tcPr>
                  <w:tcW w:w="1204" w:type="dxa"/>
                  <w:tcBorders>
                    <w:tl2br w:val="nil"/>
                    <w:tr2bl w:val="nil"/>
                  </w:tcBorders>
                  <w:shd w:val="clear" w:color="auto" w:fill="auto"/>
                  <w:vAlign w:val="center"/>
                </w:tcPr>
                <w:p w14:paraId="2140FFFE">
                  <w:pPr>
                    <w:pStyle w:val="23"/>
                    <w:bidi w:val="0"/>
                    <w:rPr>
                      <w:rFonts w:hint="eastAsia"/>
                      <w:color w:val="auto"/>
                    </w:rPr>
                  </w:pPr>
                  <w:r>
                    <w:rPr>
                      <w:rFonts w:hint="eastAsia"/>
                      <w:color w:val="auto"/>
                      <w:lang w:val="en-US" w:eastAsia="zh-CN"/>
                    </w:rPr>
                    <w:t>5</w:t>
                  </w:r>
                </w:p>
              </w:tc>
            </w:tr>
            <w:tr w14:paraId="11C0E66C">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707" w:type="pct"/>
                  <w:vMerge w:val="continue"/>
                  <w:tcBorders>
                    <w:tl2br w:val="nil"/>
                    <w:tr2bl w:val="nil"/>
                  </w:tcBorders>
                  <w:shd w:val="clear" w:color="auto" w:fill="auto"/>
                  <w:vAlign w:val="center"/>
                </w:tcPr>
                <w:p w14:paraId="3B85FFC5">
                  <w:pPr>
                    <w:pStyle w:val="23"/>
                    <w:bidi w:val="0"/>
                    <w:rPr>
                      <w:rFonts w:hint="eastAsia"/>
                      <w:color w:val="auto"/>
                    </w:rPr>
                  </w:pPr>
                </w:p>
              </w:tc>
              <w:tc>
                <w:tcPr>
                  <w:tcW w:w="707" w:type="pct"/>
                  <w:vMerge w:val="continue"/>
                  <w:tcBorders>
                    <w:tl2br w:val="nil"/>
                    <w:tr2bl w:val="nil"/>
                  </w:tcBorders>
                  <w:shd w:val="clear" w:color="auto" w:fill="auto"/>
                  <w:vAlign w:val="center"/>
                </w:tcPr>
                <w:p w14:paraId="5C12FB09">
                  <w:pPr>
                    <w:pStyle w:val="23"/>
                    <w:bidi w:val="0"/>
                    <w:rPr>
                      <w:rFonts w:hint="default"/>
                      <w:color w:val="auto"/>
                    </w:rPr>
                  </w:pPr>
                </w:p>
              </w:tc>
              <w:tc>
                <w:tcPr>
                  <w:tcW w:w="1002" w:type="pct"/>
                  <w:tcBorders>
                    <w:tl2br w:val="nil"/>
                    <w:tr2bl w:val="nil"/>
                  </w:tcBorders>
                  <w:shd w:val="clear" w:color="auto" w:fill="auto"/>
                  <w:vAlign w:val="center"/>
                </w:tcPr>
                <w:p w14:paraId="0A64A60D">
                  <w:pPr>
                    <w:pStyle w:val="23"/>
                    <w:bidi w:val="0"/>
                    <w:rPr>
                      <w:rFonts w:hint="eastAsia"/>
                      <w:color w:val="auto"/>
                    </w:rPr>
                  </w:pPr>
                  <w:r>
                    <w:rPr>
                      <w:rFonts w:hint="eastAsia"/>
                      <w:color w:val="auto"/>
                      <w:lang w:val="en-US" w:eastAsia="zh-CN"/>
                    </w:rPr>
                    <w:t>夜间</w:t>
                  </w:r>
                </w:p>
              </w:tc>
              <w:tc>
                <w:tcPr>
                  <w:tcW w:w="1706" w:type="dxa"/>
                  <w:tcBorders>
                    <w:tl2br w:val="nil"/>
                    <w:tr2bl w:val="nil"/>
                  </w:tcBorders>
                  <w:shd w:val="clear" w:color="auto" w:fill="auto"/>
                  <w:vAlign w:val="center"/>
                </w:tcPr>
                <w:p w14:paraId="1486336C">
                  <w:pPr>
                    <w:pStyle w:val="23"/>
                    <w:bidi w:val="0"/>
                    <w:rPr>
                      <w:rFonts w:hint="eastAsia"/>
                      <w:color w:val="auto"/>
                    </w:rPr>
                  </w:pPr>
                  <w:r>
                    <w:rPr>
                      <w:rFonts w:hint="eastAsia"/>
                      <w:color w:val="auto"/>
                      <w:lang w:val="en-US" w:eastAsia="zh-CN"/>
                    </w:rPr>
                    <w:t>51</w:t>
                  </w:r>
                </w:p>
              </w:tc>
              <w:tc>
                <w:tcPr>
                  <w:tcW w:w="1488" w:type="dxa"/>
                  <w:tcBorders>
                    <w:tl2br w:val="nil"/>
                    <w:tr2bl w:val="nil"/>
                  </w:tcBorders>
                  <w:shd w:val="clear" w:color="auto" w:fill="auto"/>
                  <w:vAlign w:val="center"/>
                </w:tcPr>
                <w:p w14:paraId="0644CAE8">
                  <w:pPr>
                    <w:pStyle w:val="23"/>
                    <w:bidi w:val="0"/>
                    <w:rPr>
                      <w:rFonts w:hint="eastAsia"/>
                      <w:color w:val="auto"/>
                    </w:rPr>
                  </w:pPr>
                  <w:r>
                    <w:rPr>
                      <w:rFonts w:hint="eastAsia"/>
                      <w:color w:val="auto"/>
                      <w:lang w:val="en-US" w:eastAsia="zh-CN"/>
                    </w:rPr>
                    <w:t>2</w:t>
                  </w:r>
                </w:p>
              </w:tc>
              <w:tc>
                <w:tcPr>
                  <w:tcW w:w="1204" w:type="dxa"/>
                  <w:tcBorders>
                    <w:tl2br w:val="nil"/>
                    <w:tr2bl w:val="nil"/>
                  </w:tcBorders>
                  <w:shd w:val="clear" w:color="auto" w:fill="auto"/>
                  <w:vAlign w:val="center"/>
                </w:tcPr>
                <w:p w14:paraId="0F0729B5">
                  <w:pPr>
                    <w:pStyle w:val="23"/>
                    <w:bidi w:val="0"/>
                    <w:rPr>
                      <w:rFonts w:hint="eastAsia"/>
                      <w:color w:val="auto"/>
                    </w:rPr>
                  </w:pPr>
                  <w:r>
                    <w:rPr>
                      <w:rFonts w:hint="eastAsia"/>
                      <w:color w:val="auto"/>
                      <w:lang w:val="en-US" w:eastAsia="zh-CN"/>
                    </w:rPr>
                    <w:t>1</w:t>
                  </w:r>
                </w:p>
              </w:tc>
            </w:tr>
            <w:tr w14:paraId="2E423373">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707" w:type="pct"/>
                  <w:vMerge w:val="continue"/>
                  <w:tcBorders>
                    <w:tl2br w:val="nil"/>
                    <w:tr2bl w:val="nil"/>
                  </w:tcBorders>
                  <w:shd w:val="clear" w:color="auto" w:fill="auto"/>
                  <w:vAlign w:val="center"/>
                </w:tcPr>
                <w:p w14:paraId="2DB6D5C9">
                  <w:pPr>
                    <w:pStyle w:val="23"/>
                    <w:bidi w:val="0"/>
                    <w:rPr>
                      <w:rFonts w:hint="eastAsia"/>
                      <w:color w:val="auto"/>
                    </w:rPr>
                  </w:pPr>
                </w:p>
              </w:tc>
              <w:tc>
                <w:tcPr>
                  <w:tcW w:w="707" w:type="pct"/>
                  <w:vMerge w:val="restart"/>
                  <w:tcBorders>
                    <w:tl2br w:val="nil"/>
                    <w:tr2bl w:val="nil"/>
                  </w:tcBorders>
                  <w:shd w:val="clear" w:color="auto" w:fill="auto"/>
                  <w:vAlign w:val="center"/>
                </w:tcPr>
                <w:p w14:paraId="195DBF78">
                  <w:pPr>
                    <w:pStyle w:val="23"/>
                    <w:bidi w:val="0"/>
                    <w:rPr>
                      <w:rFonts w:hint="default"/>
                      <w:color w:val="auto"/>
                    </w:rPr>
                  </w:pPr>
                  <w:r>
                    <w:rPr>
                      <w:rFonts w:hint="default"/>
                      <w:color w:val="auto"/>
                      <w:lang w:val="en-US" w:eastAsia="zh-CN"/>
                    </w:rPr>
                    <w:t>2040年</w:t>
                  </w:r>
                </w:p>
              </w:tc>
              <w:tc>
                <w:tcPr>
                  <w:tcW w:w="1002" w:type="pct"/>
                  <w:tcBorders>
                    <w:tl2br w:val="nil"/>
                    <w:tr2bl w:val="nil"/>
                  </w:tcBorders>
                  <w:shd w:val="clear" w:color="auto" w:fill="auto"/>
                  <w:vAlign w:val="center"/>
                </w:tcPr>
                <w:p w14:paraId="3C36B14D">
                  <w:pPr>
                    <w:pStyle w:val="23"/>
                    <w:bidi w:val="0"/>
                    <w:rPr>
                      <w:rFonts w:hint="eastAsia"/>
                      <w:color w:val="auto"/>
                    </w:rPr>
                  </w:pPr>
                  <w:r>
                    <w:rPr>
                      <w:rFonts w:hint="eastAsia"/>
                      <w:color w:val="auto"/>
                      <w:lang w:val="en-US" w:eastAsia="zh-CN"/>
                    </w:rPr>
                    <w:t>昼间</w:t>
                  </w:r>
                </w:p>
              </w:tc>
              <w:tc>
                <w:tcPr>
                  <w:tcW w:w="1706" w:type="dxa"/>
                  <w:tcBorders>
                    <w:tl2br w:val="nil"/>
                    <w:tr2bl w:val="nil"/>
                  </w:tcBorders>
                  <w:shd w:val="clear" w:color="auto" w:fill="auto"/>
                  <w:vAlign w:val="center"/>
                </w:tcPr>
                <w:p w14:paraId="3CB0C079">
                  <w:pPr>
                    <w:pStyle w:val="23"/>
                    <w:bidi w:val="0"/>
                    <w:rPr>
                      <w:rFonts w:hint="eastAsia"/>
                      <w:color w:val="auto"/>
                    </w:rPr>
                  </w:pPr>
                  <w:r>
                    <w:rPr>
                      <w:rFonts w:hint="eastAsia"/>
                      <w:color w:val="auto"/>
                      <w:lang w:val="en-US" w:eastAsia="zh-CN"/>
                    </w:rPr>
                    <w:t>291</w:t>
                  </w:r>
                </w:p>
              </w:tc>
              <w:tc>
                <w:tcPr>
                  <w:tcW w:w="1488" w:type="dxa"/>
                  <w:tcBorders>
                    <w:tl2br w:val="nil"/>
                    <w:tr2bl w:val="nil"/>
                  </w:tcBorders>
                  <w:shd w:val="clear" w:color="auto" w:fill="auto"/>
                  <w:vAlign w:val="center"/>
                </w:tcPr>
                <w:p w14:paraId="47032BA8">
                  <w:pPr>
                    <w:pStyle w:val="23"/>
                    <w:bidi w:val="0"/>
                    <w:rPr>
                      <w:rFonts w:hint="eastAsia"/>
                      <w:color w:val="auto"/>
                    </w:rPr>
                  </w:pPr>
                  <w:r>
                    <w:rPr>
                      <w:rFonts w:hint="eastAsia"/>
                      <w:color w:val="auto"/>
                      <w:lang w:val="en-US" w:eastAsia="zh-CN"/>
                    </w:rPr>
                    <w:t>10</w:t>
                  </w:r>
                </w:p>
              </w:tc>
              <w:tc>
                <w:tcPr>
                  <w:tcW w:w="1204" w:type="dxa"/>
                  <w:tcBorders>
                    <w:tl2br w:val="nil"/>
                    <w:tr2bl w:val="nil"/>
                  </w:tcBorders>
                  <w:shd w:val="clear" w:color="auto" w:fill="auto"/>
                  <w:vAlign w:val="center"/>
                </w:tcPr>
                <w:p w14:paraId="0E1B8E54">
                  <w:pPr>
                    <w:pStyle w:val="23"/>
                    <w:bidi w:val="0"/>
                    <w:rPr>
                      <w:rFonts w:hint="eastAsia"/>
                      <w:color w:val="auto"/>
                    </w:rPr>
                  </w:pPr>
                  <w:r>
                    <w:rPr>
                      <w:rFonts w:hint="eastAsia"/>
                      <w:color w:val="auto"/>
                      <w:lang w:val="en-US" w:eastAsia="zh-CN"/>
                    </w:rPr>
                    <w:t>6</w:t>
                  </w:r>
                </w:p>
              </w:tc>
            </w:tr>
            <w:tr w14:paraId="55DD12E9">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707" w:type="pct"/>
                  <w:vMerge w:val="continue"/>
                  <w:tcBorders>
                    <w:tl2br w:val="nil"/>
                    <w:tr2bl w:val="nil"/>
                  </w:tcBorders>
                  <w:shd w:val="clear" w:color="auto" w:fill="auto"/>
                  <w:vAlign w:val="center"/>
                </w:tcPr>
                <w:p w14:paraId="393A52C0">
                  <w:pPr>
                    <w:pStyle w:val="23"/>
                    <w:bidi w:val="0"/>
                    <w:rPr>
                      <w:rFonts w:hint="eastAsia"/>
                      <w:color w:val="auto"/>
                    </w:rPr>
                  </w:pPr>
                </w:p>
              </w:tc>
              <w:tc>
                <w:tcPr>
                  <w:tcW w:w="707" w:type="pct"/>
                  <w:vMerge w:val="continue"/>
                  <w:tcBorders>
                    <w:tl2br w:val="nil"/>
                    <w:tr2bl w:val="nil"/>
                  </w:tcBorders>
                  <w:shd w:val="clear" w:color="auto" w:fill="auto"/>
                  <w:vAlign w:val="center"/>
                </w:tcPr>
                <w:p w14:paraId="5028B95A">
                  <w:pPr>
                    <w:pStyle w:val="23"/>
                    <w:bidi w:val="0"/>
                    <w:rPr>
                      <w:rFonts w:hint="default"/>
                      <w:color w:val="auto"/>
                    </w:rPr>
                  </w:pPr>
                </w:p>
              </w:tc>
              <w:tc>
                <w:tcPr>
                  <w:tcW w:w="1002" w:type="pct"/>
                  <w:tcBorders>
                    <w:tl2br w:val="nil"/>
                    <w:tr2bl w:val="nil"/>
                  </w:tcBorders>
                  <w:shd w:val="clear" w:color="auto" w:fill="auto"/>
                  <w:vAlign w:val="center"/>
                </w:tcPr>
                <w:p w14:paraId="42AA89B7">
                  <w:pPr>
                    <w:pStyle w:val="23"/>
                    <w:bidi w:val="0"/>
                    <w:rPr>
                      <w:rFonts w:hint="eastAsia"/>
                      <w:color w:val="auto"/>
                    </w:rPr>
                  </w:pPr>
                  <w:r>
                    <w:rPr>
                      <w:rFonts w:hint="eastAsia"/>
                      <w:color w:val="auto"/>
                      <w:lang w:val="en-US" w:eastAsia="zh-CN"/>
                    </w:rPr>
                    <w:t>夜间</w:t>
                  </w:r>
                </w:p>
              </w:tc>
              <w:tc>
                <w:tcPr>
                  <w:tcW w:w="1706" w:type="dxa"/>
                  <w:tcBorders>
                    <w:tl2br w:val="nil"/>
                    <w:tr2bl w:val="nil"/>
                  </w:tcBorders>
                  <w:shd w:val="clear" w:color="auto" w:fill="auto"/>
                  <w:vAlign w:val="center"/>
                </w:tcPr>
                <w:p w14:paraId="19AA067B">
                  <w:pPr>
                    <w:pStyle w:val="23"/>
                    <w:bidi w:val="0"/>
                    <w:rPr>
                      <w:rFonts w:hint="eastAsia"/>
                      <w:color w:val="auto"/>
                    </w:rPr>
                  </w:pPr>
                  <w:r>
                    <w:rPr>
                      <w:rFonts w:hint="eastAsia"/>
                      <w:color w:val="auto"/>
                      <w:lang w:val="en-US" w:eastAsia="zh-CN"/>
                    </w:rPr>
                    <w:t>65</w:t>
                  </w:r>
                </w:p>
              </w:tc>
              <w:tc>
                <w:tcPr>
                  <w:tcW w:w="1488" w:type="dxa"/>
                  <w:tcBorders>
                    <w:tl2br w:val="nil"/>
                    <w:tr2bl w:val="nil"/>
                  </w:tcBorders>
                  <w:shd w:val="clear" w:color="auto" w:fill="auto"/>
                  <w:vAlign w:val="center"/>
                </w:tcPr>
                <w:p w14:paraId="37E3B488">
                  <w:pPr>
                    <w:pStyle w:val="23"/>
                    <w:bidi w:val="0"/>
                    <w:rPr>
                      <w:rFonts w:hint="eastAsia"/>
                      <w:color w:val="auto"/>
                    </w:rPr>
                  </w:pPr>
                  <w:r>
                    <w:rPr>
                      <w:rFonts w:hint="eastAsia"/>
                      <w:color w:val="auto"/>
                      <w:lang w:val="en-US" w:eastAsia="zh-CN"/>
                    </w:rPr>
                    <w:t>2</w:t>
                  </w:r>
                </w:p>
              </w:tc>
              <w:tc>
                <w:tcPr>
                  <w:tcW w:w="1204" w:type="dxa"/>
                  <w:tcBorders>
                    <w:tl2br w:val="nil"/>
                    <w:tr2bl w:val="nil"/>
                  </w:tcBorders>
                  <w:shd w:val="clear" w:color="auto" w:fill="auto"/>
                  <w:vAlign w:val="center"/>
                </w:tcPr>
                <w:p w14:paraId="14EF5913">
                  <w:pPr>
                    <w:pStyle w:val="23"/>
                    <w:bidi w:val="0"/>
                    <w:rPr>
                      <w:rFonts w:hint="eastAsia"/>
                      <w:color w:val="auto"/>
                    </w:rPr>
                  </w:pPr>
                  <w:r>
                    <w:rPr>
                      <w:rFonts w:hint="eastAsia"/>
                      <w:color w:val="auto"/>
                      <w:lang w:val="en-US" w:eastAsia="zh-CN"/>
                    </w:rPr>
                    <w:t>1</w:t>
                  </w:r>
                </w:p>
              </w:tc>
            </w:tr>
            <w:tr w14:paraId="68A6F4EC">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707" w:type="pct"/>
                  <w:vMerge w:val="restart"/>
                  <w:tcBorders>
                    <w:tl2br w:val="nil"/>
                    <w:tr2bl w:val="nil"/>
                  </w:tcBorders>
                  <w:shd w:val="clear" w:color="auto" w:fill="auto"/>
                  <w:vAlign w:val="center"/>
                </w:tcPr>
                <w:p w14:paraId="47ECA14D">
                  <w:pPr>
                    <w:pStyle w:val="23"/>
                    <w:bidi w:val="0"/>
                    <w:rPr>
                      <w:rFonts w:hint="default"/>
                      <w:color w:val="auto"/>
                      <w:lang w:val="en-US"/>
                    </w:rPr>
                  </w:pPr>
                  <w:r>
                    <w:rPr>
                      <w:rFonts w:hint="eastAsia"/>
                      <w:color w:val="auto"/>
                      <w:lang w:val="en-US" w:eastAsia="zh-CN"/>
                    </w:rPr>
                    <w:t>连接道路</w:t>
                  </w:r>
                </w:p>
              </w:tc>
              <w:tc>
                <w:tcPr>
                  <w:tcW w:w="707" w:type="pct"/>
                  <w:vMerge w:val="restart"/>
                  <w:tcBorders>
                    <w:tl2br w:val="nil"/>
                    <w:tr2bl w:val="nil"/>
                  </w:tcBorders>
                  <w:shd w:val="clear" w:color="auto" w:fill="auto"/>
                  <w:vAlign w:val="center"/>
                </w:tcPr>
                <w:p w14:paraId="0293113F">
                  <w:pPr>
                    <w:pStyle w:val="23"/>
                    <w:bidi w:val="0"/>
                    <w:rPr>
                      <w:rFonts w:hint="default"/>
                      <w:color w:val="auto"/>
                    </w:rPr>
                  </w:pPr>
                  <w:r>
                    <w:rPr>
                      <w:rFonts w:hint="default"/>
                      <w:color w:val="auto"/>
                      <w:lang w:val="en-US" w:eastAsia="zh-CN"/>
                    </w:rPr>
                    <w:t>2026年</w:t>
                  </w:r>
                </w:p>
              </w:tc>
              <w:tc>
                <w:tcPr>
                  <w:tcW w:w="1002" w:type="pct"/>
                  <w:tcBorders>
                    <w:tl2br w:val="nil"/>
                    <w:tr2bl w:val="nil"/>
                  </w:tcBorders>
                  <w:shd w:val="clear" w:color="auto" w:fill="auto"/>
                  <w:vAlign w:val="center"/>
                </w:tcPr>
                <w:p w14:paraId="7E90533A">
                  <w:pPr>
                    <w:pStyle w:val="23"/>
                    <w:bidi w:val="0"/>
                    <w:rPr>
                      <w:rFonts w:hint="eastAsia"/>
                      <w:color w:val="auto"/>
                    </w:rPr>
                  </w:pPr>
                  <w:r>
                    <w:rPr>
                      <w:rFonts w:hint="eastAsia"/>
                      <w:color w:val="auto"/>
                      <w:lang w:val="en-US" w:eastAsia="zh-CN"/>
                    </w:rPr>
                    <w:t>昼间</w:t>
                  </w:r>
                </w:p>
              </w:tc>
              <w:tc>
                <w:tcPr>
                  <w:tcW w:w="1658" w:type="dxa"/>
                  <w:tcBorders>
                    <w:tl2br w:val="nil"/>
                    <w:tr2bl w:val="nil"/>
                  </w:tcBorders>
                  <w:shd w:val="clear" w:color="auto" w:fill="auto"/>
                  <w:vAlign w:val="center"/>
                </w:tcPr>
                <w:p w14:paraId="5C263995">
                  <w:pPr>
                    <w:pStyle w:val="23"/>
                    <w:bidi w:val="0"/>
                    <w:rPr>
                      <w:rFonts w:hint="eastAsia"/>
                      <w:color w:val="auto"/>
                    </w:rPr>
                  </w:pPr>
                  <w:r>
                    <w:rPr>
                      <w:rFonts w:hint="eastAsia"/>
                      <w:color w:val="auto"/>
                      <w:lang w:val="en-US" w:eastAsia="zh-CN"/>
                    </w:rPr>
                    <w:t>111</w:t>
                  </w:r>
                </w:p>
              </w:tc>
              <w:tc>
                <w:tcPr>
                  <w:tcW w:w="1446" w:type="dxa"/>
                  <w:tcBorders>
                    <w:tl2br w:val="nil"/>
                    <w:tr2bl w:val="nil"/>
                  </w:tcBorders>
                  <w:shd w:val="clear" w:color="auto" w:fill="auto"/>
                  <w:vAlign w:val="center"/>
                </w:tcPr>
                <w:p w14:paraId="604D26D9">
                  <w:pPr>
                    <w:pStyle w:val="23"/>
                    <w:bidi w:val="0"/>
                    <w:rPr>
                      <w:rFonts w:hint="eastAsia"/>
                      <w:color w:val="auto"/>
                    </w:rPr>
                  </w:pPr>
                  <w:r>
                    <w:rPr>
                      <w:rFonts w:hint="eastAsia"/>
                      <w:color w:val="auto"/>
                      <w:lang w:val="en-US" w:eastAsia="zh-CN"/>
                    </w:rPr>
                    <w:t>4</w:t>
                  </w:r>
                </w:p>
              </w:tc>
              <w:tc>
                <w:tcPr>
                  <w:tcW w:w="1170" w:type="dxa"/>
                  <w:tcBorders>
                    <w:tl2br w:val="nil"/>
                    <w:tr2bl w:val="nil"/>
                  </w:tcBorders>
                  <w:shd w:val="clear" w:color="auto" w:fill="auto"/>
                  <w:vAlign w:val="center"/>
                </w:tcPr>
                <w:p w14:paraId="30B4A421">
                  <w:pPr>
                    <w:pStyle w:val="23"/>
                    <w:bidi w:val="0"/>
                    <w:rPr>
                      <w:rFonts w:hint="eastAsia"/>
                      <w:color w:val="auto"/>
                    </w:rPr>
                  </w:pPr>
                  <w:r>
                    <w:rPr>
                      <w:rFonts w:hint="eastAsia"/>
                      <w:color w:val="auto"/>
                      <w:lang w:val="en-US" w:eastAsia="zh-CN"/>
                    </w:rPr>
                    <w:t>2</w:t>
                  </w:r>
                </w:p>
              </w:tc>
            </w:tr>
            <w:tr w14:paraId="3DF99231">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707" w:type="pct"/>
                  <w:vMerge w:val="continue"/>
                  <w:tcBorders>
                    <w:tl2br w:val="nil"/>
                    <w:tr2bl w:val="nil"/>
                  </w:tcBorders>
                  <w:shd w:val="clear" w:color="auto" w:fill="auto"/>
                  <w:vAlign w:val="center"/>
                </w:tcPr>
                <w:p w14:paraId="2F10840E">
                  <w:pPr>
                    <w:pStyle w:val="23"/>
                    <w:bidi w:val="0"/>
                    <w:rPr>
                      <w:rFonts w:hint="eastAsia"/>
                      <w:color w:val="auto"/>
                    </w:rPr>
                  </w:pPr>
                </w:p>
              </w:tc>
              <w:tc>
                <w:tcPr>
                  <w:tcW w:w="707" w:type="pct"/>
                  <w:vMerge w:val="continue"/>
                  <w:tcBorders>
                    <w:tl2br w:val="nil"/>
                    <w:tr2bl w:val="nil"/>
                  </w:tcBorders>
                  <w:shd w:val="clear" w:color="auto" w:fill="auto"/>
                  <w:vAlign w:val="center"/>
                </w:tcPr>
                <w:p w14:paraId="2E43B5A0">
                  <w:pPr>
                    <w:pStyle w:val="23"/>
                    <w:bidi w:val="0"/>
                    <w:rPr>
                      <w:rFonts w:hint="default"/>
                      <w:color w:val="auto"/>
                    </w:rPr>
                  </w:pPr>
                </w:p>
              </w:tc>
              <w:tc>
                <w:tcPr>
                  <w:tcW w:w="1002" w:type="pct"/>
                  <w:tcBorders>
                    <w:tl2br w:val="nil"/>
                    <w:tr2bl w:val="nil"/>
                  </w:tcBorders>
                  <w:shd w:val="clear" w:color="auto" w:fill="auto"/>
                  <w:vAlign w:val="center"/>
                </w:tcPr>
                <w:p w14:paraId="6A992B46">
                  <w:pPr>
                    <w:pStyle w:val="23"/>
                    <w:bidi w:val="0"/>
                    <w:rPr>
                      <w:rFonts w:hint="eastAsia"/>
                      <w:color w:val="auto"/>
                    </w:rPr>
                  </w:pPr>
                  <w:r>
                    <w:rPr>
                      <w:rFonts w:hint="eastAsia"/>
                      <w:color w:val="auto"/>
                      <w:lang w:val="en-US" w:eastAsia="zh-CN"/>
                    </w:rPr>
                    <w:t>夜间</w:t>
                  </w:r>
                </w:p>
              </w:tc>
              <w:tc>
                <w:tcPr>
                  <w:tcW w:w="1658" w:type="dxa"/>
                  <w:tcBorders>
                    <w:tl2br w:val="nil"/>
                    <w:tr2bl w:val="nil"/>
                  </w:tcBorders>
                  <w:shd w:val="clear" w:color="auto" w:fill="auto"/>
                  <w:vAlign w:val="center"/>
                </w:tcPr>
                <w:p w14:paraId="6EBA1444">
                  <w:pPr>
                    <w:pStyle w:val="23"/>
                    <w:bidi w:val="0"/>
                    <w:rPr>
                      <w:rFonts w:hint="eastAsia"/>
                      <w:color w:val="auto"/>
                    </w:rPr>
                  </w:pPr>
                  <w:r>
                    <w:rPr>
                      <w:rFonts w:hint="eastAsia"/>
                      <w:color w:val="auto"/>
                      <w:lang w:val="en-US" w:eastAsia="zh-CN"/>
                    </w:rPr>
                    <w:t xml:space="preserve">25 </w:t>
                  </w:r>
                </w:p>
              </w:tc>
              <w:tc>
                <w:tcPr>
                  <w:tcW w:w="1446" w:type="dxa"/>
                  <w:tcBorders>
                    <w:tl2br w:val="nil"/>
                    <w:tr2bl w:val="nil"/>
                  </w:tcBorders>
                  <w:shd w:val="clear" w:color="auto" w:fill="auto"/>
                  <w:vAlign w:val="center"/>
                </w:tcPr>
                <w:p w14:paraId="74711ED1">
                  <w:pPr>
                    <w:pStyle w:val="23"/>
                    <w:bidi w:val="0"/>
                    <w:rPr>
                      <w:rFonts w:hint="eastAsia"/>
                      <w:color w:val="auto"/>
                    </w:rPr>
                  </w:pPr>
                  <w:r>
                    <w:rPr>
                      <w:rFonts w:hint="eastAsia"/>
                      <w:color w:val="auto"/>
                      <w:lang w:val="en-US" w:eastAsia="zh-CN"/>
                    </w:rPr>
                    <w:t>1</w:t>
                  </w:r>
                </w:p>
              </w:tc>
              <w:tc>
                <w:tcPr>
                  <w:tcW w:w="1170" w:type="dxa"/>
                  <w:tcBorders>
                    <w:tl2br w:val="nil"/>
                    <w:tr2bl w:val="nil"/>
                  </w:tcBorders>
                  <w:shd w:val="clear" w:color="auto" w:fill="auto"/>
                  <w:vAlign w:val="center"/>
                </w:tcPr>
                <w:p w14:paraId="631066BD">
                  <w:pPr>
                    <w:pStyle w:val="23"/>
                    <w:bidi w:val="0"/>
                    <w:rPr>
                      <w:rFonts w:hint="eastAsia"/>
                      <w:color w:val="auto"/>
                    </w:rPr>
                  </w:pPr>
                  <w:r>
                    <w:rPr>
                      <w:rFonts w:hint="eastAsia"/>
                      <w:color w:val="auto"/>
                      <w:lang w:val="en-US" w:eastAsia="zh-CN"/>
                    </w:rPr>
                    <w:t>1</w:t>
                  </w:r>
                </w:p>
              </w:tc>
            </w:tr>
            <w:tr w14:paraId="55D3E73E">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707" w:type="pct"/>
                  <w:vMerge w:val="continue"/>
                  <w:tcBorders>
                    <w:tl2br w:val="nil"/>
                    <w:tr2bl w:val="nil"/>
                  </w:tcBorders>
                  <w:shd w:val="clear" w:color="auto" w:fill="auto"/>
                  <w:vAlign w:val="center"/>
                </w:tcPr>
                <w:p w14:paraId="1CAB7410">
                  <w:pPr>
                    <w:pStyle w:val="23"/>
                    <w:bidi w:val="0"/>
                    <w:rPr>
                      <w:rFonts w:hint="eastAsia"/>
                      <w:color w:val="auto"/>
                    </w:rPr>
                  </w:pPr>
                </w:p>
              </w:tc>
              <w:tc>
                <w:tcPr>
                  <w:tcW w:w="707" w:type="pct"/>
                  <w:vMerge w:val="restart"/>
                  <w:tcBorders>
                    <w:tl2br w:val="nil"/>
                    <w:tr2bl w:val="nil"/>
                  </w:tcBorders>
                  <w:shd w:val="clear" w:color="auto" w:fill="auto"/>
                  <w:vAlign w:val="center"/>
                </w:tcPr>
                <w:p w14:paraId="78020E25">
                  <w:pPr>
                    <w:pStyle w:val="23"/>
                    <w:bidi w:val="0"/>
                    <w:rPr>
                      <w:rFonts w:hint="default"/>
                      <w:color w:val="auto"/>
                    </w:rPr>
                  </w:pPr>
                  <w:r>
                    <w:rPr>
                      <w:rFonts w:hint="default"/>
                      <w:color w:val="auto"/>
                      <w:lang w:val="en-US" w:eastAsia="zh-CN"/>
                    </w:rPr>
                    <w:t>2032年</w:t>
                  </w:r>
                </w:p>
              </w:tc>
              <w:tc>
                <w:tcPr>
                  <w:tcW w:w="1002" w:type="pct"/>
                  <w:tcBorders>
                    <w:tl2br w:val="nil"/>
                    <w:tr2bl w:val="nil"/>
                  </w:tcBorders>
                  <w:shd w:val="clear" w:color="auto" w:fill="auto"/>
                  <w:vAlign w:val="center"/>
                </w:tcPr>
                <w:p w14:paraId="4719456E">
                  <w:pPr>
                    <w:pStyle w:val="23"/>
                    <w:bidi w:val="0"/>
                    <w:rPr>
                      <w:rFonts w:hint="eastAsia"/>
                      <w:color w:val="auto"/>
                    </w:rPr>
                  </w:pPr>
                  <w:r>
                    <w:rPr>
                      <w:rFonts w:hint="eastAsia"/>
                      <w:color w:val="auto"/>
                      <w:lang w:val="en-US" w:eastAsia="zh-CN"/>
                    </w:rPr>
                    <w:t>昼间</w:t>
                  </w:r>
                </w:p>
              </w:tc>
              <w:tc>
                <w:tcPr>
                  <w:tcW w:w="1658" w:type="dxa"/>
                  <w:tcBorders>
                    <w:tl2br w:val="nil"/>
                    <w:tr2bl w:val="nil"/>
                  </w:tcBorders>
                  <w:shd w:val="clear" w:color="auto" w:fill="auto"/>
                  <w:vAlign w:val="center"/>
                </w:tcPr>
                <w:p w14:paraId="405F62A7">
                  <w:pPr>
                    <w:pStyle w:val="23"/>
                    <w:bidi w:val="0"/>
                    <w:rPr>
                      <w:rFonts w:hint="eastAsia"/>
                      <w:color w:val="auto"/>
                    </w:rPr>
                  </w:pPr>
                  <w:r>
                    <w:rPr>
                      <w:rFonts w:hint="eastAsia"/>
                      <w:color w:val="auto"/>
                      <w:lang w:val="en-US" w:eastAsia="zh-CN"/>
                    </w:rPr>
                    <w:t>179</w:t>
                  </w:r>
                </w:p>
              </w:tc>
              <w:tc>
                <w:tcPr>
                  <w:tcW w:w="1446" w:type="dxa"/>
                  <w:tcBorders>
                    <w:tl2br w:val="nil"/>
                    <w:tr2bl w:val="nil"/>
                  </w:tcBorders>
                  <w:shd w:val="clear" w:color="auto" w:fill="auto"/>
                  <w:vAlign w:val="center"/>
                </w:tcPr>
                <w:p w14:paraId="50256E25">
                  <w:pPr>
                    <w:pStyle w:val="23"/>
                    <w:bidi w:val="0"/>
                    <w:rPr>
                      <w:rFonts w:hint="eastAsia"/>
                      <w:color w:val="auto"/>
                    </w:rPr>
                  </w:pPr>
                  <w:r>
                    <w:rPr>
                      <w:rFonts w:hint="eastAsia"/>
                      <w:color w:val="auto"/>
                      <w:lang w:val="en-US" w:eastAsia="zh-CN"/>
                    </w:rPr>
                    <w:t>6</w:t>
                  </w:r>
                </w:p>
              </w:tc>
              <w:tc>
                <w:tcPr>
                  <w:tcW w:w="1170" w:type="dxa"/>
                  <w:tcBorders>
                    <w:tl2br w:val="nil"/>
                    <w:tr2bl w:val="nil"/>
                  </w:tcBorders>
                  <w:shd w:val="clear" w:color="auto" w:fill="auto"/>
                  <w:vAlign w:val="center"/>
                </w:tcPr>
                <w:p w14:paraId="4725E6CD">
                  <w:pPr>
                    <w:pStyle w:val="23"/>
                    <w:bidi w:val="0"/>
                    <w:rPr>
                      <w:rFonts w:hint="eastAsia"/>
                      <w:color w:val="auto"/>
                    </w:rPr>
                  </w:pPr>
                  <w:r>
                    <w:rPr>
                      <w:rFonts w:hint="eastAsia"/>
                      <w:color w:val="auto"/>
                      <w:lang w:val="en-US" w:eastAsia="zh-CN"/>
                    </w:rPr>
                    <w:t>4</w:t>
                  </w:r>
                </w:p>
              </w:tc>
            </w:tr>
            <w:tr w14:paraId="6358B881">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707" w:type="pct"/>
                  <w:vMerge w:val="continue"/>
                  <w:tcBorders>
                    <w:tl2br w:val="nil"/>
                    <w:tr2bl w:val="nil"/>
                  </w:tcBorders>
                  <w:shd w:val="clear" w:color="auto" w:fill="auto"/>
                  <w:vAlign w:val="center"/>
                </w:tcPr>
                <w:p w14:paraId="5C58A63C">
                  <w:pPr>
                    <w:pStyle w:val="23"/>
                    <w:bidi w:val="0"/>
                    <w:rPr>
                      <w:rFonts w:hint="eastAsia"/>
                      <w:color w:val="auto"/>
                    </w:rPr>
                  </w:pPr>
                </w:p>
              </w:tc>
              <w:tc>
                <w:tcPr>
                  <w:tcW w:w="707" w:type="pct"/>
                  <w:vMerge w:val="continue"/>
                  <w:tcBorders>
                    <w:tl2br w:val="nil"/>
                    <w:tr2bl w:val="nil"/>
                  </w:tcBorders>
                  <w:shd w:val="clear" w:color="auto" w:fill="auto"/>
                  <w:vAlign w:val="center"/>
                </w:tcPr>
                <w:p w14:paraId="457C4F95">
                  <w:pPr>
                    <w:pStyle w:val="23"/>
                    <w:bidi w:val="0"/>
                    <w:rPr>
                      <w:rFonts w:hint="default"/>
                      <w:color w:val="auto"/>
                    </w:rPr>
                  </w:pPr>
                </w:p>
              </w:tc>
              <w:tc>
                <w:tcPr>
                  <w:tcW w:w="1002" w:type="pct"/>
                  <w:tcBorders>
                    <w:tl2br w:val="nil"/>
                    <w:tr2bl w:val="nil"/>
                  </w:tcBorders>
                  <w:shd w:val="clear" w:color="auto" w:fill="auto"/>
                  <w:vAlign w:val="center"/>
                </w:tcPr>
                <w:p w14:paraId="642C9FCC">
                  <w:pPr>
                    <w:pStyle w:val="23"/>
                    <w:bidi w:val="0"/>
                    <w:rPr>
                      <w:rFonts w:hint="eastAsia"/>
                      <w:color w:val="auto"/>
                    </w:rPr>
                  </w:pPr>
                  <w:r>
                    <w:rPr>
                      <w:rFonts w:hint="eastAsia"/>
                      <w:color w:val="auto"/>
                      <w:lang w:val="en-US" w:eastAsia="zh-CN"/>
                    </w:rPr>
                    <w:t>夜间</w:t>
                  </w:r>
                </w:p>
              </w:tc>
              <w:tc>
                <w:tcPr>
                  <w:tcW w:w="1658" w:type="dxa"/>
                  <w:tcBorders>
                    <w:tl2br w:val="nil"/>
                    <w:tr2bl w:val="nil"/>
                  </w:tcBorders>
                  <w:shd w:val="clear" w:color="auto" w:fill="auto"/>
                  <w:vAlign w:val="center"/>
                </w:tcPr>
                <w:p w14:paraId="7EC49C4A">
                  <w:pPr>
                    <w:pStyle w:val="23"/>
                    <w:bidi w:val="0"/>
                    <w:rPr>
                      <w:rFonts w:hint="eastAsia"/>
                      <w:color w:val="auto"/>
                    </w:rPr>
                  </w:pPr>
                  <w:r>
                    <w:rPr>
                      <w:rFonts w:hint="eastAsia"/>
                      <w:color w:val="auto"/>
                      <w:lang w:val="en-US" w:eastAsia="zh-CN"/>
                    </w:rPr>
                    <w:t>40</w:t>
                  </w:r>
                </w:p>
              </w:tc>
              <w:tc>
                <w:tcPr>
                  <w:tcW w:w="1446" w:type="dxa"/>
                  <w:tcBorders>
                    <w:tl2br w:val="nil"/>
                    <w:tr2bl w:val="nil"/>
                  </w:tcBorders>
                  <w:shd w:val="clear" w:color="auto" w:fill="auto"/>
                  <w:vAlign w:val="center"/>
                </w:tcPr>
                <w:p w14:paraId="4ADB740D">
                  <w:pPr>
                    <w:pStyle w:val="23"/>
                    <w:bidi w:val="0"/>
                    <w:rPr>
                      <w:rFonts w:hint="eastAsia"/>
                      <w:color w:val="auto"/>
                    </w:rPr>
                  </w:pPr>
                  <w:r>
                    <w:rPr>
                      <w:rFonts w:hint="eastAsia"/>
                      <w:color w:val="auto"/>
                      <w:lang w:val="en-US" w:eastAsia="zh-CN"/>
                    </w:rPr>
                    <w:t>1</w:t>
                  </w:r>
                </w:p>
              </w:tc>
              <w:tc>
                <w:tcPr>
                  <w:tcW w:w="1170" w:type="dxa"/>
                  <w:tcBorders>
                    <w:tl2br w:val="nil"/>
                    <w:tr2bl w:val="nil"/>
                  </w:tcBorders>
                  <w:shd w:val="clear" w:color="auto" w:fill="auto"/>
                  <w:vAlign w:val="center"/>
                </w:tcPr>
                <w:p w14:paraId="169DEA2C">
                  <w:pPr>
                    <w:pStyle w:val="23"/>
                    <w:bidi w:val="0"/>
                    <w:rPr>
                      <w:rFonts w:hint="eastAsia"/>
                      <w:color w:val="auto"/>
                    </w:rPr>
                  </w:pPr>
                  <w:r>
                    <w:rPr>
                      <w:rFonts w:hint="eastAsia"/>
                      <w:color w:val="auto"/>
                      <w:lang w:val="en-US" w:eastAsia="zh-CN"/>
                    </w:rPr>
                    <w:t>1</w:t>
                  </w:r>
                </w:p>
              </w:tc>
            </w:tr>
            <w:tr w14:paraId="5176AABA">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707" w:type="pct"/>
                  <w:vMerge w:val="continue"/>
                  <w:tcBorders>
                    <w:tl2br w:val="nil"/>
                    <w:tr2bl w:val="nil"/>
                  </w:tcBorders>
                  <w:shd w:val="clear" w:color="auto" w:fill="auto"/>
                  <w:vAlign w:val="center"/>
                </w:tcPr>
                <w:p w14:paraId="21BA692B">
                  <w:pPr>
                    <w:pStyle w:val="23"/>
                    <w:bidi w:val="0"/>
                    <w:rPr>
                      <w:rFonts w:hint="eastAsia"/>
                      <w:color w:val="auto"/>
                    </w:rPr>
                  </w:pPr>
                </w:p>
              </w:tc>
              <w:tc>
                <w:tcPr>
                  <w:tcW w:w="707" w:type="pct"/>
                  <w:vMerge w:val="restart"/>
                  <w:tcBorders>
                    <w:tl2br w:val="nil"/>
                    <w:tr2bl w:val="nil"/>
                  </w:tcBorders>
                  <w:shd w:val="clear" w:color="auto" w:fill="auto"/>
                  <w:vAlign w:val="center"/>
                </w:tcPr>
                <w:p w14:paraId="37956AB2">
                  <w:pPr>
                    <w:pStyle w:val="23"/>
                    <w:bidi w:val="0"/>
                    <w:rPr>
                      <w:rFonts w:hint="default"/>
                      <w:color w:val="auto"/>
                    </w:rPr>
                  </w:pPr>
                  <w:r>
                    <w:rPr>
                      <w:rFonts w:hint="default"/>
                      <w:color w:val="auto"/>
                      <w:lang w:val="en-US" w:eastAsia="zh-CN"/>
                    </w:rPr>
                    <w:t>2040年</w:t>
                  </w:r>
                </w:p>
              </w:tc>
              <w:tc>
                <w:tcPr>
                  <w:tcW w:w="1002" w:type="pct"/>
                  <w:tcBorders>
                    <w:tl2br w:val="nil"/>
                    <w:tr2bl w:val="nil"/>
                  </w:tcBorders>
                  <w:shd w:val="clear" w:color="auto" w:fill="auto"/>
                  <w:vAlign w:val="center"/>
                </w:tcPr>
                <w:p w14:paraId="26CEB357">
                  <w:pPr>
                    <w:pStyle w:val="23"/>
                    <w:bidi w:val="0"/>
                    <w:rPr>
                      <w:rFonts w:hint="eastAsia"/>
                      <w:color w:val="auto"/>
                    </w:rPr>
                  </w:pPr>
                  <w:r>
                    <w:rPr>
                      <w:rFonts w:hint="eastAsia"/>
                      <w:color w:val="auto"/>
                      <w:lang w:val="en-US" w:eastAsia="zh-CN"/>
                    </w:rPr>
                    <w:t>昼间</w:t>
                  </w:r>
                </w:p>
              </w:tc>
              <w:tc>
                <w:tcPr>
                  <w:tcW w:w="1658" w:type="dxa"/>
                  <w:tcBorders>
                    <w:tl2br w:val="nil"/>
                    <w:tr2bl w:val="nil"/>
                  </w:tcBorders>
                  <w:shd w:val="clear" w:color="auto" w:fill="auto"/>
                  <w:vAlign w:val="center"/>
                </w:tcPr>
                <w:p w14:paraId="69D07D92">
                  <w:pPr>
                    <w:pStyle w:val="23"/>
                    <w:bidi w:val="0"/>
                    <w:rPr>
                      <w:rFonts w:hint="eastAsia"/>
                      <w:color w:val="auto"/>
                    </w:rPr>
                  </w:pPr>
                  <w:r>
                    <w:rPr>
                      <w:rFonts w:hint="eastAsia"/>
                      <w:color w:val="auto"/>
                      <w:lang w:val="en-US" w:eastAsia="zh-CN"/>
                    </w:rPr>
                    <w:t>216</w:t>
                  </w:r>
                </w:p>
              </w:tc>
              <w:tc>
                <w:tcPr>
                  <w:tcW w:w="1446" w:type="dxa"/>
                  <w:tcBorders>
                    <w:tl2br w:val="nil"/>
                    <w:tr2bl w:val="nil"/>
                  </w:tcBorders>
                  <w:shd w:val="clear" w:color="auto" w:fill="auto"/>
                  <w:vAlign w:val="center"/>
                </w:tcPr>
                <w:p w14:paraId="469A2D2C">
                  <w:pPr>
                    <w:pStyle w:val="23"/>
                    <w:bidi w:val="0"/>
                    <w:rPr>
                      <w:rFonts w:hint="eastAsia"/>
                      <w:color w:val="auto"/>
                    </w:rPr>
                  </w:pPr>
                  <w:r>
                    <w:rPr>
                      <w:rFonts w:hint="eastAsia"/>
                      <w:color w:val="auto"/>
                      <w:lang w:val="en-US" w:eastAsia="zh-CN"/>
                    </w:rPr>
                    <w:t>7</w:t>
                  </w:r>
                </w:p>
              </w:tc>
              <w:tc>
                <w:tcPr>
                  <w:tcW w:w="1170" w:type="dxa"/>
                  <w:tcBorders>
                    <w:tl2br w:val="nil"/>
                    <w:tr2bl w:val="nil"/>
                  </w:tcBorders>
                  <w:shd w:val="clear" w:color="auto" w:fill="auto"/>
                  <w:vAlign w:val="center"/>
                </w:tcPr>
                <w:p w14:paraId="56FDBB5B">
                  <w:pPr>
                    <w:pStyle w:val="23"/>
                    <w:bidi w:val="0"/>
                    <w:rPr>
                      <w:rFonts w:hint="eastAsia"/>
                      <w:color w:val="auto"/>
                    </w:rPr>
                  </w:pPr>
                  <w:r>
                    <w:rPr>
                      <w:rFonts w:hint="eastAsia"/>
                      <w:color w:val="auto"/>
                      <w:lang w:val="en-US" w:eastAsia="zh-CN"/>
                    </w:rPr>
                    <w:t>5</w:t>
                  </w:r>
                </w:p>
              </w:tc>
            </w:tr>
            <w:tr w14:paraId="235B5434">
              <w:tblPrEx>
                <w:tblBorders>
                  <w:top w:val="single" w:color="000000" w:sz="12" w:space="0"/>
                  <w:left w:val="none" w:color="auto" w:sz="0" w:space="0"/>
                  <w:bottom w:val="single" w:color="000000" w:sz="12" w:space="0"/>
                  <w:right w:val="dotted" w:color="000000" w:sz="4"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00" w:hRule="atLeast"/>
              </w:trPr>
              <w:tc>
                <w:tcPr>
                  <w:tcW w:w="707" w:type="pct"/>
                  <w:vMerge w:val="continue"/>
                  <w:tcBorders>
                    <w:tl2br w:val="nil"/>
                    <w:tr2bl w:val="nil"/>
                  </w:tcBorders>
                  <w:shd w:val="clear" w:color="auto" w:fill="auto"/>
                  <w:vAlign w:val="center"/>
                </w:tcPr>
                <w:p w14:paraId="0E8DDA7B">
                  <w:pPr>
                    <w:pStyle w:val="23"/>
                    <w:bidi w:val="0"/>
                    <w:rPr>
                      <w:rFonts w:hint="eastAsia"/>
                      <w:color w:val="auto"/>
                    </w:rPr>
                  </w:pPr>
                </w:p>
              </w:tc>
              <w:tc>
                <w:tcPr>
                  <w:tcW w:w="707" w:type="pct"/>
                  <w:vMerge w:val="continue"/>
                  <w:tcBorders>
                    <w:tl2br w:val="nil"/>
                    <w:tr2bl w:val="nil"/>
                  </w:tcBorders>
                  <w:shd w:val="clear" w:color="auto" w:fill="auto"/>
                  <w:vAlign w:val="center"/>
                </w:tcPr>
                <w:p w14:paraId="52C8402B">
                  <w:pPr>
                    <w:pStyle w:val="23"/>
                    <w:bidi w:val="0"/>
                    <w:rPr>
                      <w:rFonts w:hint="default"/>
                      <w:color w:val="auto"/>
                    </w:rPr>
                  </w:pPr>
                </w:p>
              </w:tc>
              <w:tc>
                <w:tcPr>
                  <w:tcW w:w="1002" w:type="pct"/>
                  <w:tcBorders>
                    <w:tl2br w:val="nil"/>
                    <w:tr2bl w:val="nil"/>
                  </w:tcBorders>
                  <w:shd w:val="clear" w:color="auto" w:fill="auto"/>
                  <w:vAlign w:val="center"/>
                </w:tcPr>
                <w:p w14:paraId="19BB5851">
                  <w:pPr>
                    <w:pStyle w:val="23"/>
                    <w:bidi w:val="0"/>
                    <w:rPr>
                      <w:rFonts w:hint="eastAsia"/>
                      <w:color w:val="auto"/>
                    </w:rPr>
                  </w:pPr>
                  <w:r>
                    <w:rPr>
                      <w:rFonts w:hint="eastAsia"/>
                      <w:color w:val="auto"/>
                      <w:lang w:val="en-US" w:eastAsia="zh-CN"/>
                    </w:rPr>
                    <w:t>夜间</w:t>
                  </w:r>
                </w:p>
              </w:tc>
              <w:tc>
                <w:tcPr>
                  <w:tcW w:w="1658" w:type="dxa"/>
                  <w:tcBorders>
                    <w:tl2br w:val="nil"/>
                    <w:tr2bl w:val="nil"/>
                  </w:tcBorders>
                  <w:shd w:val="clear" w:color="auto" w:fill="auto"/>
                  <w:vAlign w:val="center"/>
                </w:tcPr>
                <w:p w14:paraId="3B49DE56">
                  <w:pPr>
                    <w:pStyle w:val="23"/>
                    <w:bidi w:val="0"/>
                    <w:rPr>
                      <w:rFonts w:hint="eastAsia"/>
                      <w:color w:val="auto"/>
                    </w:rPr>
                  </w:pPr>
                  <w:r>
                    <w:rPr>
                      <w:rFonts w:hint="eastAsia"/>
                      <w:color w:val="auto"/>
                      <w:lang w:val="en-US" w:eastAsia="zh-CN"/>
                    </w:rPr>
                    <w:t>48</w:t>
                  </w:r>
                </w:p>
              </w:tc>
              <w:tc>
                <w:tcPr>
                  <w:tcW w:w="1446" w:type="dxa"/>
                  <w:tcBorders>
                    <w:tl2br w:val="nil"/>
                    <w:tr2bl w:val="nil"/>
                  </w:tcBorders>
                  <w:shd w:val="clear" w:color="auto" w:fill="auto"/>
                  <w:vAlign w:val="center"/>
                </w:tcPr>
                <w:p w14:paraId="10D151E1">
                  <w:pPr>
                    <w:pStyle w:val="23"/>
                    <w:bidi w:val="0"/>
                    <w:rPr>
                      <w:rFonts w:hint="eastAsia"/>
                      <w:color w:val="auto"/>
                    </w:rPr>
                  </w:pPr>
                  <w:r>
                    <w:rPr>
                      <w:rFonts w:hint="eastAsia"/>
                      <w:color w:val="auto"/>
                      <w:lang w:val="en-US" w:eastAsia="zh-CN"/>
                    </w:rPr>
                    <w:t>2</w:t>
                  </w:r>
                </w:p>
              </w:tc>
              <w:tc>
                <w:tcPr>
                  <w:tcW w:w="1170" w:type="dxa"/>
                  <w:tcBorders>
                    <w:tl2br w:val="nil"/>
                    <w:tr2bl w:val="nil"/>
                  </w:tcBorders>
                  <w:shd w:val="clear" w:color="auto" w:fill="auto"/>
                  <w:vAlign w:val="center"/>
                </w:tcPr>
                <w:p w14:paraId="230AF4E5">
                  <w:pPr>
                    <w:pStyle w:val="23"/>
                    <w:bidi w:val="0"/>
                    <w:rPr>
                      <w:rFonts w:hint="eastAsia"/>
                      <w:color w:val="auto"/>
                    </w:rPr>
                  </w:pPr>
                  <w:r>
                    <w:rPr>
                      <w:rFonts w:hint="eastAsia"/>
                      <w:color w:val="auto"/>
                      <w:lang w:val="en-US" w:eastAsia="zh-CN"/>
                    </w:rPr>
                    <w:t>1</w:t>
                  </w:r>
                </w:p>
              </w:tc>
            </w:tr>
          </w:tbl>
          <w:p w14:paraId="46E5E953">
            <w:pPr>
              <w:pStyle w:val="21"/>
              <w:bidi w:val="0"/>
              <w:rPr>
                <w:color w:val="auto"/>
              </w:rPr>
            </w:pPr>
          </w:p>
        </w:tc>
      </w:tr>
      <w:tr w14:paraId="01A09F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5" w:type="dxa"/>
            <w:vAlign w:val="center"/>
          </w:tcPr>
          <w:p w14:paraId="542A13C1">
            <w:pPr>
              <w:rPr>
                <w:rFonts w:hint="eastAsia"/>
                <w:color w:val="auto"/>
              </w:rPr>
            </w:pPr>
            <w:r>
              <w:rPr>
                <w:rFonts w:hint="eastAsia"/>
                <w:color w:val="auto"/>
              </w:rPr>
              <w:t>总平面及现场布置</w:t>
            </w:r>
          </w:p>
        </w:tc>
        <w:tc>
          <w:tcPr>
            <w:tcW w:w="8495" w:type="dxa"/>
            <w:vAlign w:val="center"/>
          </w:tcPr>
          <w:p w14:paraId="64E64731">
            <w:pPr>
              <w:pStyle w:val="3"/>
              <w:bidi w:val="0"/>
              <w:rPr>
                <w:color w:val="auto"/>
              </w:rPr>
            </w:pPr>
            <w:r>
              <w:rPr>
                <w:rFonts w:hint="eastAsia"/>
                <w:color w:val="auto"/>
              </w:rPr>
              <w:t>总平面及现场布置</w:t>
            </w:r>
          </w:p>
          <w:p w14:paraId="33671858">
            <w:pPr>
              <w:pStyle w:val="4"/>
              <w:bidi w:val="0"/>
              <w:rPr>
                <w:color w:val="auto"/>
              </w:rPr>
            </w:pPr>
            <w:r>
              <w:rPr>
                <w:rFonts w:hint="eastAsia"/>
                <w:color w:val="auto"/>
              </w:rPr>
              <w:t>总平面布置</w:t>
            </w:r>
          </w:p>
          <w:p w14:paraId="32531034">
            <w:pPr>
              <w:pStyle w:val="21"/>
              <w:bidi w:val="0"/>
              <w:rPr>
                <w:rFonts w:hint="eastAsia"/>
                <w:color w:val="auto"/>
                <w:lang w:val="en-US" w:eastAsia="zh-CN"/>
              </w:rPr>
            </w:pPr>
            <w:r>
              <w:rPr>
                <w:rFonts w:hint="eastAsia"/>
                <w:color w:val="auto"/>
                <w:lang w:val="en-US" w:eastAsia="zh-CN"/>
              </w:rPr>
              <w:t>1号桥起点接甘溪街，向东跨甘溪沟后终点接万达车库出入口；2号桥起点接甘溪街，向东跨甘溪沟后终点接万达地面广场；连接道路起点接万胜路辅道，向南延伸，终点与夔州西路相交。</w:t>
            </w:r>
          </w:p>
          <w:p w14:paraId="760E0CA1">
            <w:pPr>
              <w:pStyle w:val="3"/>
              <w:bidi w:val="0"/>
              <w:rPr>
                <w:rFonts w:hint="eastAsia"/>
                <w:color w:val="auto"/>
              </w:rPr>
            </w:pPr>
            <w:r>
              <w:rPr>
                <w:rFonts w:hint="eastAsia"/>
                <w:color w:val="auto"/>
              </w:rPr>
              <w:t>施工组织及施工布局</w:t>
            </w:r>
          </w:p>
          <w:p w14:paraId="2EDC0C83">
            <w:pPr>
              <w:pStyle w:val="21"/>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）施工条件</w:t>
            </w:r>
          </w:p>
          <w:p w14:paraId="47912CD7">
            <w:pPr>
              <w:pStyle w:val="21"/>
              <w:bidi w:val="0"/>
              <w:rPr>
                <w:rFonts w:hint="eastAsia"/>
                <w:color w:val="auto"/>
                <w:lang w:eastAsia="zh-CN"/>
              </w:rPr>
            </w:pPr>
            <w:r>
              <w:rPr>
                <w:rFonts w:hint="eastAsia"/>
                <w:color w:val="auto"/>
                <w:lang w:eastAsia="zh-CN"/>
              </w:rPr>
              <w:t>施工用水、用电、用油：本项目线路周边均为市政供水、供电，水、电等设施接入方便，能够满足施工要求。施工用油依托周边加油站，施工场地内不设油罐。</w:t>
            </w:r>
          </w:p>
          <w:p w14:paraId="7FFA3976">
            <w:pPr>
              <w:pStyle w:val="21"/>
              <w:bidi w:val="0"/>
              <w:rPr>
                <w:rFonts w:hint="eastAsia"/>
                <w:color w:val="auto"/>
                <w:lang w:eastAsia="zh-CN"/>
              </w:rPr>
            </w:pPr>
            <w:r>
              <w:rPr>
                <w:rFonts w:hint="eastAsia"/>
                <w:color w:val="auto"/>
                <w:lang w:eastAsia="zh-CN"/>
              </w:rPr>
              <w:t>建筑材料：本项目所需砂石料、钢材、水泥、沥青等均</w:t>
            </w:r>
            <w:r>
              <w:rPr>
                <w:rFonts w:hint="eastAsia"/>
                <w:color w:val="auto"/>
                <w:lang w:val="en-US" w:eastAsia="zh-CN"/>
              </w:rPr>
              <w:t>在奉节县及周边</w:t>
            </w:r>
            <w:r>
              <w:rPr>
                <w:rFonts w:hint="eastAsia"/>
                <w:color w:val="auto"/>
                <w:lang w:eastAsia="zh-CN"/>
              </w:rPr>
              <w:t>外购；项目不设混凝土搅拌站，直接</w:t>
            </w:r>
            <w:r>
              <w:rPr>
                <w:rFonts w:hint="eastAsia"/>
                <w:color w:val="auto"/>
                <w:lang w:val="en-US" w:eastAsia="zh-CN"/>
              </w:rPr>
              <w:t>在奉节县及周边</w:t>
            </w:r>
            <w:r>
              <w:rPr>
                <w:rFonts w:hint="eastAsia"/>
                <w:color w:val="auto"/>
                <w:lang w:eastAsia="zh-CN"/>
              </w:rPr>
              <w:t>外购商品混凝土；项目沥青不在现场进行熬制，直接</w:t>
            </w:r>
            <w:r>
              <w:rPr>
                <w:rFonts w:hint="eastAsia"/>
                <w:color w:val="auto"/>
                <w:lang w:val="en-US" w:eastAsia="zh-CN"/>
              </w:rPr>
              <w:t>奉节县及周边</w:t>
            </w:r>
            <w:r>
              <w:rPr>
                <w:rFonts w:hint="eastAsia"/>
                <w:color w:val="auto"/>
                <w:lang w:eastAsia="zh-CN"/>
              </w:rPr>
              <w:t>外购商品沥青。</w:t>
            </w:r>
          </w:p>
          <w:p w14:paraId="628231E3">
            <w:pPr>
              <w:pStyle w:val="21"/>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）施工布局</w:t>
            </w:r>
          </w:p>
          <w:p w14:paraId="3F081316">
            <w:pPr>
              <w:pStyle w:val="21"/>
              <w:bidi w:val="0"/>
              <w:rPr>
                <w:rFonts w:hint="eastAsia"/>
                <w:color w:val="auto"/>
                <w:lang w:eastAsia="zh-CN"/>
              </w:rPr>
            </w:pPr>
            <w:r>
              <w:rPr>
                <w:rFonts w:hint="eastAsia"/>
                <w:color w:val="auto"/>
                <w:lang w:eastAsia="zh-CN"/>
              </w:rPr>
              <w:t>①施工场地</w:t>
            </w:r>
          </w:p>
          <w:p w14:paraId="0AC84917">
            <w:pPr>
              <w:pStyle w:val="21"/>
              <w:bidi w:val="0"/>
              <w:rPr>
                <w:rFonts w:hint="default"/>
                <w:color w:val="auto"/>
                <w:lang w:val="en-US" w:eastAsia="zh-CN"/>
              </w:rPr>
            </w:pPr>
            <w:r>
              <w:rPr>
                <w:rFonts w:hint="eastAsia"/>
                <w:color w:val="auto"/>
                <w:lang w:eastAsia="zh-CN"/>
              </w:rPr>
              <w:t>本项目在</w:t>
            </w:r>
            <w:r>
              <w:rPr>
                <w:rFonts w:hint="eastAsia"/>
                <w:color w:val="auto"/>
                <w:lang w:val="en-US" w:eastAsia="zh-CN"/>
              </w:rPr>
              <w:t>1号桥</w:t>
            </w:r>
            <w:r>
              <w:rPr>
                <w:rFonts w:hint="eastAsia"/>
                <w:color w:val="auto"/>
                <w:lang w:eastAsia="zh-CN"/>
              </w:rPr>
              <w:t>K0+</w:t>
            </w:r>
            <w:r>
              <w:rPr>
                <w:rFonts w:hint="eastAsia"/>
                <w:color w:val="auto"/>
                <w:lang w:val="en-US" w:eastAsia="zh-CN"/>
              </w:rPr>
              <w:t>052.000东侧</w:t>
            </w:r>
            <w:r>
              <w:rPr>
                <w:rFonts w:hint="eastAsia"/>
                <w:color w:val="auto"/>
                <w:lang w:eastAsia="zh-CN"/>
              </w:rPr>
              <w:t>设置1处施工场地，占地面积约</w:t>
            </w:r>
            <w:r>
              <w:rPr>
                <w:rFonts w:hint="eastAsia"/>
                <w:color w:val="auto"/>
                <w:lang w:val="en-US" w:eastAsia="zh-CN"/>
              </w:rPr>
              <w:t>100</w:t>
            </w:r>
            <w:r>
              <w:rPr>
                <w:rFonts w:hint="eastAsia"/>
                <w:color w:val="auto"/>
                <w:lang w:eastAsia="zh-CN"/>
              </w:rPr>
              <w:t>0m</w:t>
            </w:r>
            <w:r>
              <w:rPr>
                <w:rFonts w:hint="eastAsia"/>
                <w:color w:val="auto"/>
                <w:vertAlign w:val="superscript"/>
                <w:lang w:eastAsia="zh-CN"/>
              </w:rPr>
              <w:t>2</w:t>
            </w:r>
            <w:r>
              <w:rPr>
                <w:rFonts w:hint="eastAsia"/>
                <w:color w:val="auto"/>
                <w:lang w:eastAsia="zh-CN"/>
              </w:rPr>
              <w:t>，主要用于材料堆放及</w:t>
            </w:r>
            <w:r>
              <w:rPr>
                <w:rFonts w:hint="eastAsia"/>
                <w:color w:val="auto"/>
                <w:lang w:val="en-US" w:eastAsia="zh-CN"/>
              </w:rPr>
              <w:t>钢筋</w:t>
            </w:r>
            <w:r>
              <w:rPr>
                <w:rFonts w:hint="eastAsia"/>
                <w:color w:val="auto"/>
                <w:lang w:eastAsia="zh-CN"/>
              </w:rPr>
              <w:t>加工、机械设备停放、表土</w:t>
            </w:r>
            <w:r>
              <w:rPr>
                <w:rFonts w:hint="eastAsia"/>
                <w:color w:val="auto"/>
                <w:lang w:val="en-US" w:eastAsia="zh-CN"/>
              </w:rPr>
              <w:t>临时</w:t>
            </w:r>
            <w:r>
              <w:rPr>
                <w:rFonts w:hint="eastAsia"/>
                <w:color w:val="auto"/>
                <w:lang w:eastAsia="zh-CN"/>
              </w:rPr>
              <w:t>堆放等；</w:t>
            </w:r>
            <w:r>
              <w:rPr>
                <w:rFonts w:hint="eastAsia"/>
                <w:color w:val="auto"/>
                <w:lang w:val="en-US" w:eastAsia="zh-CN"/>
              </w:rPr>
              <w:t>在连接道路K0+200.000右侧设置1处材料堆场，占地面积约300m</w:t>
            </w:r>
            <w:r>
              <w:rPr>
                <w:rFonts w:hint="eastAsia"/>
                <w:color w:val="auto"/>
                <w:vertAlign w:val="superscript"/>
                <w:lang w:val="en-US" w:eastAsia="zh-CN"/>
              </w:rPr>
              <w:t>2</w:t>
            </w:r>
            <w:r>
              <w:rPr>
                <w:rFonts w:hint="eastAsia"/>
                <w:color w:val="auto"/>
                <w:lang w:val="en-US" w:eastAsia="zh-CN"/>
              </w:rPr>
              <w:t>，主要用于材料堆放。项目</w:t>
            </w:r>
            <w:r>
              <w:rPr>
                <w:rFonts w:hint="eastAsia"/>
                <w:color w:val="auto"/>
                <w:lang w:eastAsia="zh-CN"/>
              </w:rPr>
              <w:t>施工办公</w:t>
            </w:r>
            <w:r>
              <w:rPr>
                <w:rFonts w:hint="eastAsia"/>
                <w:color w:val="auto"/>
                <w:lang w:val="en-US" w:eastAsia="zh-CN"/>
              </w:rPr>
              <w:t>生活采用租赁周边现有房屋</w:t>
            </w:r>
            <w:r>
              <w:rPr>
                <w:rFonts w:hint="eastAsia"/>
                <w:color w:val="auto"/>
                <w:lang w:eastAsia="zh-CN"/>
              </w:rPr>
              <w:t>，</w:t>
            </w:r>
            <w:r>
              <w:rPr>
                <w:rFonts w:hint="eastAsia"/>
                <w:color w:val="auto"/>
                <w:lang w:val="en-US" w:eastAsia="zh-CN"/>
              </w:rPr>
              <w:t>施工区内不单独设置。项目桥梁箱梁采用现场搭架现浇施工，不设置桥梁预制场。施工场地平面布局示意见附图6-2。</w:t>
            </w:r>
          </w:p>
          <w:p w14:paraId="6226A68C">
            <w:pPr>
              <w:pStyle w:val="21"/>
              <w:bidi w:val="0"/>
              <w:rPr>
                <w:rFonts w:hint="eastAsia"/>
                <w:color w:val="auto"/>
                <w:lang w:eastAsia="zh-CN"/>
              </w:rPr>
            </w:pPr>
            <w:r>
              <w:rPr>
                <w:rFonts w:hint="eastAsia"/>
                <w:color w:val="auto"/>
                <w:lang w:eastAsia="zh-CN"/>
              </w:rPr>
              <w:t>②施工便道</w:t>
            </w:r>
          </w:p>
          <w:p w14:paraId="19DF71F7">
            <w:pPr>
              <w:pStyle w:val="21"/>
              <w:bidi w:val="0"/>
              <w:rPr>
                <w:rFonts w:hint="eastAsia"/>
                <w:color w:val="auto"/>
                <w:lang w:eastAsia="zh-CN"/>
              </w:rPr>
            </w:pPr>
            <w:r>
              <w:rPr>
                <w:rFonts w:hint="eastAsia"/>
                <w:color w:val="auto"/>
                <w:lang w:eastAsia="zh-CN"/>
              </w:rPr>
              <w:t>本项目周边有</w:t>
            </w:r>
            <w:r>
              <w:rPr>
                <w:rFonts w:hint="eastAsia"/>
                <w:color w:val="auto"/>
                <w:lang w:val="en-US" w:eastAsia="zh-CN"/>
              </w:rPr>
              <w:t>夔州西路、万胜路、甘溪街等</w:t>
            </w:r>
            <w:r>
              <w:rPr>
                <w:rFonts w:hint="eastAsia"/>
                <w:color w:val="auto"/>
                <w:lang w:eastAsia="zh-CN"/>
              </w:rPr>
              <w:t>多条</w:t>
            </w:r>
            <w:r>
              <w:rPr>
                <w:rFonts w:hint="eastAsia"/>
                <w:color w:val="auto"/>
                <w:lang w:val="en-US" w:eastAsia="zh-CN"/>
              </w:rPr>
              <w:t>市政道路</w:t>
            </w:r>
            <w:r>
              <w:rPr>
                <w:rFonts w:hint="eastAsia"/>
                <w:color w:val="auto"/>
                <w:lang w:eastAsia="zh-CN"/>
              </w:rPr>
              <w:t>可直达项目施工区域，故本项目不设施工便道。</w:t>
            </w:r>
          </w:p>
          <w:p w14:paraId="76FB04F3">
            <w:pPr>
              <w:pStyle w:val="21"/>
              <w:bidi w:val="0"/>
              <w:rPr>
                <w:rFonts w:hint="eastAsia"/>
                <w:color w:val="auto"/>
                <w:lang w:eastAsia="zh-CN"/>
              </w:rPr>
            </w:pPr>
            <w:r>
              <w:rPr>
                <w:rFonts w:hint="eastAsia"/>
                <w:color w:val="auto"/>
                <w:lang w:eastAsia="zh-CN"/>
              </w:rPr>
              <w:t>③料场及取、弃土场</w:t>
            </w:r>
          </w:p>
          <w:p w14:paraId="421A9BCC">
            <w:pPr>
              <w:pStyle w:val="21"/>
              <w:bidi w:val="0"/>
              <w:rPr>
                <w:rFonts w:hint="eastAsia"/>
                <w:color w:val="auto"/>
                <w:lang w:eastAsia="zh-CN"/>
              </w:rPr>
            </w:pPr>
            <w:r>
              <w:rPr>
                <w:rFonts w:hint="eastAsia"/>
                <w:color w:val="auto"/>
                <w:lang w:eastAsia="zh-CN"/>
              </w:rPr>
              <w:t>本项目所需砂石料均</w:t>
            </w:r>
            <w:r>
              <w:rPr>
                <w:rFonts w:hint="eastAsia"/>
                <w:color w:val="auto"/>
                <w:lang w:val="en-US" w:eastAsia="zh-CN"/>
              </w:rPr>
              <w:t>在奉节县及周边合法料场</w:t>
            </w:r>
            <w:r>
              <w:rPr>
                <w:rFonts w:hint="eastAsia"/>
                <w:color w:val="auto"/>
                <w:lang w:eastAsia="zh-CN"/>
              </w:rPr>
              <w:t>外购，不设置料场。项目弃方约</w:t>
            </w:r>
            <w:r>
              <w:rPr>
                <w:rFonts w:hint="eastAsia"/>
                <w:color w:val="auto"/>
                <w:lang w:val="en-US" w:eastAsia="zh-CN"/>
              </w:rPr>
              <w:t>1342</w:t>
            </w:r>
            <w:r>
              <w:rPr>
                <w:rFonts w:hint="eastAsia"/>
                <w:color w:val="auto"/>
                <w:lang w:eastAsia="zh-CN"/>
              </w:rPr>
              <w:t>m</w:t>
            </w:r>
            <w:r>
              <w:rPr>
                <w:rFonts w:hint="eastAsia"/>
                <w:color w:val="auto"/>
                <w:vertAlign w:val="superscript"/>
                <w:lang w:eastAsia="zh-CN"/>
              </w:rPr>
              <w:t>3</w:t>
            </w:r>
            <w:r>
              <w:rPr>
                <w:rFonts w:hint="eastAsia"/>
                <w:color w:val="auto"/>
                <w:lang w:eastAsia="zh-CN"/>
              </w:rPr>
              <w:t>，弃方量少，根据建设单位提供的资料，项目</w:t>
            </w:r>
            <w:r>
              <w:rPr>
                <w:rFonts w:hint="eastAsia"/>
                <w:color w:val="auto"/>
                <w:lang w:val="en-US" w:eastAsia="zh-CN"/>
              </w:rPr>
              <w:t>周边正在进行开发建设，弃方调运至奉节高铁生态纵三路以东路网完善工程一横四路中段进行回填</w:t>
            </w:r>
            <w:r>
              <w:rPr>
                <w:rFonts w:hint="eastAsia"/>
                <w:color w:val="auto"/>
                <w:lang w:eastAsia="zh-CN"/>
              </w:rPr>
              <w:t>，不设置弃土场。</w:t>
            </w:r>
          </w:p>
          <w:p w14:paraId="352AE25E">
            <w:pPr>
              <w:pStyle w:val="21"/>
              <w:bidi w:val="0"/>
              <w:rPr>
                <w:rFonts w:hint="eastAsia"/>
                <w:color w:val="auto"/>
                <w:lang w:eastAsia="zh-CN"/>
              </w:rPr>
            </w:pPr>
            <w:r>
              <w:rPr>
                <w:rFonts w:hint="eastAsia"/>
                <w:color w:val="auto"/>
                <w:lang w:eastAsia="zh-CN"/>
              </w:rPr>
              <w:t>因此，本项目不设置料场、取土场、弃土场。</w:t>
            </w:r>
          </w:p>
          <w:p w14:paraId="7BC811AE">
            <w:pPr>
              <w:pStyle w:val="21"/>
              <w:bidi w:val="0"/>
              <w:rPr>
                <w:rFonts w:hint="eastAsia"/>
                <w:color w:val="auto"/>
                <w:lang w:eastAsia="zh-CN"/>
              </w:rPr>
            </w:pPr>
            <w:r>
              <w:rPr>
                <w:rFonts w:hint="eastAsia"/>
                <w:color w:val="auto"/>
                <w:lang w:eastAsia="zh-CN"/>
              </w:rPr>
              <w:t>④表土堆场</w:t>
            </w:r>
          </w:p>
          <w:p w14:paraId="3CFB3DCE">
            <w:pPr>
              <w:pStyle w:val="21"/>
              <w:bidi w:val="0"/>
              <w:rPr>
                <w:rFonts w:hint="eastAsia"/>
                <w:color w:val="auto"/>
                <w:lang w:eastAsia="zh-CN"/>
              </w:rPr>
            </w:pPr>
            <w:r>
              <w:rPr>
                <w:rFonts w:hint="eastAsia"/>
                <w:color w:val="auto"/>
                <w:lang w:val="en-US" w:eastAsia="zh-CN"/>
              </w:rPr>
              <w:t>本</w:t>
            </w:r>
            <w:r>
              <w:rPr>
                <w:rFonts w:hint="eastAsia"/>
                <w:color w:val="auto"/>
                <w:lang w:eastAsia="zh-CN"/>
              </w:rPr>
              <w:t>项目在施工场地内设置表土堆场区，不单独设置表土堆场。</w:t>
            </w:r>
          </w:p>
          <w:p w14:paraId="002EE950">
            <w:pPr>
              <w:pStyle w:val="21"/>
              <w:bidi w:val="0"/>
              <w:rPr>
                <w:rFonts w:hint="eastAsia"/>
                <w:color w:val="auto"/>
                <w:lang w:val="en-US" w:eastAsia="zh-CN"/>
              </w:rPr>
            </w:pPr>
            <w:r>
              <w:rPr>
                <w:rFonts w:hint="eastAsia"/>
                <w:color w:val="auto"/>
                <w:lang w:val="en-US" w:eastAsia="zh-CN"/>
              </w:rPr>
              <w:t>⑤机修厂</w:t>
            </w:r>
          </w:p>
          <w:p w14:paraId="19881BFC">
            <w:pPr>
              <w:pStyle w:val="21"/>
              <w:bidi w:val="0"/>
              <w:rPr>
                <w:rFonts w:hint="default"/>
                <w:color w:val="auto"/>
                <w:lang w:val="en-US" w:eastAsia="zh-CN"/>
              </w:rPr>
            </w:pPr>
            <w:r>
              <w:rPr>
                <w:rFonts w:hint="eastAsia"/>
                <w:color w:val="auto"/>
                <w:lang w:val="en-US" w:eastAsia="zh-CN"/>
              </w:rPr>
              <w:t>本项目位于城区，周边有较多可以提供修配加工的修理厂，故在工程区内不需设置机修、汽修厂，维修保养通过外协解决。</w:t>
            </w:r>
          </w:p>
        </w:tc>
      </w:tr>
      <w:tr w14:paraId="4BB589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5" w:type="dxa"/>
            <w:vAlign w:val="center"/>
          </w:tcPr>
          <w:p w14:paraId="64EA467E">
            <w:pPr>
              <w:rPr>
                <w:rFonts w:hint="eastAsia"/>
                <w:color w:val="auto"/>
              </w:rPr>
            </w:pPr>
            <w:r>
              <w:rPr>
                <w:rFonts w:hint="eastAsia"/>
                <w:color w:val="auto"/>
              </w:rPr>
              <w:t>施工方案</w:t>
            </w:r>
          </w:p>
        </w:tc>
        <w:tc>
          <w:tcPr>
            <w:tcW w:w="8495" w:type="dxa"/>
            <w:vAlign w:val="center"/>
          </w:tcPr>
          <w:p w14:paraId="26DA1FBE">
            <w:pPr>
              <w:pStyle w:val="3"/>
              <w:bidi w:val="0"/>
              <w:rPr>
                <w:rFonts w:hint="eastAsia"/>
                <w:color w:val="auto"/>
              </w:rPr>
            </w:pPr>
            <w:r>
              <w:rPr>
                <w:rFonts w:hint="eastAsia"/>
                <w:color w:val="auto"/>
              </w:rPr>
              <w:t>施工方案</w:t>
            </w:r>
          </w:p>
          <w:p w14:paraId="4CEBCD19">
            <w:pPr>
              <w:pStyle w:val="4"/>
              <w:bidi w:val="0"/>
              <w:rPr>
                <w:color w:val="auto"/>
              </w:rPr>
            </w:pPr>
            <w:r>
              <w:rPr>
                <w:color w:val="auto"/>
              </w:rPr>
              <w:t>施工</w:t>
            </w:r>
            <w:r>
              <w:rPr>
                <w:rFonts w:hint="eastAsia"/>
                <w:color w:val="auto"/>
              </w:rPr>
              <w:t>工艺流程及产排污环节</w:t>
            </w:r>
          </w:p>
          <w:p w14:paraId="2DF79708">
            <w:pPr>
              <w:pStyle w:val="21"/>
              <w:bidi w:val="0"/>
              <w:rPr>
                <w:color w:val="auto"/>
              </w:rPr>
            </w:pPr>
            <w:r>
              <w:rPr>
                <w:rFonts w:hint="eastAsia"/>
                <w:color w:val="auto"/>
              </w:rPr>
              <w:t>本项目主要包括道路工程和桥梁工程，主要施工</w:t>
            </w:r>
            <w:r>
              <w:rPr>
                <w:color w:val="auto"/>
              </w:rPr>
              <w:t>工艺及产污</w:t>
            </w:r>
            <w:r>
              <w:rPr>
                <w:rFonts w:hint="eastAsia"/>
                <w:color w:val="auto"/>
              </w:rPr>
              <w:t>环节见</w:t>
            </w:r>
            <w:r>
              <w:rPr>
                <w:rFonts w:hint="eastAsia"/>
                <w:color w:val="auto"/>
                <w:lang w:val="en-US" w:eastAsia="zh-CN"/>
              </w:rPr>
              <w:t>下图</w:t>
            </w:r>
            <w:r>
              <w:rPr>
                <w:rFonts w:hint="eastAsia"/>
                <w:color w:val="auto"/>
              </w:rPr>
              <w:t>。</w:t>
            </w:r>
          </w:p>
          <w:p w14:paraId="768CAAE9">
            <w:pPr>
              <w:pStyle w:val="21"/>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color w:val="auto"/>
              </w:rPr>
            </w:pPr>
            <w:r>
              <w:rPr>
                <w:color w:val="auto"/>
              </w:rPr>
              <w:object>
                <v:shape id="_x0000_i1025" o:spt="75" type="#_x0000_t75" style="height:101.9pt;width:423.95pt;" o:ole="t" filled="f" o:preferrelative="t" stroked="f" coordsize="21600,21600">
                  <v:path/>
                  <v:fill on="f" focussize="0,0"/>
                  <v:stroke on="f"/>
                  <v:imagedata r:id="rId14" o:title=""/>
                  <o:lock v:ext="edit" aspectratio="f"/>
                  <w10:wrap type="none"/>
                  <w10:anchorlock/>
                </v:shape>
                <o:OLEObject Type="Embed" ProgID="Visio.Drawing.15" ShapeID="_x0000_i1025" DrawAspect="Content" ObjectID="_1468075725" r:id="rId13">
                  <o:LockedField>false</o:LockedField>
                </o:OLEObject>
              </w:object>
            </w:r>
          </w:p>
          <w:p w14:paraId="72C53A1A">
            <w:pPr>
              <w:pStyle w:val="7"/>
              <w:bidi w:val="0"/>
              <w:rPr>
                <w:rFonts w:hint="eastAsia"/>
                <w:color w:val="auto"/>
                <w:lang w:val="en-US" w:eastAsia="zh-CN"/>
              </w:rPr>
            </w:pPr>
            <w:r>
              <w:rPr>
                <w:rFonts w:hint="eastAsia"/>
                <w:color w:val="auto"/>
                <w:lang w:val="en-US" w:eastAsia="zh-CN"/>
              </w:rPr>
              <w:t xml:space="preserve">  项目施工工艺流程及产污环节图</w:t>
            </w:r>
          </w:p>
          <w:p w14:paraId="20543B51">
            <w:pPr>
              <w:pStyle w:val="21"/>
              <w:bidi w:val="0"/>
              <w:rPr>
                <w:color w:val="auto"/>
              </w:rPr>
            </w:pPr>
            <w:r>
              <w:rPr>
                <w:rFonts w:hint="eastAsia"/>
                <w:color w:val="auto"/>
              </w:rPr>
              <w:t>（</w:t>
            </w:r>
            <w:r>
              <w:rPr>
                <w:color w:val="auto"/>
              </w:rPr>
              <w:t>1</w:t>
            </w:r>
            <w:r>
              <w:rPr>
                <w:rFonts w:hint="eastAsia"/>
                <w:color w:val="auto"/>
              </w:rPr>
              <w:t>）场地清理</w:t>
            </w:r>
          </w:p>
          <w:p w14:paraId="07FD7268">
            <w:pPr>
              <w:pStyle w:val="21"/>
              <w:bidi w:val="0"/>
              <w:rPr>
                <w:color w:val="auto"/>
              </w:rPr>
            </w:pPr>
            <w:r>
              <w:rPr>
                <w:rFonts w:hint="eastAsia"/>
                <w:color w:val="auto"/>
                <w:lang w:val="en-US" w:eastAsia="zh-CN"/>
              </w:rPr>
              <w:t>施工前，对永久占地及临时占地范围</w:t>
            </w:r>
            <w:r>
              <w:rPr>
                <w:rFonts w:hint="eastAsia"/>
                <w:color w:val="auto"/>
              </w:rPr>
              <w:t>内</w:t>
            </w:r>
            <w:r>
              <w:rPr>
                <w:rFonts w:hint="eastAsia"/>
                <w:color w:val="auto"/>
                <w:lang w:val="en-US" w:eastAsia="zh-CN"/>
              </w:rPr>
              <w:t>的</w:t>
            </w:r>
            <w:r>
              <w:rPr>
                <w:rFonts w:hint="eastAsia"/>
                <w:color w:val="auto"/>
              </w:rPr>
              <w:t>地面</w:t>
            </w:r>
            <w:r>
              <w:rPr>
                <w:rFonts w:hint="eastAsia"/>
                <w:color w:val="auto"/>
                <w:lang w:val="en-US" w:eastAsia="zh-CN"/>
              </w:rPr>
              <w:t>进行清理，</w:t>
            </w:r>
            <w:r>
              <w:rPr>
                <w:rFonts w:hint="eastAsia"/>
                <w:color w:val="auto"/>
              </w:rPr>
              <w:t>清理过程中产生施工</w:t>
            </w:r>
            <w:r>
              <w:rPr>
                <w:rFonts w:hint="eastAsia"/>
                <w:color w:val="auto"/>
                <w:lang w:val="en-US" w:eastAsia="zh-CN"/>
              </w:rPr>
              <w:t>扬尘</w:t>
            </w:r>
            <w:r>
              <w:rPr>
                <w:rFonts w:hint="eastAsia"/>
                <w:color w:val="auto"/>
              </w:rPr>
              <w:t>、</w:t>
            </w:r>
            <w:r>
              <w:rPr>
                <w:rFonts w:hint="eastAsia"/>
                <w:color w:val="auto"/>
                <w:lang w:val="en-US" w:eastAsia="zh-CN"/>
              </w:rPr>
              <w:t>机械尾气、施工噪声、</w:t>
            </w:r>
            <w:r>
              <w:rPr>
                <w:rFonts w:hint="eastAsia"/>
                <w:color w:val="auto"/>
              </w:rPr>
              <w:t>清理的固体废物</w:t>
            </w:r>
            <w:r>
              <w:rPr>
                <w:rFonts w:hint="eastAsia"/>
                <w:color w:val="auto"/>
                <w:lang w:val="en-US" w:eastAsia="zh-CN"/>
              </w:rPr>
              <w:t>等</w:t>
            </w:r>
            <w:r>
              <w:rPr>
                <w:rFonts w:hint="eastAsia"/>
                <w:color w:val="auto"/>
              </w:rPr>
              <w:t>。</w:t>
            </w:r>
          </w:p>
          <w:p w14:paraId="0EFB4B2D">
            <w:pPr>
              <w:pStyle w:val="21"/>
              <w:bidi w:val="0"/>
              <w:rPr>
                <w:rFonts w:hint="default" w:eastAsia="宋体"/>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路基施工</w:t>
            </w:r>
          </w:p>
          <w:p w14:paraId="6E38DCEF">
            <w:pPr>
              <w:pStyle w:val="21"/>
              <w:bidi w:val="0"/>
              <w:rPr>
                <w:rFonts w:hint="eastAsia"/>
                <w:color w:val="auto"/>
                <w:lang w:eastAsia="zh-CN"/>
              </w:rPr>
            </w:pPr>
            <w:r>
              <w:rPr>
                <w:color w:val="auto"/>
              </w:rPr>
              <w:t>路基施工以机械施工为主，适当辅以人工施工，</w:t>
            </w:r>
            <w:r>
              <w:rPr>
                <w:rFonts w:hint="eastAsia"/>
                <w:color w:val="auto"/>
              </w:rPr>
              <w:t>路基开挖按设计断面自上而下开挖，</w:t>
            </w:r>
            <w:r>
              <w:rPr>
                <w:rFonts w:hint="eastAsia"/>
                <w:color w:val="auto"/>
                <w:lang w:val="en-US" w:eastAsia="zh-CN"/>
              </w:rPr>
              <w:t>填方路基</w:t>
            </w:r>
            <w:r>
              <w:rPr>
                <w:rFonts w:hint="eastAsia"/>
                <w:color w:val="auto"/>
              </w:rPr>
              <w:t>施工工序为清表→分层填筑→摊铺整平→洒水晾晒→碾压</w:t>
            </w:r>
            <w:r>
              <w:rPr>
                <w:rFonts w:hint="eastAsia"/>
                <w:color w:val="auto"/>
                <w:lang w:eastAsia="zh-CN"/>
              </w:rPr>
              <w:t>，挖方路基施工工序为清表→截排水施工→挖方侧临时防护→路基侧填筑、边坡开挖→路基防护。路基施工将会产生施工</w:t>
            </w:r>
            <w:r>
              <w:rPr>
                <w:rFonts w:hint="eastAsia"/>
                <w:color w:val="auto"/>
                <w:lang w:val="en-US" w:eastAsia="zh-CN"/>
              </w:rPr>
              <w:t>扬尘</w:t>
            </w:r>
            <w:r>
              <w:rPr>
                <w:rFonts w:hint="eastAsia"/>
                <w:color w:val="auto"/>
                <w:lang w:eastAsia="zh-CN"/>
              </w:rPr>
              <w:t>及机械尾气、施工噪声、</w:t>
            </w:r>
            <w:r>
              <w:rPr>
                <w:rFonts w:hint="eastAsia"/>
                <w:color w:val="auto"/>
                <w:lang w:val="en-US" w:eastAsia="zh-CN"/>
              </w:rPr>
              <w:t>施工</w:t>
            </w:r>
            <w:r>
              <w:rPr>
                <w:rFonts w:hint="eastAsia"/>
                <w:color w:val="auto"/>
                <w:lang w:eastAsia="zh-CN"/>
              </w:rPr>
              <w:t>废水、</w:t>
            </w:r>
            <w:r>
              <w:rPr>
                <w:rFonts w:hint="eastAsia"/>
                <w:color w:val="auto"/>
                <w:lang w:val="en-US" w:eastAsia="zh-CN"/>
              </w:rPr>
              <w:t>表土及弃渣</w:t>
            </w:r>
            <w:r>
              <w:rPr>
                <w:rFonts w:hint="eastAsia"/>
                <w:color w:val="auto"/>
                <w:lang w:eastAsia="zh-CN"/>
              </w:rPr>
              <w:t>等。</w:t>
            </w:r>
          </w:p>
          <w:p w14:paraId="0A08079B">
            <w:pPr>
              <w:pStyle w:val="21"/>
              <w:bidi w:val="0"/>
              <w:rPr>
                <w:rFonts w:hint="eastAsia"/>
                <w:color w:val="auto"/>
                <w:lang w:val="en-US" w:eastAsia="zh-CN"/>
              </w:rPr>
            </w:pPr>
            <w:r>
              <w:rPr>
                <w:rFonts w:hint="eastAsia"/>
                <w:color w:val="auto"/>
                <w:lang w:val="en-US" w:eastAsia="zh-CN"/>
              </w:rPr>
              <w:t>（3）路面施工</w:t>
            </w:r>
          </w:p>
          <w:p w14:paraId="53FEC4DF">
            <w:pPr>
              <w:pStyle w:val="21"/>
              <w:bidi w:val="0"/>
              <w:rPr>
                <w:color w:val="auto"/>
              </w:rPr>
            </w:pPr>
            <w:r>
              <w:rPr>
                <w:rFonts w:hint="eastAsia"/>
                <w:color w:val="auto"/>
              </w:rPr>
              <w:t>路面采用沥青混凝土路面，施工工序</w:t>
            </w:r>
            <w:r>
              <w:rPr>
                <w:rFonts w:hint="eastAsia"/>
                <w:color w:val="auto"/>
                <w:lang w:val="en-US" w:eastAsia="zh-CN"/>
              </w:rPr>
              <w:t>为</w:t>
            </w:r>
            <w:r>
              <w:rPr>
                <w:rFonts w:hint="eastAsia"/>
                <w:color w:val="auto"/>
              </w:rPr>
              <w:t>底基层→基层→面层</w:t>
            </w:r>
            <w:r>
              <w:rPr>
                <w:rFonts w:hint="eastAsia"/>
                <w:color w:val="auto"/>
                <w:lang w:eastAsia="zh-CN"/>
              </w:rPr>
              <w:t>，以机械施工为主</w:t>
            </w:r>
            <w:r>
              <w:rPr>
                <w:rFonts w:hint="eastAsia"/>
                <w:color w:val="auto"/>
              </w:rPr>
              <w:t>。为确保路面工程的平整度和质量，路面各结构层全部由专业队伍承担，底基层、基层均采用机械拌合，摊铺机分层摊铺，压路机压实；摊铺机配以自卸车连续摊铺沥青</w:t>
            </w:r>
            <w:r>
              <w:rPr>
                <w:rFonts w:hint="eastAsia"/>
                <w:color w:val="auto"/>
                <w:lang w:eastAsia="zh-CN"/>
              </w:rPr>
              <w:t>拌合</w:t>
            </w:r>
            <w:r>
              <w:rPr>
                <w:rFonts w:hint="eastAsia"/>
                <w:color w:val="auto"/>
              </w:rPr>
              <w:t>料，压路机碾压密实成型。沥青混合料采用商品沥青混凝土，自卸汽车运输至工点摊铺成型，施工现场不设</w:t>
            </w:r>
            <w:r>
              <w:rPr>
                <w:rFonts w:hint="eastAsia"/>
                <w:color w:val="auto"/>
                <w:lang w:val="en-US" w:eastAsia="zh-CN"/>
              </w:rPr>
              <w:t>砼拌和站</w:t>
            </w:r>
            <w:r>
              <w:rPr>
                <w:rFonts w:hint="eastAsia"/>
                <w:color w:val="auto"/>
              </w:rPr>
              <w:t>和沥青搅拌站。路面施工将会产生施工</w:t>
            </w:r>
            <w:r>
              <w:rPr>
                <w:rFonts w:hint="eastAsia"/>
                <w:color w:val="auto"/>
                <w:lang w:val="en-US" w:eastAsia="zh-CN"/>
              </w:rPr>
              <w:t>扬尘</w:t>
            </w:r>
            <w:r>
              <w:rPr>
                <w:rFonts w:hint="eastAsia"/>
                <w:color w:val="auto"/>
              </w:rPr>
              <w:t>及机械尾气、</w:t>
            </w:r>
            <w:r>
              <w:rPr>
                <w:rFonts w:hint="eastAsia"/>
                <w:color w:val="auto"/>
                <w:lang w:val="en-US" w:eastAsia="zh-CN"/>
              </w:rPr>
              <w:t>沥青烟、</w:t>
            </w:r>
            <w:r>
              <w:rPr>
                <w:rFonts w:hint="eastAsia"/>
                <w:color w:val="auto"/>
              </w:rPr>
              <w:t>施工噪声、</w:t>
            </w:r>
            <w:r>
              <w:rPr>
                <w:rFonts w:hint="eastAsia"/>
                <w:color w:val="auto"/>
                <w:lang w:val="en-US" w:eastAsia="zh-CN"/>
              </w:rPr>
              <w:t>施工</w:t>
            </w:r>
            <w:r>
              <w:rPr>
                <w:rFonts w:hint="eastAsia"/>
                <w:color w:val="auto"/>
                <w:lang w:eastAsia="zh-CN"/>
              </w:rPr>
              <w:t>废水、</w:t>
            </w:r>
            <w:r>
              <w:rPr>
                <w:rFonts w:hint="eastAsia"/>
                <w:color w:val="auto"/>
                <w:lang w:val="en-US" w:eastAsia="zh-CN"/>
              </w:rPr>
              <w:t>弃渣</w:t>
            </w:r>
            <w:r>
              <w:rPr>
                <w:rFonts w:hint="eastAsia"/>
                <w:color w:val="auto"/>
              </w:rPr>
              <w:t>等。</w:t>
            </w:r>
          </w:p>
          <w:p w14:paraId="272A1030">
            <w:pPr>
              <w:pStyle w:val="21"/>
              <w:bidi w:val="0"/>
              <w:rPr>
                <w:color w:val="auto"/>
              </w:rPr>
            </w:pPr>
            <w:r>
              <w:rPr>
                <w:rFonts w:hint="eastAsia"/>
                <w:color w:val="auto"/>
              </w:rPr>
              <w:t>（</w:t>
            </w:r>
            <w:r>
              <w:rPr>
                <w:rFonts w:hint="eastAsia"/>
                <w:color w:val="auto"/>
                <w:lang w:val="en-US" w:eastAsia="zh-CN"/>
              </w:rPr>
              <w:t>4</w:t>
            </w:r>
            <w:r>
              <w:rPr>
                <w:rFonts w:hint="eastAsia"/>
                <w:color w:val="auto"/>
              </w:rPr>
              <w:t>）桥梁施工</w:t>
            </w:r>
          </w:p>
          <w:p w14:paraId="46A12567">
            <w:pPr>
              <w:pStyle w:val="21"/>
              <w:bidi w:val="0"/>
              <w:rPr>
                <w:rFonts w:hint="eastAsia"/>
                <w:color w:val="auto"/>
              </w:rPr>
            </w:pPr>
            <w:r>
              <w:rPr>
                <w:rFonts w:hint="eastAsia"/>
                <w:color w:val="auto"/>
                <w:lang w:val="en-US" w:eastAsia="zh-CN"/>
              </w:rPr>
              <w:t>本项目2座桥梁均为现浇简支预应力混凝土箱梁，上跨甘溪沟，均为一跨过桥，无涉水桥墩，无涉水施工。</w:t>
            </w:r>
            <w:r>
              <w:rPr>
                <w:rFonts w:hint="eastAsia"/>
                <w:color w:val="auto"/>
              </w:rPr>
              <w:t>桥梁下部桩基采用机械成孔施工，桥墩采用搭设支架现浇施工，</w:t>
            </w:r>
            <w:r>
              <w:rPr>
                <w:color w:val="auto"/>
              </w:rPr>
              <w:t>施工工艺为</w:t>
            </w:r>
            <w:r>
              <w:rPr>
                <w:rFonts w:hint="eastAsia"/>
                <w:color w:val="auto"/>
                <w:lang w:val="en-US" w:eastAsia="zh-CN"/>
              </w:rPr>
              <w:t>定位→钻孔</w:t>
            </w:r>
            <w:r>
              <w:rPr>
                <w:rFonts w:hint="eastAsia"/>
                <w:color w:val="auto"/>
              </w:rPr>
              <w:t>→清孔→浇注封底混凝土→基础施工</w:t>
            </w:r>
            <w:r>
              <w:rPr>
                <w:rFonts w:hint="eastAsia"/>
                <w:color w:val="auto"/>
                <w:lang w:eastAsia="zh-CN"/>
              </w:rPr>
              <w:t>，对钻孔产生的少量泥浆废水及时采用泵及管道抽出</w:t>
            </w:r>
            <w:r>
              <w:rPr>
                <w:rFonts w:hint="eastAsia"/>
                <w:color w:val="auto"/>
                <w:lang w:val="en-US" w:eastAsia="zh-CN"/>
              </w:rPr>
              <w:t>进入临时沉淀池</w:t>
            </w:r>
            <w:r>
              <w:rPr>
                <w:rFonts w:hint="eastAsia"/>
                <w:color w:val="auto"/>
                <w:lang w:eastAsia="zh-CN"/>
              </w:rPr>
              <w:t>，</w:t>
            </w:r>
            <w:r>
              <w:rPr>
                <w:rFonts w:hint="eastAsia"/>
                <w:color w:val="auto"/>
                <w:lang w:val="en-US" w:eastAsia="zh-CN"/>
              </w:rPr>
              <w:t>经</w:t>
            </w:r>
            <w:r>
              <w:rPr>
                <w:rFonts w:hint="eastAsia"/>
                <w:color w:val="auto"/>
                <w:lang w:eastAsia="zh-CN"/>
              </w:rPr>
              <w:t>沉淀净化后的泥浆上清液用于施工洒水扬尘使用，不外排</w:t>
            </w:r>
            <w:r>
              <w:rPr>
                <w:rFonts w:hint="eastAsia"/>
                <w:color w:val="auto"/>
              </w:rPr>
              <w:t>。桥梁上部结构</w:t>
            </w:r>
            <w:r>
              <w:rPr>
                <w:rFonts w:hint="eastAsia"/>
                <w:color w:val="auto"/>
                <w:lang w:val="en-US" w:eastAsia="zh-CN"/>
              </w:rPr>
              <w:t>采用现场搭架现浇施工，</w:t>
            </w:r>
            <w:r>
              <w:rPr>
                <w:rFonts w:hint="eastAsia"/>
                <w:color w:val="auto"/>
              </w:rPr>
              <w:t>施工顺序为支架搭设→箱梁底模安装→支架预压→安装侧模→绑底板钢筋、腹板钢筋及预应力管道安装→浇筑底腹板混凝土→混凝土养生→上内模、内支架、及顶模→绑顶板钢筋→浇筑顶板混凝土→养生、穿钢束→张拉钢束→压浆、封锚→拆底模→拆支架→附属设施→浇筑沥青混凝土</w:t>
            </w:r>
            <w:r>
              <w:rPr>
                <w:rFonts w:hint="eastAsia"/>
                <w:color w:val="auto"/>
                <w:lang w:val="en-US" w:eastAsia="zh-CN"/>
              </w:rPr>
              <w:t>或生态砖</w:t>
            </w:r>
            <w:r>
              <w:rPr>
                <w:rFonts w:hint="eastAsia"/>
                <w:color w:val="auto"/>
              </w:rPr>
              <w:t>铺装→成桥。施工将会产生施工</w:t>
            </w:r>
            <w:r>
              <w:rPr>
                <w:rFonts w:hint="eastAsia"/>
                <w:color w:val="auto"/>
                <w:lang w:val="en-US" w:eastAsia="zh-CN"/>
              </w:rPr>
              <w:t>扬尘</w:t>
            </w:r>
            <w:r>
              <w:rPr>
                <w:rFonts w:hint="eastAsia"/>
                <w:color w:val="auto"/>
              </w:rPr>
              <w:t>及机械尾气、施工噪声、</w:t>
            </w:r>
            <w:r>
              <w:rPr>
                <w:rFonts w:hint="eastAsia"/>
                <w:color w:val="auto"/>
                <w:lang w:val="en-US" w:eastAsia="zh-CN"/>
              </w:rPr>
              <w:t>施工</w:t>
            </w:r>
            <w:r>
              <w:rPr>
                <w:rFonts w:hint="eastAsia"/>
                <w:color w:val="auto"/>
                <w:lang w:eastAsia="zh-CN"/>
              </w:rPr>
              <w:t>废水、</w:t>
            </w:r>
            <w:r>
              <w:rPr>
                <w:rFonts w:hint="eastAsia"/>
                <w:color w:val="auto"/>
                <w:lang w:val="en-US" w:eastAsia="zh-CN"/>
              </w:rPr>
              <w:t>弃渣</w:t>
            </w:r>
            <w:r>
              <w:rPr>
                <w:rFonts w:hint="eastAsia"/>
                <w:color w:val="auto"/>
              </w:rPr>
              <w:t>等。</w:t>
            </w:r>
          </w:p>
          <w:p w14:paraId="2A7DA302">
            <w:pPr>
              <w:pStyle w:val="21"/>
              <w:bidi w:val="0"/>
              <w:rPr>
                <w:rFonts w:hint="eastAsia"/>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附属设施施工</w:t>
            </w:r>
          </w:p>
          <w:p w14:paraId="39E4C6C1">
            <w:pPr>
              <w:pStyle w:val="21"/>
              <w:bidi w:val="0"/>
              <w:rPr>
                <w:rFonts w:hint="default"/>
                <w:color w:val="auto"/>
                <w:lang w:val="en-US" w:eastAsia="zh-CN"/>
              </w:rPr>
            </w:pPr>
            <w:r>
              <w:rPr>
                <w:rFonts w:hint="default"/>
                <w:color w:val="auto"/>
                <w:lang w:val="en-US" w:eastAsia="zh-CN"/>
              </w:rPr>
              <w:t>管线工程</w:t>
            </w:r>
            <w:r>
              <w:rPr>
                <w:rFonts w:hint="eastAsia"/>
                <w:color w:val="auto"/>
                <w:lang w:val="en-US" w:eastAsia="zh-CN"/>
              </w:rPr>
              <w:t>：</w:t>
            </w:r>
            <w:r>
              <w:rPr>
                <w:rFonts w:hint="default"/>
                <w:color w:val="auto"/>
                <w:lang w:val="en-US" w:eastAsia="zh-CN"/>
              </w:rPr>
              <w:t>市政管线在道路路基水泥稳定碎石基层完成后施工，采用沟槽开挖或独立槽开挖。管线施工工序大致分为沟/管槽开挖（需埋管时）、沿线管道吊装/砼浇筑、排管、管道基础和护管砼浇筑、盖板安装、闭水试验、沟槽回填。</w:t>
            </w:r>
          </w:p>
          <w:p w14:paraId="5D19DD76">
            <w:pPr>
              <w:pStyle w:val="21"/>
              <w:bidi w:val="0"/>
              <w:rPr>
                <w:rFonts w:hint="default"/>
                <w:color w:val="auto"/>
                <w:lang w:val="en-US" w:eastAsia="zh-CN"/>
              </w:rPr>
            </w:pPr>
            <w:r>
              <w:rPr>
                <w:rFonts w:hint="default"/>
                <w:color w:val="auto"/>
                <w:lang w:val="en-US" w:eastAsia="zh-CN"/>
              </w:rPr>
              <w:t>其他工程</w:t>
            </w:r>
            <w:r>
              <w:rPr>
                <w:rFonts w:hint="eastAsia"/>
                <w:color w:val="auto"/>
                <w:lang w:val="en-US" w:eastAsia="zh-CN"/>
              </w:rPr>
              <w:t>：</w:t>
            </w:r>
            <w:r>
              <w:rPr>
                <w:rFonts w:hint="default"/>
                <w:color w:val="auto"/>
                <w:lang w:val="en-US" w:eastAsia="zh-CN"/>
              </w:rPr>
              <w:t>主要包含边石、人行道、交通标志等施工。边石基础和道路基础同时碾压，达到密实度的要求。边石砌筑后及时浇筑靠背砼，并及时做好防护工作。边石施工完成后进行人行道彩砖的铺设，最后安装交通标志、路灯、</w:t>
            </w:r>
            <w:r>
              <w:rPr>
                <w:rFonts w:hint="eastAsia"/>
                <w:color w:val="auto"/>
                <w:lang w:val="en-US" w:eastAsia="zh-CN"/>
              </w:rPr>
              <w:t>景观绿化</w:t>
            </w:r>
            <w:r>
              <w:rPr>
                <w:rFonts w:hint="default"/>
                <w:color w:val="auto"/>
                <w:lang w:val="en-US" w:eastAsia="zh-CN"/>
              </w:rPr>
              <w:t>等。</w:t>
            </w:r>
          </w:p>
          <w:p w14:paraId="37FCCACE">
            <w:pPr>
              <w:pStyle w:val="21"/>
              <w:bidi w:val="0"/>
              <w:rPr>
                <w:rFonts w:hint="default"/>
                <w:color w:val="auto"/>
                <w:lang w:val="en-US" w:eastAsia="zh-CN"/>
              </w:rPr>
            </w:pPr>
            <w:r>
              <w:rPr>
                <w:rFonts w:hint="default"/>
                <w:color w:val="auto"/>
                <w:lang w:val="en-US" w:eastAsia="zh-CN"/>
              </w:rPr>
              <w:t>施工将会产生施工扬尘及机械尾气、施工噪声、弃渣等。</w:t>
            </w:r>
          </w:p>
          <w:p w14:paraId="733A33EE">
            <w:pPr>
              <w:pStyle w:val="21"/>
              <w:bidi w:val="0"/>
              <w:rPr>
                <w:rFonts w:hint="default"/>
                <w:color w:val="auto"/>
                <w:lang w:val="en-US" w:eastAsia="zh-CN"/>
              </w:rPr>
            </w:pPr>
            <w:r>
              <w:rPr>
                <w:rFonts w:hint="eastAsia"/>
                <w:color w:val="auto"/>
                <w:lang w:val="en-US" w:eastAsia="zh-CN"/>
              </w:rPr>
              <w:t>项目投入运营后主要会产生汽车尾气和交通噪声。</w:t>
            </w:r>
          </w:p>
          <w:p w14:paraId="5FAF71C5">
            <w:pPr>
              <w:pStyle w:val="4"/>
              <w:bidi w:val="0"/>
              <w:rPr>
                <w:color w:val="auto"/>
              </w:rPr>
            </w:pPr>
            <w:r>
              <w:rPr>
                <w:rFonts w:hint="eastAsia"/>
                <w:color w:val="auto"/>
              </w:rPr>
              <w:t>建设周期、施工时序及施工人员</w:t>
            </w:r>
          </w:p>
          <w:p w14:paraId="4A8A238E">
            <w:pPr>
              <w:pStyle w:val="21"/>
              <w:bidi w:val="0"/>
              <w:rPr>
                <w:rFonts w:hint="eastAsia" w:eastAsia="宋体"/>
                <w:color w:val="auto"/>
                <w:lang w:eastAsia="zh-CN"/>
              </w:rPr>
            </w:pPr>
            <w:r>
              <w:rPr>
                <w:rFonts w:hint="eastAsia"/>
                <w:color w:val="auto"/>
              </w:rPr>
              <w:t>（1）建设周期</w:t>
            </w:r>
            <w:r>
              <w:rPr>
                <w:rFonts w:hint="eastAsia"/>
                <w:color w:val="auto"/>
                <w:lang w:eastAsia="zh-CN"/>
              </w:rPr>
              <w:t>、施工时序</w:t>
            </w:r>
          </w:p>
          <w:p w14:paraId="2BCAF878">
            <w:pPr>
              <w:pStyle w:val="21"/>
              <w:bidi w:val="0"/>
              <w:rPr>
                <w:color w:val="auto"/>
              </w:rPr>
            </w:pPr>
            <w:r>
              <w:rPr>
                <w:rFonts w:hint="eastAsia"/>
                <w:color w:val="auto"/>
                <w:lang w:val="en-US" w:eastAsia="zh-CN"/>
              </w:rPr>
              <w:t>本项目</w:t>
            </w:r>
            <w:r>
              <w:rPr>
                <w:rFonts w:hint="eastAsia"/>
                <w:color w:val="auto"/>
              </w:rPr>
              <w:t>施工总工期共计</w:t>
            </w:r>
            <w:r>
              <w:rPr>
                <w:rFonts w:hint="eastAsia"/>
                <w:color w:val="auto"/>
                <w:lang w:val="en-US" w:eastAsia="zh-CN"/>
              </w:rPr>
              <w:t>12</w:t>
            </w:r>
            <w:r>
              <w:rPr>
                <w:rFonts w:hint="eastAsia"/>
                <w:color w:val="auto"/>
              </w:rPr>
              <w:t>个月。其中施工准备期</w:t>
            </w:r>
            <w:r>
              <w:rPr>
                <w:rFonts w:hint="eastAsia"/>
                <w:color w:val="auto"/>
                <w:lang w:val="en-US" w:eastAsia="zh-CN"/>
              </w:rPr>
              <w:t>1</w:t>
            </w:r>
            <w:r>
              <w:rPr>
                <w:rFonts w:hint="eastAsia"/>
                <w:color w:val="auto"/>
              </w:rPr>
              <w:t>个月</w:t>
            </w:r>
            <w:r>
              <w:rPr>
                <w:rFonts w:hint="eastAsia"/>
                <w:color w:val="auto"/>
                <w:lang w:eastAsia="zh-CN"/>
              </w:rPr>
              <w:t>，</w:t>
            </w:r>
            <w:r>
              <w:rPr>
                <w:rFonts w:hint="eastAsia"/>
                <w:color w:val="auto"/>
                <w:lang w:val="en-US" w:eastAsia="zh-CN"/>
              </w:rPr>
              <w:t>主要完成场地清理、临时设施建设；</w:t>
            </w:r>
            <w:r>
              <w:rPr>
                <w:rFonts w:hint="eastAsia"/>
                <w:color w:val="auto"/>
              </w:rPr>
              <w:t>主体工程施工期</w:t>
            </w:r>
            <w:r>
              <w:rPr>
                <w:rFonts w:hint="eastAsia"/>
                <w:color w:val="auto"/>
                <w:lang w:val="en-US" w:eastAsia="zh-CN"/>
              </w:rPr>
              <w:t>9</w:t>
            </w:r>
            <w:r>
              <w:rPr>
                <w:rFonts w:hint="eastAsia"/>
                <w:color w:val="auto"/>
              </w:rPr>
              <w:t>个月</w:t>
            </w:r>
            <w:r>
              <w:rPr>
                <w:rFonts w:hint="eastAsia"/>
                <w:color w:val="auto"/>
                <w:lang w:eastAsia="zh-CN"/>
              </w:rPr>
              <w:t>，</w:t>
            </w:r>
            <w:r>
              <w:rPr>
                <w:rFonts w:hint="eastAsia"/>
                <w:color w:val="auto"/>
                <w:lang w:val="en-US" w:eastAsia="zh-CN"/>
              </w:rPr>
              <w:t>主要完成桥梁、道路及附属设施施工；</w:t>
            </w:r>
            <w:r>
              <w:rPr>
                <w:rFonts w:hint="eastAsia"/>
                <w:color w:val="auto"/>
              </w:rPr>
              <w:t>工程完建期</w:t>
            </w:r>
            <w:r>
              <w:rPr>
                <w:rFonts w:hint="eastAsia"/>
                <w:color w:val="auto"/>
                <w:lang w:val="en-US" w:eastAsia="zh-CN"/>
              </w:rPr>
              <w:t>2</w:t>
            </w:r>
            <w:r>
              <w:rPr>
                <w:rFonts w:hint="eastAsia"/>
                <w:color w:val="auto"/>
              </w:rPr>
              <w:t>个月</w:t>
            </w:r>
            <w:r>
              <w:rPr>
                <w:rFonts w:hint="eastAsia"/>
                <w:color w:val="auto"/>
                <w:lang w:eastAsia="zh-CN"/>
              </w:rPr>
              <w:t>，</w:t>
            </w:r>
            <w:r>
              <w:rPr>
                <w:rFonts w:hint="eastAsia"/>
                <w:color w:val="auto"/>
                <w:lang w:val="en-US" w:eastAsia="zh-CN"/>
              </w:rPr>
              <w:t>主要进行临时工程拆除、场地清理和施工单位退场等收尾工作。</w:t>
            </w:r>
          </w:p>
          <w:p w14:paraId="694A7291">
            <w:pPr>
              <w:pStyle w:val="21"/>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）施工人员</w:t>
            </w:r>
          </w:p>
          <w:p w14:paraId="135154C5">
            <w:pPr>
              <w:pStyle w:val="21"/>
              <w:bidi w:val="0"/>
              <w:rPr>
                <w:color w:val="auto"/>
              </w:rPr>
            </w:pPr>
            <w:r>
              <w:rPr>
                <w:rFonts w:hint="eastAsia"/>
                <w:color w:val="auto"/>
                <w:lang w:eastAsia="zh-CN"/>
              </w:rPr>
              <w:t>项目预计建设高峰时最大施工人员数量为30人。</w:t>
            </w:r>
          </w:p>
        </w:tc>
      </w:tr>
      <w:tr w14:paraId="7A7B54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5" w:type="dxa"/>
            <w:vAlign w:val="center"/>
          </w:tcPr>
          <w:p w14:paraId="238CF07E">
            <w:pPr>
              <w:rPr>
                <w:rFonts w:hint="eastAsia"/>
                <w:color w:val="auto"/>
              </w:rPr>
            </w:pPr>
            <w:r>
              <w:rPr>
                <w:rFonts w:hint="eastAsia"/>
                <w:color w:val="auto"/>
              </w:rPr>
              <w:t>其他</w:t>
            </w:r>
          </w:p>
        </w:tc>
        <w:tc>
          <w:tcPr>
            <w:tcW w:w="8495" w:type="dxa"/>
            <w:vAlign w:val="center"/>
          </w:tcPr>
          <w:p w14:paraId="1B6B465E">
            <w:pPr>
              <w:pStyle w:val="3"/>
              <w:bidi w:val="0"/>
              <w:rPr>
                <w:color w:val="auto"/>
              </w:rPr>
            </w:pPr>
            <w:r>
              <w:rPr>
                <w:rFonts w:hint="eastAsia"/>
                <w:color w:val="auto"/>
              </w:rPr>
              <w:t>比选方案</w:t>
            </w:r>
          </w:p>
          <w:p w14:paraId="5A31972E">
            <w:pPr>
              <w:pStyle w:val="21"/>
              <w:bidi w:val="0"/>
              <w:rPr>
                <w:color w:val="auto"/>
              </w:rPr>
            </w:pPr>
            <w:r>
              <w:rPr>
                <w:rFonts w:hint="eastAsia"/>
                <w:color w:val="auto"/>
                <w:lang w:val="en-US" w:eastAsia="zh-CN"/>
              </w:rPr>
              <w:t>本项目属于城市规划道路，主要为完善万达广场周边路网，设计起点与终点均与已建成道路顺接，道路起点、终点已确定，加之路线较短，路线走廊带单一，不涉及比选方案。</w:t>
            </w:r>
          </w:p>
        </w:tc>
      </w:tr>
    </w:tbl>
    <w:p w14:paraId="09456FB6">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F2C7A90">
      <w:pPr>
        <w:pStyle w:val="2"/>
        <w:spacing w:after="312"/>
        <w:rPr>
          <w:color w:val="auto"/>
        </w:rPr>
      </w:pPr>
      <w:r>
        <w:rPr>
          <w:rFonts w:hint="eastAsia"/>
          <w:color w:val="auto"/>
        </w:rPr>
        <w:t>生态环境现状、保护目标及评价标准</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10"/>
        <w:gridCol w:w="8876"/>
      </w:tblGrid>
      <w:tr w14:paraId="7F9A1F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9" w:type="dxa"/>
            <w:vAlign w:val="center"/>
          </w:tcPr>
          <w:p w14:paraId="356712AA">
            <w:pPr>
              <w:rPr>
                <w:rFonts w:hint="eastAsia"/>
                <w:color w:val="auto"/>
              </w:rPr>
            </w:pPr>
            <w:r>
              <w:rPr>
                <w:rFonts w:hint="eastAsia"/>
                <w:color w:val="auto"/>
              </w:rPr>
              <w:t>生态环境现状</w:t>
            </w:r>
          </w:p>
        </w:tc>
        <w:tc>
          <w:tcPr>
            <w:tcW w:w="8567" w:type="dxa"/>
            <w:vAlign w:val="center"/>
          </w:tcPr>
          <w:p w14:paraId="1129395C">
            <w:pPr>
              <w:pStyle w:val="3"/>
              <w:bidi w:val="0"/>
              <w:rPr>
                <w:color w:val="auto"/>
              </w:rPr>
            </w:pPr>
            <w:r>
              <w:rPr>
                <w:rFonts w:hint="eastAsia"/>
                <w:color w:val="auto"/>
              </w:rPr>
              <w:t>生态环境现状</w:t>
            </w:r>
          </w:p>
          <w:p w14:paraId="093E8CD7">
            <w:pPr>
              <w:pStyle w:val="4"/>
              <w:bidi w:val="0"/>
              <w:rPr>
                <w:color w:val="auto"/>
              </w:rPr>
            </w:pPr>
            <w:r>
              <w:rPr>
                <w:color w:val="auto"/>
              </w:rPr>
              <w:t>主体功能区规划</w:t>
            </w:r>
          </w:p>
          <w:p w14:paraId="5E9895A1">
            <w:pPr>
              <w:pStyle w:val="21"/>
              <w:bidi w:val="0"/>
              <w:rPr>
                <w:color w:val="auto"/>
              </w:rPr>
            </w:pPr>
            <w:r>
              <w:rPr>
                <w:rFonts w:hint="eastAsia"/>
                <w:color w:val="auto"/>
                <w:lang w:val="en-US" w:eastAsia="zh-CN"/>
              </w:rPr>
              <w:t>项目位于奉节县夔州街道胡家社区、冒峰社区，为奉节西部新区。</w:t>
            </w:r>
            <w:r>
              <w:rPr>
                <w:color w:val="auto"/>
              </w:rPr>
              <w:t>根据国务院《关于印发全国主体功能区规划的通知》（国发〔2010〕46号），项目所在区域属于重点开发区域中的成渝地区，不属于限制开发区域（重点生态功能区）以及禁止开发区域。</w:t>
            </w:r>
          </w:p>
          <w:p w14:paraId="368BA0EC">
            <w:pPr>
              <w:pStyle w:val="4"/>
              <w:bidi w:val="0"/>
              <w:rPr>
                <w:color w:val="auto"/>
              </w:rPr>
            </w:pPr>
            <w:r>
              <w:rPr>
                <w:color w:val="auto"/>
              </w:rPr>
              <w:t>生态功能区划</w:t>
            </w:r>
          </w:p>
          <w:p w14:paraId="52FD96BB">
            <w:pPr>
              <w:pStyle w:val="21"/>
              <w:bidi w:val="0"/>
              <w:rPr>
                <w:rFonts w:hint="eastAsia"/>
                <w:color w:val="auto"/>
              </w:rPr>
            </w:pPr>
            <w:r>
              <w:rPr>
                <w:rFonts w:hint="eastAsia"/>
                <w:color w:val="auto"/>
              </w:rPr>
              <w:t>根据《重庆市生态功能区划（修编）》（2008</w:t>
            </w:r>
            <w:r>
              <w:rPr>
                <w:rFonts w:hint="eastAsia"/>
                <w:color w:val="auto"/>
                <w:lang w:val="en-US" w:eastAsia="zh-CN"/>
              </w:rPr>
              <w:t>年</w:t>
            </w:r>
            <w:r>
              <w:rPr>
                <w:rFonts w:hint="eastAsia"/>
                <w:color w:val="auto"/>
              </w:rPr>
              <w:t>），重庆市生态功能区划分为5个一级区，9个二级区，14个三级区。</w:t>
            </w:r>
            <w:r>
              <w:rPr>
                <w:rFonts w:hint="eastAsia"/>
                <w:color w:val="auto"/>
                <w:lang w:val="en-US" w:eastAsia="zh-CN"/>
              </w:rPr>
              <w:t>奉节</w:t>
            </w:r>
            <w:r>
              <w:rPr>
                <w:rFonts w:hint="eastAsia"/>
                <w:color w:val="auto"/>
              </w:rPr>
              <w:t>县属“II三峡库区（腹地）平行岭谷低山-丘陵生态区”中“II1三峡水库水体保护生态亚区”</w:t>
            </w:r>
            <w:r>
              <w:rPr>
                <w:rFonts w:hint="eastAsia"/>
                <w:color w:val="auto"/>
                <w:lang w:val="en-US" w:eastAsia="zh-CN"/>
              </w:rPr>
              <w:t>中</w:t>
            </w:r>
            <w:r>
              <w:rPr>
                <w:rFonts w:hint="eastAsia"/>
                <w:color w:val="auto"/>
              </w:rPr>
              <w:t>“II1-1巫山－奉节水体保护－水源涵养生态功能区”。</w:t>
            </w:r>
          </w:p>
          <w:p w14:paraId="035C83F2">
            <w:pPr>
              <w:pStyle w:val="21"/>
              <w:bidi w:val="0"/>
              <w:rPr>
                <w:rFonts w:hint="eastAsia"/>
                <w:color w:val="auto"/>
              </w:rPr>
            </w:pPr>
            <w:r>
              <w:rPr>
                <w:rFonts w:hint="eastAsia"/>
                <w:color w:val="auto"/>
              </w:rPr>
              <w:t>该生态功能区包括奉节、巫山两县，面积7057.3km</w:t>
            </w:r>
            <w:r>
              <w:rPr>
                <w:rFonts w:hint="eastAsia"/>
                <w:color w:val="auto"/>
                <w:vertAlign w:val="superscript"/>
              </w:rPr>
              <w:t>2</w:t>
            </w:r>
            <w:r>
              <w:rPr>
                <w:rFonts w:hint="eastAsia"/>
                <w:color w:val="auto"/>
              </w:rPr>
              <w:t>，平均海拔970m左右、相对高差2100</w:t>
            </w:r>
            <w:r>
              <w:rPr>
                <w:rFonts w:hint="eastAsia"/>
                <w:color w:val="auto"/>
                <w:lang w:val="en-US" w:eastAsia="zh-CN"/>
              </w:rPr>
              <w:t>~</w:t>
            </w:r>
            <w:r>
              <w:rPr>
                <w:rFonts w:hint="eastAsia"/>
                <w:color w:val="auto"/>
              </w:rPr>
              <w:t>2600m。多年均降雨量低于1150mm。林地面积比57.4</w:t>
            </w:r>
            <w:r>
              <w:rPr>
                <w:rFonts w:hint="eastAsia"/>
                <w:color w:val="auto"/>
                <w:lang w:val="en-US" w:eastAsia="zh-CN"/>
              </w:rPr>
              <w:t>%</w:t>
            </w:r>
            <w:r>
              <w:rPr>
                <w:rFonts w:hint="eastAsia"/>
                <w:color w:val="auto"/>
              </w:rPr>
              <w:t>。该区主要生态环境问题为水土流失、石漠化、地质灾害是全市最严重地区，次级河流存在一定程度污染，三峡水库消落区生态环境问题危害较严重。主导生态功能为保护三峡水库水体，辅助功能为水土保持、水源涵养。生态环境保护建设方向和重点是农村面源和城镇生活污水、垃圾的污染防治，进一步提高植被覆盖度，保持水土、涵养水源，进行地质灾害、石漠化和三峡水库消落区生态环境综合整治。适度点状开发，发展生态旅游业、绿色农林产品加工业、清洁能源和环保建材产业，形成特色经济。按资源环境承载能力，主要向我市“一小时经济圈”进行人口梯度转移。本区的自然保护区、国家森林公园和地质公园、风景名胜区核心区应划为禁止开发区，依法保护，严禁开发活动；长江等河流水域应重点保护。</w:t>
            </w:r>
          </w:p>
          <w:p w14:paraId="412EE2BD">
            <w:pPr>
              <w:pStyle w:val="4"/>
              <w:bidi w:val="0"/>
              <w:rPr>
                <w:color w:val="auto"/>
              </w:rPr>
            </w:pPr>
            <w:r>
              <w:rPr>
                <w:rFonts w:hint="eastAsia"/>
                <w:color w:val="auto"/>
              </w:rPr>
              <w:t>生态环境现状</w:t>
            </w:r>
          </w:p>
          <w:p w14:paraId="2C00B9FD">
            <w:pPr>
              <w:pStyle w:val="21"/>
              <w:bidi w:val="0"/>
              <w:rPr>
                <w:color w:val="auto"/>
              </w:rPr>
            </w:pPr>
            <w:r>
              <w:rPr>
                <w:color w:val="auto"/>
              </w:rPr>
              <w:t>（1）陆生生态环境</w:t>
            </w:r>
          </w:p>
          <w:p w14:paraId="79C4F0C7">
            <w:pPr>
              <w:pStyle w:val="21"/>
              <w:bidi w:val="0"/>
              <w:rPr>
                <w:rFonts w:hint="eastAsia"/>
                <w:color w:val="auto"/>
                <w:lang w:val="en-US" w:eastAsia="zh-CN"/>
              </w:rPr>
            </w:pPr>
            <w:r>
              <w:rPr>
                <w:rFonts w:hint="eastAsia"/>
                <w:color w:val="auto"/>
                <w:lang w:val="en-US" w:eastAsia="zh-CN"/>
              </w:rPr>
              <w:t>①土地利用类型</w:t>
            </w:r>
          </w:p>
          <w:p w14:paraId="703F1744">
            <w:pPr>
              <w:pStyle w:val="21"/>
              <w:bidi w:val="0"/>
              <w:rPr>
                <w:rFonts w:hint="eastAsia"/>
                <w:color w:val="auto"/>
                <w:lang w:val="en-US" w:eastAsia="zh-CN"/>
              </w:rPr>
            </w:pPr>
            <w:r>
              <w:rPr>
                <w:rFonts w:hint="eastAsia"/>
                <w:color w:val="auto"/>
                <w:lang w:val="en-US" w:eastAsia="zh-CN"/>
              </w:rPr>
              <w:t>项目占地面积为7264.56m</w:t>
            </w:r>
            <w:r>
              <w:rPr>
                <w:rFonts w:hint="eastAsia"/>
                <w:color w:val="auto"/>
                <w:vertAlign w:val="superscript"/>
                <w:lang w:val="en-US" w:eastAsia="zh-CN"/>
              </w:rPr>
              <w:t>2</w:t>
            </w:r>
            <w:r>
              <w:rPr>
                <w:rFonts w:hint="eastAsia"/>
                <w:color w:val="auto"/>
                <w:lang w:val="en-US" w:eastAsia="zh-CN"/>
              </w:rPr>
              <w:t>，其中永久占地5964.56m</w:t>
            </w:r>
            <w:r>
              <w:rPr>
                <w:rFonts w:hint="eastAsia"/>
                <w:color w:val="auto"/>
                <w:vertAlign w:val="superscript"/>
                <w:lang w:val="en-US" w:eastAsia="zh-CN"/>
              </w:rPr>
              <w:t>2</w:t>
            </w:r>
            <w:r>
              <w:rPr>
                <w:rFonts w:hint="eastAsia"/>
                <w:color w:val="auto"/>
                <w:lang w:val="en-US" w:eastAsia="zh-CN"/>
              </w:rPr>
              <w:t>，临时占地1300m</w:t>
            </w:r>
            <w:r>
              <w:rPr>
                <w:rFonts w:hint="eastAsia"/>
                <w:color w:val="auto"/>
                <w:vertAlign w:val="superscript"/>
                <w:lang w:val="en-US" w:eastAsia="zh-CN"/>
              </w:rPr>
              <w:t>2</w:t>
            </w:r>
            <w:r>
              <w:rPr>
                <w:rFonts w:hint="eastAsia"/>
                <w:color w:val="auto"/>
                <w:lang w:val="en-US" w:eastAsia="zh-CN"/>
              </w:rPr>
              <w:t>，临时占地主要为施工场地。根据调查，项目占地范围内土地利用现状主要为公园绿地、交通运输用地、河流水面、商业用地等，项目区域土地利用现状类型见附图12。</w:t>
            </w:r>
          </w:p>
          <w:p w14:paraId="7BDE47E6">
            <w:pPr>
              <w:pStyle w:val="21"/>
              <w:bidi w:val="0"/>
              <w:rPr>
                <w:rFonts w:hint="default"/>
                <w:color w:val="auto"/>
                <w:lang w:val="en-US" w:eastAsia="zh-CN"/>
              </w:rPr>
            </w:pPr>
            <w:r>
              <w:rPr>
                <w:rFonts w:hint="eastAsia"/>
                <w:color w:val="auto"/>
                <w:lang w:val="en-US" w:eastAsia="zh-CN"/>
              </w:rPr>
              <w:t>②植被类型</w:t>
            </w:r>
          </w:p>
          <w:p w14:paraId="3416ABA1">
            <w:pPr>
              <w:pStyle w:val="21"/>
              <w:bidi w:val="0"/>
              <w:rPr>
                <w:rFonts w:hint="default"/>
                <w:color w:val="auto"/>
                <w:lang w:val="en-US" w:eastAsia="zh-CN"/>
              </w:rPr>
            </w:pPr>
            <w:r>
              <w:rPr>
                <w:rFonts w:hint="eastAsia"/>
                <w:color w:val="auto"/>
                <w:lang w:val="en-US" w:eastAsia="zh-CN"/>
              </w:rPr>
              <w:t>本项目位于城市建成区，属于城市生态系统，生态系统结构简单，人为活动干扰较大。项目所在地植被类型为人工种植的乔木（桂花、蓝花楹、紫薇、水杉等）、灌木（海桐、满天星、春鹃等）、草本植物（鼠尾草、狗牙根、狼尾草等）及周边居民临时种植的农作物（玉米、豆角等）。</w:t>
            </w:r>
          </w:p>
          <w:p w14:paraId="0EF1960B">
            <w:pPr>
              <w:pStyle w:val="21"/>
              <w:bidi w:val="0"/>
              <w:rPr>
                <w:rFonts w:hint="eastAsia"/>
                <w:color w:val="auto"/>
                <w:lang w:val="en-US" w:eastAsia="zh-CN"/>
              </w:rPr>
            </w:pPr>
            <w:r>
              <w:rPr>
                <w:rFonts w:hint="eastAsia"/>
                <w:color w:val="auto"/>
                <w:lang w:val="en-US" w:eastAsia="zh-CN"/>
              </w:rPr>
              <w:t>根据现场调查，项目用地及周边未发现珍稀濒危及国家、地方重点保护野生植物和古树名木分布。</w:t>
            </w:r>
          </w:p>
          <w:p w14:paraId="7A348D14">
            <w:pPr>
              <w:pStyle w:val="21"/>
              <w:bidi w:val="0"/>
              <w:rPr>
                <w:rFonts w:hint="default"/>
                <w:color w:val="auto"/>
                <w:lang w:val="en-US" w:eastAsia="zh-CN"/>
              </w:rPr>
            </w:pPr>
            <w:r>
              <w:rPr>
                <w:rFonts w:hint="eastAsia"/>
                <w:color w:val="auto"/>
                <w:lang w:val="en-US" w:eastAsia="zh-CN"/>
              </w:rPr>
              <w:t>③动物资源</w:t>
            </w:r>
          </w:p>
          <w:p w14:paraId="06DA1807">
            <w:pPr>
              <w:pStyle w:val="21"/>
              <w:bidi w:val="0"/>
              <w:rPr>
                <w:rFonts w:hint="eastAsia"/>
                <w:color w:val="auto"/>
                <w:lang w:val="en-US" w:eastAsia="zh-CN"/>
              </w:rPr>
            </w:pPr>
            <w:r>
              <w:rPr>
                <w:rFonts w:hint="eastAsia"/>
                <w:color w:val="auto"/>
                <w:lang w:val="en-US" w:eastAsia="zh-CN"/>
              </w:rPr>
              <w:t>本项目位于城市建成区，属于城市生态系统，由于受到较强的人为干扰，基本无野生动物活动，可能有少量的蛙、鸟、鼠等。根据现场勘查，项目用地及周边未发现国家、地方重点保护野生动物。</w:t>
            </w:r>
          </w:p>
          <w:p w14:paraId="56E48AA3">
            <w:pPr>
              <w:pStyle w:val="21"/>
              <w:bidi w:val="0"/>
              <w:rPr>
                <w:rFonts w:hint="eastAsia"/>
                <w:color w:val="auto"/>
                <w:lang w:val="en-US" w:eastAsia="zh-CN"/>
              </w:rPr>
            </w:pPr>
            <w:r>
              <w:rPr>
                <w:rFonts w:hint="eastAsia"/>
                <w:color w:val="auto"/>
                <w:lang w:val="en-US" w:eastAsia="zh-CN"/>
              </w:rPr>
              <w:t>④水生生物</w:t>
            </w:r>
          </w:p>
          <w:p w14:paraId="6D508698">
            <w:pPr>
              <w:pStyle w:val="21"/>
              <w:bidi w:val="0"/>
              <w:rPr>
                <w:rFonts w:hint="default"/>
                <w:color w:val="auto"/>
                <w:lang w:val="en-US" w:eastAsia="zh-CN"/>
              </w:rPr>
            </w:pPr>
            <w:r>
              <w:rPr>
                <w:rFonts w:hint="default"/>
                <w:color w:val="auto"/>
                <w:lang w:val="en-US" w:eastAsia="zh-CN"/>
              </w:rPr>
              <w:t>本项目跨甘溪沟</w:t>
            </w:r>
            <w:r>
              <w:rPr>
                <w:rFonts w:hint="eastAsia"/>
                <w:color w:val="auto"/>
                <w:lang w:val="en-US" w:eastAsia="zh-CN"/>
              </w:rPr>
              <w:t>，甘溪沟为朱衣河一级支流，发源于朱衣镇桥沟村小地名老鸦寨，向南流经石儿拐沟后转向东南经罗圈岩、大塝、过水田、钟家沟后再转向南流经乱石窖、梨子包、大沟包、郑家屋场后在胡家坝汇入朱衣河。甘溪沟流域面积为19.4km</w:t>
            </w:r>
            <w:r>
              <w:rPr>
                <w:rFonts w:hint="eastAsia"/>
                <w:color w:val="auto"/>
                <w:vertAlign w:val="superscript"/>
                <w:lang w:val="en-US" w:eastAsia="zh-CN"/>
              </w:rPr>
              <w:t>2</w:t>
            </w:r>
            <w:r>
              <w:rPr>
                <w:rFonts w:hint="eastAsia"/>
                <w:color w:val="auto"/>
                <w:lang w:val="en-US" w:eastAsia="zh-CN"/>
              </w:rPr>
              <w:t>，主河道长8.34km，平均比降为68.4</w:t>
            </w:r>
            <w:r>
              <w:rPr>
                <w:rFonts w:hint="default" w:ascii="Times New Roman" w:hAnsi="Times New Roman" w:cs="Times New Roman"/>
                <w:color w:val="auto"/>
                <w:lang w:val="en-US" w:eastAsia="zh-CN"/>
              </w:rPr>
              <w:t>‰</w:t>
            </w:r>
            <w:r>
              <w:rPr>
                <w:rFonts w:hint="eastAsia"/>
                <w:color w:val="auto"/>
                <w:lang w:val="en-US" w:eastAsia="zh-CN"/>
              </w:rPr>
              <w:t>。甘溪沟已进行河道综合治理，主要由六棱块护坡、混凝土护底、穿堤建筑物及附属建筑物组成，河道治理工程起于大坪，止于甘溪沟与朱衣河汇入口。本项目位于治理河道的下段，位于北侧主干道与夔州西路之间，该段已对原河道进行的护坡护底的渠化。甘溪沟水生生物少，以浮游微生物为主。</w:t>
            </w:r>
            <w:r>
              <w:rPr>
                <w:rFonts w:hint="default"/>
                <w:color w:val="auto"/>
                <w:lang w:val="en-US" w:eastAsia="zh-CN"/>
              </w:rPr>
              <w:t>调查河段内无珍稀鱼类和特殊保护鱼类，也无重要水生生物的自然产卵场及索饵场、越冬场和洄游通道。</w:t>
            </w:r>
          </w:p>
          <w:p w14:paraId="7B819286">
            <w:pPr>
              <w:pStyle w:val="3"/>
              <w:bidi w:val="0"/>
              <w:rPr>
                <w:rFonts w:hint="eastAsia"/>
                <w:color w:val="auto"/>
              </w:rPr>
            </w:pPr>
            <w:r>
              <w:rPr>
                <w:rFonts w:hint="eastAsia"/>
                <w:color w:val="auto"/>
              </w:rPr>
              <w:t>区域环境质量现状</w:t>
            </w:r>
          </w:p>
          <w:p w14:paraId="50A1B574">
            <w:pPr>
              <w:pStyle w:val="4"/>
              <w:bidi w:val="0"/>
              <w:rPr>
                <w:rFonts w:hint="eastAsia"/>
                <w:color w:val="auto"/>
              </w:rPr>
            </w:pPr>
            <w:r>
              <w:rPr>
                <w:rFonts w:hint="eastAsia"/>
                <w:color w:val="auto"/>
              </w:rPr>
              <w:t>大气环境</w:t>
            </w:r>
          </w:p>
          <w:p w14:paraId="19994FAF">
            <w:pPr>
              <w:pStyle w:val="21"/>
              <w:bidi w:val="0"/>
              <w:rPr>
                <w:rFonts w:hint="eastAsia"/>
                <w:color w:val="auto"/>
              </w:rPr>
            </w:pPr>
            <w:r>
              <w:rPr>
                <w:rFonts w:hint="eastAsia"/>
                <w:color w:val="auto"/>
              </w:rPr>
              <w:t>根据《重庆市环境空气质量功能区划分规定》（渝府发〔2016〕19号）规定，项目所在区域为环境空气质量二类功能区，执行《环境空气质量标准》（GB</w:t>
            </w:r>
            <w:r>
              <w:rPr>
                <w:rFonts w:hint="eastAsia"/>
                <w:color w:val="auto"/>
                <w:lang w:val="en-US" w:eastAsia="zh-CN"/>
              </w:rPr>
              <w:t xml:space="preserve"> </w:t>
            </w:r>
            <w:r>
              <w:rPr>
                <w:rFonts w:hint="eastAsia"/>
                <w:color w:val="auto"/>
              </w:rPr>
              <w:t>3095-2012）二级标准。</w:t>
            </w:r>
          </w:p>
          <w:p w14:paraId="0DA16E0D">
            <w:pPr>
              <w:pStyle w:val="21"/>
              <w:bidi w:val="0"/>
              <w:rPr>
                <w:rFonts w:hint="eastAsia"/>
                <w:color w:val="auto"/>
              </w:rPr>
            </w:pPr>
            <w:r>
              <w:rPr>
                <w:rFonts w:hint="eastAsia"/>
                <w:color w:val="auto"/>
              </w:rPr>
              <w:t>本次评价采用</w:t>
            </w:r>
            <w:r>
              <w:rPr>
                <w:rFonts w:hint="eastAsia"/>
                <w:color w:val="auto"/>
                <w:lang w:val="en-US" w:eastAsia="zh-CN"/>
              </w:rPr>
              <w:t>2024</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31</w:t>
            </w:r>
            <w:r>
              <w:rPr>
                <w:rFonts w:hint="eastAsia"/>
                <w:color w:val="auto"/>
              </w:rPr>
              <w:t>日重庆市生态环境局公布的《</w:t>
            </w:r>
            <w:r>
              <w:rPr>
                <w:rFonts w:hint="eastAsia"/>
                <w:color w:val="auto"/>
                <w:lang w:val="en-US" w:eastAsia="zh-CN"/>
              </w:rPr>
              <w:t>2023</w:t>
            </w:r>
            <w:r>
              <w:rPr>
                <w:rFonts w:hint="eastAsia"/>
                <w:color w:val="auto"/>
              </w:rPr>
              <w:t>年重庆市生态环境状况公报》中环境空气质量</w:t>
            </w:r>
            <w:r>
              <w:rPr>
                <w:rFonts w:hint="eastAsia"/>
                <w:color w:val="auto"/>
                <w:lang w:val="en-US" w:eastAsia="zh-CN"/>
              </w:rPr>
              <w:t>现状</w:t>
            </w:r>
            <w:r>
              <w:rPr>
                <w:rFonts w:hint="eastAsia"/>
                <w:color w:val="auto"/>
              </w:rPr>
              <w:t>数据进行常规污染物环境质量现状评价。具体见下表。</w:t>
            </w:r>
          </w:p>
          <w:p w14:paraId="45F03CF4">
            <w:pPr>
              <w:pStyle w:val="6"/>
              <w:bidi w:val="0"/>
              <w:rPr>
                <w:rFonts w:hint="eastAsia"/>
                <w:color w:val="auto"/>
              </w:rPr>
            </w:pPr>
            <w:r>
              <w:rPr>
                <w:rFonts w:hint="eastAsia"/>
                <w:color w:val="auto"/>
                <w:lang w:val="en-US" w:eastAsia="zh-CN"/>
              </w:rPr>
              <w:t>奉节县</w:t>
            </w:r>
            <w:r>
              <w:rPr>
                <w:rFonts w:hint="eastAsia"/>
                <w:color w:val="auto"/>
              </w:rPr>
              <w:t>202</w:t>
            </w:r>
            <w:r>
              <w:rPr>
                <w:rFonts w:hint="eastAsia"/>
                <w:color w:val="auto"/>
                <w:lang w:val="en-US" w:eastAsia="zh-CN"/>
              </w:rPr>
              <w:t>3</w:t>
            </w:r>
            <w:r>
              <w:rPr>
                <w:rFonts w:hint="eastAsia"/>
                <w:color w:val="auto"/>
              </w:rPr>
              <w:t>年环境空气质量现状一览表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0"/>
              <w:gridCol w:w="2553"/>
              <w:gridCol w:w="1272"/>
              <w:gridCol w:w="988"/>
              <w:gridCol w:w="1558"/>
              <w:gridCol w:w="1229"/>
            </w:tblGrid>
            <w:tr w14:paraId="227B1F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12" w:type="pct"/>
                  <w:vAlign w:val="center"/>
                </w:tcPr>
                <w:p w14:paraId="5A3947A1">
                  <w:pPr>
                    <w:pStyle w:val="23"/>
                    <w:bidi w:val="0"/>
                    <w:rPr>
                      <w:color w:val="auto"/>
                    </w:rPr>
                  </w:pPr>
                  <w:r>
                    <w:rPr>
                      <w:color w:val="auto"/>
                    </w:rPr>
                    <w:t>污染物</w:t>
                  </w:r>
                </w:p>
              </w:tc>
              <w:tc>
                <w:tcPr>
                  <w:tcW w:w="1473" w:type="pct"/>
                  <w:vAlign w:val="center"/>
                </w:tcPr>
                <w:p w14:paraId="78D195EE">
                  <w:pPr>
                    <w:pStyle w:val="23"/>
                    <w:bidi w:val="0"/>
                    <w:rPr>
                      <w:color w:val="auto"/>
                    </w:rPr>
                  </w:pPr>
                  <w:r>
                    <w:rPr>
                      <w:color w:val="auto"/>
                    </w:rPr>
                    <w:t>年评价指标</w:t>
                  </w:r>
                </w:p>
              </w:tc>
              <w:tc>
                <w:tcPr>
                  <w:tcW w:w="734" w:type="pct"/>
                  <w:vAlign w:val="center"/>
                </w:tcPr>
                <w:p w14:paraId="35723098">
                  <w:pPr>
                    <w:pStyle w:val="23"/>
                    <w:bidi w:val="0"/>
                    <w:rPr>
                      <w:color w:val="auto"/>
                    </w:rPr>
                  </w:pPr>
                  <w:r>
                    <w:rPr>
                      <w:color w:val="auto"/>
                    </w:rPr>
                    <w:t>现状浓度</w:t>
                  </w:r>
                </w:p>
              </w:tc>
              <w:tc>
                <w:tcPr>
                  <w:tcW w:w="570" w:type="pct"/>
                  <w:vAlign w:val="center"/>
                </w:tcPr>
                <w:p w14:paraId="298A9BE1">
                  <w:pPr>
                    <w:pStyle w:val="23"/>
                    <w:bidi w:val="0"/>
                    <w:rPr>
                      <w:color w:val="auto"/>
                    </w:rPr>
                  </w:pPr>
                  <w:r>
                    <w:rPr>
                      <w:color w:val="auto"/>
                    </w:rPr>
                    <w:t>标准值</w:t>
                  </w:r>
                </w:p>
              </w:tc>
              <w:tc>
                <w:tcPr>
                  <w:tcW w:w="899" w:type="pct"/>
                  <w:vAlign w:val="center"/>
                </w:tcPr>
                <w:p w14:paraId="0E79BD39">
                  <w:pPr>
                    <w:pStyle w:val="23"/>
                    <w:bidi w:val="0"/>
                    <w:rPr>
                      <w:color w:val="auto"/>
                    </w:rPr>
                  </w:pPr>
                  <w:r>
                    <w:rPr>
                      <w:color w:val="auto"/>
                    </w:rPr>
                    <w:t>占标率（%）</w:t>
                  </w:r>
                </w:p>
              </w:tc>
              <w:tc>
                <w:tcPr>
                  <w:tcW w:w="709" w:type="pct"/>
                  <w:vAlign w:val="center"/>
                </w:tcPr>
                <w:p w14:paraId="79AA8DDF">
                  <w:pPr>
                    <w:pStyle w:val="23"/>
                    <w:bidi w:val="0"/>
                    <w:rPr>
                      <w:color w:val="auto"/>
                    </w:rPr>
                  </w:pPr>
                  <w:r>
                    <w:rPr>
                      <w:color w:val="auto"/>
                    </w:rPr>
                    <w:t>达标情况</w:t>
                  </w:r>
                </w:p>
              </w:tc>
            </w:tr>
            <w:tr w14:paraId="67A64C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2" w:type="pct"/>
                  <w:vAlign w:val="center"/>
                </w:tcPr>
                <w:p w14:paraId="354732ED">
                  <w:pPr>
                    <w:pStyle w:val="23"/>
                    <w:bidi w:val="0"/>
                    <w:rPr>
                      <w:color w:val="auto"/>
                    </w:rPr>
                  </w:pPr>
                  <w:r>
                    <w:rPr>
                      <w:color w:val="auto"/>
                    </w:rPr>
                    <w:t>PM</w:t>
                  </w:r>
                  <w:r>
                    <w:rPr>
                      <w:color w:val="auto"/>
                      <w:vertAlign w:val="subscript"/>
                    </w:rPr>
                    <w:t>10</w:t>
                  </w:r>
                </w:p>
              </w:tc>
              <w:tc>
                <w:tcPr>
                  <w:tcW w:w="1473" w:type="pct"/>
                  <w:vMerge w:val="restart"/>
                  <w:vAlign w:val="center"/>
                </w:tcPr>
                <w:p w14:paraId="69AE703E">
                  <w:pPr>
                    <w:pStyle w:val="23"/>
                    <w:bidi w:val="0"/>
                    <w:rPr>
                      <w:color w:val="auto"/>
                    </w:rPr>
                  </w:pPr>
                  <w:r>
                    <w:rPr>
                      <w:color w:val="auto"/>
                    </w:rPr>
                    <w:t>年平均质量浓度</w:t>
                  </w:r>
                </w:p>
              </w:tc>
              <w:tc>
                <w:tcPr>
                  <w:tcW w:w="734" w:type="pct"/>
                  <w:vAlign w:val="center"/>
                </w:tcPr>
                <w:p w14:paraId="2E92292D">
                  <w:pPr>
                    <w:pStyle w:val="23"/>
                    <w:bidi w:val="0"/>
                    <w:rPr>
                      <w:rFonts w:hint="default" w:eastAsia="宋体"/>
                      <w:color w:val="auto"/>
                      <w:lang w:val="en-US" w:eastAsia="zh-CN"/>
                    </w:rPr>
                  </w:pPr>
                  <w:r>
                    <w:rPr>
                      <w:rFonts w:hint="eastAsia"/>
                      <w:color w:val="auto"/>
                      <w:lang w:val="en-US" w:eastAsia="zh-CN"/>
                    </w:rPr>
                    <w:t>35</w:t>
                  </w:r>
                </w:p>
              </w:tc>
              <w:tc>
                <w:tcPr>
                  <w:tcW w:w="570" w:type="pct"/>
                  <w:vAlign w:val="center"/>
                </w:tcPr>
                <w:p w14:paraId="645EAF06">
                  <w:pPr>
                    <w:pStyle w:val="23"/>
                    <w:bidi w:val="0"/>
                    <w:rPr>
                      <w:color w:val="auto"/>
                    </w:rPr>
                  </w:pPr>
                  <w:r>
                    <w:rPr>
                      <w:color w:val="auto"/>
                    </w:rPr>
                    <w:t>70</w:t>
                  </w:r>
                </w:p>
              </w:tc>
              <w:tc>
                <w:tcPr>
                  <w:tcW w:w="899" w:type="pct"/>
                  <w:vAlign w:val="center"/>
                </w:tcPr>
                <w:p w14:paraId="1F6BC97E">
                  <w:pPr>
                    <w:pStyle w:val="23"/>
                    <w:bidi w:val="0"/>
                    <w:rPr>
                      <w:rFonts w:hint="default" w:eastAsia="宋体"/>
                      <w:color w:val="auto"/>
                      <w:lang w:val="en-US" w:eastAsia="zh-CN"/>
                    </w:rPr>
                  </w:pPr>
                  <w:r>
                    <w:rPr>
                      <w:rFonts w:hint="eastAsia"/>
                      <w:color w:val="auto"/>
                      <w:lang w:val="en-US" w:eastAsia="zh-CN"/>
                    </w:rPr>
                    <w:t>50.0</w:t>
                  </w:r>
                </w:p>
              </w:tc>
              <w:tc>
                <w:tcPr>
                  <w:tcW w:w="709" w:type="pct"/>
                  <w:vAlign w:val="center"/>
                </w:tcPr>
                <w:p w14:paraId="4BAB6DD9">
                  <w:pPr>
                    <w:pStyle w:val="23"/>
                    <w:bidi w:val="0"/>
                    <w:rPr>
                      <w:color w:val="auto"/>
                    </w:rPr>
                  </w:pPr>
                  <w:r>
                    <w:rPr>
                      <w:color w:val="auto"/>
                    </w:rPr>
                    <w:t>达标</w:t>
                  </w:r>
                </w:p>
              </w:tc>
            </w:tr>
            <w:tr w14:paraId="743105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2" w:type="pct"/>
                  <w:vAlign w:val="center"/>
                </w:tcPr>
                <w:p w14:paraId="515C22FF">
                  <w:pPr>
                    <w:pStyle w:val="23"/>
                    <w:bidi w:val="0"/>
                    <w:rPr>
                      <w:color w:val="auto"/>
                    </w:rPr>
                  </w:pPr>
                  <w:r>
                    <w:rPr>
                      <w:color w:val="auto"/>
                    </w:rPr>
                    <w:t>SO</w:t>
                  </w:r>
                  <w:r>
                    <w:rPr>
                      <w:color w:val="auto"/>
                      <w:vertAlign w:val="subscript"/>
                    </w:rPr>
                    <w:t>2</w:t>
                  </w:r>
                </w:p>
              </w:tc>
              <w:tc>
                <w:tcPr>
                  <w:tcW w:w="1473" w:type="pct"/>
                  <w:vMerge w:val="continue"/>
                  <w:vAlign w:val="center"/>
                </w:tcPr>
                <w:p w14:paraId="30CF0865">
                  <w:pPr>
                    <w:pStyle w:val="23"/>
                    <w:bidi w:val="0"/>
                    <w:rPr>
                      <w:color w:val="auto"/>
                    </w:rPr>
                  </w:pPr>
                </w:p>
              </w:tc>
              <w:tc>
                <w:tcPr>
                  <w:tcW w:w="734" w:type="pct"/>
                  <w:vAlign w:val="center"/>
                </w:tcPr>
                <w:p w14:paraId="56E778DF">
                  <w:pPr>
                    <w:pStyle w:val="23"/>
                    <w:bidi w:val="0"/>
                    <w:rPr>
                      <w:rFonts w:hint="default" w:eastAsia="宋体"/>
                      <w:color w:val="auto"/>
                      <w:lang w:val="en-US" w:eastAsia="zh-CN"/>
                    </w:rPr>
                  </w:pPr>
                  <w:r>
                    <w:rPr>
                      <w:rFonts w:hint="eastAsia"/>
                      <w:color w:val="auto"/>
                      <w:lang w:val="en-US" w:eastAsia="zh-CN"/>
                    </w:rPr>
                    <w:t>13</w:t>
                  </w:r>
                </w:p>
              </w:tc>
              <w:tc>
                <w:tcPr>
                  <w:tcW w:w="570" w:type="pct"/>
                  <w:vAlign w:val="center"/>
                </w:tcPr>
                <w:p w14:paraId="43615BEE">
                  <w:pPr>
                    <w:pStyle w:val="23"/>
                    <w:bidi w:val="0"/>
                    <w:rPr>
                      <w:color w:val="auto"/>
                    </w:rPr>
                  </w:pPr>
                  <w:r>
                    <w:rPr>
                      <w:color w:val="auto"/>
                    </w:rPr>
                    <w:t>60</w:t>
                  </w:r>
                </w:p>
              </w:tc>
              <w:tc>
                <w:tcPr>
                  <w:tcW w:w="899" w:type="pct"/>
                  <w:vAlign w:val="center"/>
                </w:tcPr>
                <w:p w14:paraId="19B03866">
                  <w:pPr>
                    <w:pStyle w:val="23"/>
                    <w:bidi w:val="0"/>
                    <w:rPr>
                      <w:rFonts w:hint="default" w:eastAsia="宋体"/>
                      <w:color w:val="auto"/>
                      <w:lang w:val="en-US" w:eastAsia="zh-CN"/>
                    </w:rPr>
                  </w:pPr>
                  <w:r>
                    <w:rPr>
                      <w:rFonts w:hint="eastAsia"/>
                      <w:color w:val="auto"/>
                      <w:lang w:val="en-US" w:eastAsia="zh-CN"/>
                    </w:rPr>
                    <w:t>21.7</w:t>
                  </w:r>
                </w:p>
              </w:tc>
              <w:tc>
                <w:tcPr>
                  <w:tcW w:w="709" w:type="pct"/>
                  <w:vAlign w:val="center"/>
                </w:tcPr>
                <w:p w14:paraId="31629F84">
                  <w:pPr>
                    <w:pStyle w:val="23"/>
                    <w:bidi w:val="0"/>
                    <w:rPr>
                      <w:color w:val="auto"/>
                    </w:rPr>
                  </w:pPr>
                  <w:r>
                    <w:rPr>
                      <w:color w:val="auto"/>
                    </w:rPr>
                    <w:t>达标</w:t>
                  </w:r>
                </w:p>
              </w:tc>
            </w:tr>
            <w:tr w14:paraId="3B0268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2" w:type="pct"/>
                  <w:vAlign w:val="center"/>
                </w:tcPr>
                <w:p w14:paraId="7F27AE1C">
                  <w:pPr>
                    <w:pStyle w:val="23"/>
                    <w:bidi w:val="0"/>
                    <w:rPr>
                      <w:color w:val="auto"/>
                    </w:rPr>
                  </w:pPr>
                  <w:r>
                    <w:rPr>
                      <w:color w:val="auto"/>
                    </w:rPr>
                    <w:t>NO</w:t>
                  </w:r>
                  <w:r>
                    <w:rPr>
                      <w:color w:val="auto"/>
                      <w:vertAlign w:val="subscript"/>
                    </w:rPr>
                    <w:t>2</w:t>
                  </w:r>
                </w:p>
              </w:tc>
              <w:tc>
                <w:tcPr>
                  <w:tcW w:w="1473" w:type="pct"/>
                  <w:vMerge w:val="continue"/>
                  <w:vAlign w:val="center"/>
                </w:tcPr>
                <w:p w14:paraId="75446C7D">
                  <w:pPr>
                    <w:pStyle w:val="23"/>
                    <w:bidi w:val="0"/>
                    <w:rPr>
                      <w:color w:val="auto"/>
                    </w:rPr>
                  </w:pPr>
                </w:p>
              </w:tc>
              <w:tc>
                <w:tcPr>
                  <w:tcW w:w="734" w:type="pct"/>
                  <w:vAlign w:val="center"/>
                </w:tcPr>
                <w:p w14:paraId="3CE3ADF0">
                  <w:pPr>
                    <w:pStyle w:val="23"/>
                    <w:bidi w:val="0"/>
                    <w:rPr>
                      <w:rFonts w:hint="default" w:eastAsia="宋体"/>
                      <w:color w:val="auto"/>
                      <w:lang w:val="en-US" w:eastAsia="zh-CN"/>
                    </w:rPr>
                  </w:pPr>
                  <w:r>
                    <w:rPr>
                      <w:rFonts w:hint="eastAsia"/>
                      <w:color w:val="auto"/>
                      <w:lang w:val="en-US" w:eastAsia="zh-CN"/>
                    </w:rPr>
                    <w:t>25</w:t>
                  </w:r>
                </w:p>
              </w:tc>
              <w:tc>
                <w:tcPr>
                  <w:tcW w:w="570" w:type="pct"/>
                  <w:vAlign w:val="center"/>
                </w:tcPr>
                <w:p w14:paraId="05776DD6">
                  <w:pPr>
                    <w:pStyle w:val="23"/>
                    <w:bidi w:val="0"/>
                    <w:rPr>
                      <w:color w:val="auto"/>
                    </w:rPr>
                  </w:pPr>
                  <w:r>
                    <w:rPr>
                      <w:color w:val="auto"/>
                    </w:rPr>
                    <w:t>40</w:t>
                  </w:r>
                </w:p>
              </w:tc>
              <w:tc>
                <w:tcPr>
                  <w:tcW w:w="899" w:type="pct"/>
                  <w:vAlign w:val="center"/>
                </w:tcPr>
                <w:p w14:paraId="5220CB6E">
                  <w:pPr>
                    <w:pStyle w:val="23"/>
                    <w:bidi w:val="0"/>
                    <w:rPr>
                      <w:rFonts w:hint="default" w:eastAsia="宋体"/>
                      <w:color w:val="auto"/>
                      <w:lang w:val="en-US" w:eastAsia="zh-CN"/>
                    </w:rPr>
                  </w:pPr>
                  <w:r>
                    <w:rPr>
                      <w:rFonts w:hint="eastAsia"/>
                      <w:color w:val="auto"/>
                      <w:lang w:val="en-US" w:eastAsia="zh-CN"/>
                    </w:rPr>
                    <w:t>62.5</w:t>
                  </w:r>
                </w:p>
              </w:tc>
              <w:tc>
                <w:tcPr>
                  <w:tcW w:w="709" w:type="pct"/>
                  <w:vAlign w:val="center"/>
                </w:tcPr>
                <w:p w14:paraId="3AE427F7">
                  <w:pPr>
                    <w:pStyle w:val="23"/>
                    <w:bidi w:val="0"/>
                    <w:rPr>
                      <w:color w:val="auto"/>
                    </w:rPr>
                  </w:pPr>
                  <w:r>
                    <w:rPr>
                      <w:color w:val="auto"/>
                    </w:rPr>
                    <w:t>达标</w:t>
                  </w:r>
                </w:p>
              </w:tc>
            </w:tr>
            <w:tr w14:paraId="747700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2" w:type="pct"/>
                  <w:vAlign w:val="center"/>
                </w:tcPr>
                <w:p w14:paraId="2930F46D">
                  <w:pPr>
                    <w:pStyle w:val="23"/>
                    <w:bidi w:val="0"/>
                    <w:rPr>
                      <w:color w:val="auto"/>
                    </w:rPr>
                  </w:pPr>
                  <w:r>
                    <w:rPr>
                      <w:color w:val="auto"/>
                    </w:rPr>
                    <w:t>PM</w:t>
                  </w:r>
                  <w:r>
                    <w:rPr>
                      <w:color w:val="auto"/>
                      <w:vertAlign w:val="subscript"/>
                    </w:rPr>
                    <w:t>2.5</w:t>
                  </w:r>
                </w:p>
              </w:tc>
              <w:tc>
                <w:tcPr>
                  <w:tcW w:w="1473" w:type="pct"/>
                  <w:vMerge w:val="continue"/>
                  <w:vAlign w:val="center"/>
                </w:tcPr>
                <w:p w14:paraId="78247ADD">
                  <w:pPr>
                    <w:pStyle w:val="23"/>
                    <w:bidi w:val="0"/>
                    <w:rPr>
                      <w:color w:val="auto"/>
                    </w:rPr>
                  </w:pPr>
                </w:p>
              </w:tc>
              <w:tc>
                <w:tcPr>
                  <w:tcW w:w="734" w:type="pct"/>
                  <w:vAlign w:val="center"/>
                </w:tcPr>
                <w:p w14:paraId="0280B5A0">
                  <w:pPr>
                    <w:pStyle w:val="23"/>
                    <w:bidi w:val="0"/>
                    <w:rPr>
                      <w:rFonts w:hint="default" w:eastAsia="宋体"/>
                      <w:color w:val="auto"/>
                      <w:lang w:val="en-US" w:eastAsia="zh-CN"/>
                    </w:rPr>
                  </w:pPr>
                  <w:r>
                    <w:rPr>
                      <w:rFonts w:hint="eastAsia"/>
                      <w:color w:val="auto"/>
                      <w:lang w:val="en-US" w:eastAsia="zh-CN"/>
                    </w:rPr>
                    <w:t>20</w:t>
                  </w:r>
                </w:p>
              </w:tc>
              <w:tc>
                <w:tcPr>
                  <w:tcW w:w="570" w:type="pct"/>
                  <w:vAlign w:val="center"/>
                </w:tcPr>
                <w:p w14:paraId="10BEF390">
                  <w:pPr>
                    <w:pStyle w:val="23"/>
                    <w:bidi w:val="0"/>
                    <w:rPr>
                      <w:color w:val="auto"/>
                    </w:rPr>
                  </w:pPr>
                  <w:r>
                    <w:rPr>
                      <w:color w:val="auto"/>
                    </w:rPr>
                    <w:t>35</w:t>
                  </w:r>
                </w:p>
              </w:tc>
              <w:tc>
                <w:tcPr>
                  <w:tcW w:w="899" w:type="pct"/>
                  <w:vAlign w:val="center"/>
                </w:tcPr>
                <w:p w14:paraId="4D2A28B9">
                  <w:pPr>
                    <w:pStyle w:val="23"/>
                    <w:bidi w:val="0"/>
                    <w:rPr>
                      <w:rFonts w:hint="default" w:eastAsia="宋体"/>
                      <w:color w:val="auto"/>
                      <w:lang w:val="en-US" w:eastAsia="zh-CN"/>
                    </w:rPr>
                  </w:pPr>
                  <w:r>
                    <w:rPr>
                      <w:rFonts w:hint="eastAsia"/>
                      <w:color w:val="auto"/>
                      <w:lang w:val="en-US" w:eastAsia="zh-CN"/>
                    </w:rPr>
                    <w:t>57.1</w:t>
                  </w:r>
                </w:p>
              </w:tc>
              <w:tc>
                <w:tcPr>
                  <w:tcW w:w="709" w:type="pct"/>
                  <w:vAlign w:val="center"/>
                </w:tcPr>
                <w:p w14:paraId="04CED973">
                  <w:pPr>
                    <w:pStyle w:val="23"/>
                    <w:bidi w:val="0"/>
                    <w:rPr>
                      <w:color w:val="auto"/>
                    </w:rPr>
                  </w:pPr>
                  <w:r>
                    <w:rPr>
                      <w:color w:val="auto"/>
                    </w:rPr>
                    <w:t>达标</w:t>
                  </w:r>
                </w:p>
              </w:tc>
            </w:tr>
            <w:tr w14:paraId="0C40D3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2" w:type="pct"/>
                  <w:vAlign w:val="center"/>
                </w:tcPr>
                <w:p w14:paraId="0C1F89FF">
                  <w:pPr>
                    <w:pStyle w:val="23"/>
                    <w:bidi w:val="0"/>
                    <w:rPr>
                      <w:color w:val="auto"/>
                    </w:rPr>
                  </w:pPr>
                  <w:r>
                    <w:rPr>
                      <w:color w:val="auto"/>
                    </w:rPr>
                    <w:t>O</w:t>
                  </w:r>
                  <w:r>
                    <w:rPr>
                      <w:color w:val="auto"/>
                      <w:vertAlign w:val="subscript"/>
                    </w:rPr>
                    <w:t>3</w:t>
                  </w:r>
                </w:p>
              </w:tc>
              <w:tc>
                <w:tcPr>
                  <w:tcW w:w="1473" w:type="pct"/>
                  <w:vAlign w:val="center"/>
                </w:tcPr>
                <w:p w14:paraId="5F5ED287">
                  <w:pPr>
                    <w:pStyle w:val="23"/>
                    <w:bidi w:val="0"/>
                    <w:rPr>
                      <w:color w:val="auto"/>
                    </w:rPr>
                  </w:pPr>
                  <w:r>
                    <w:rPr>
                      <w:color w:val="auto"/>
                    </w:rPr>
                    <w:t>日最大8h平均浓度的第90百分位数</w:t>
                  </w:r>
                </w:p>
              </w:tc>
              <w:tc>
                <w:tcPr>
                  <w:tcW w:w="734" w:type="pct"/>
                  <w:vAlign w:val="center"/>
                </w:tcPr>
                <w:p w14:paraId="36717B1B">
                  <w:pPr>
                    <w:pStyle w:val="23"/>
                    <w:bidi w:val="0"/>
                    <w:rPr>
                      <w:rFonts w:hint="default" w:eastAsia="宋体"/>
                      <w:color w:val="auto"/>
                      <w:lang w:val="en-US" w:eastAsia="zh-CN"/>
                    </w:rPr>
                  </w:pPr>
                  <w:r>
                    <w:rPr>
                      <w:rFonts w:hint="eastAsia"/>
                      <w:color w:val="auto"/>
                      <w:lang w:val="en-US" w:eastAsia="zh-CN"/>
                    </w:rPr>
                    <w:t>125</w:t>
                  </w:r>
                </w:p>
              </w:tc>
              <w:tc>
                <w:tcPr>
                  <w:tcW w:w="570" w:type="pct"/>
                  <w:vAlign w:val="center"/>
                </w:tcPr>
                <w:p w14:paraId="010AF0AE">
                  <w:pPr>
                    <w:pStyle w:val="23"/>
                    <w:bidi w:val="0"/>
                    <w:rPr>
                      <w:color w:val="auto"/>
                    </w:rPr>
                  </w:pPr>
                  <w:r>
                    <w:rPr>
                      <w:color w:val="auto"/>
                    </w:rPr>
                    <w:t>160</w:t>
                  </w:r>
                </w:p>
              </w:tc>
              <w:tc>
                <w:tcPr>
                  <w:tcW w:w="899" w:type="pct"/>
                  <w:vAlign w:val="center"/>
                </w:tcPr>
                <w:p w14:paraId="748D32AD">
                  <w:pPr>
                    <w:pStyle w:val="23"/>
                    <w:bidi w:val="0"/>
                    <w:rPr>
                      <w:rFonts w:hint="default" w:eastAsia="宋体"/>
                      <w:color w:val="auto"/>
                      <w:lang w:val="en-US" w:eastAsia="zh-CN"/>
                    </w:rPr>
                  </w:pPr>
                  <w:r>
                    <w:rPr>
                      <w:rFonts w:hint="eastAsia"/>
                      <w:color w:val="auto"/>
                      <w:lang w:val="en-US" w:eastAsia="zh-CN"/>
                    </w:rPr>
                    <w:t>78.1</w:t>
                  </w:r>
                </w:p>
              </w:tc>
              <w:tc>
                <w:tcPr>
                  <w:tcW w:w="709" w:type="pct"/>
                  <w:vAlign w:val="center"/>
                </w:tcPr>
                <w:p w14:paraId="46FDFA18">
                  <w:pPr>
                    <w:pStyle w:val="23"/>
                    <w:bidi w:val="0"/>
                    <w:rPr>
                      <w:color w:val="auto"/>
                    </w:rPr>
                  </w:pPr>
                  <w:r>
                    <w:rPr>
                      <w:rFonts w:hint="eastAsia"/>
                      <w:color w:val="auto"/>
                    </w:rPr>
                    <w:t>达标</w:t>
                  </w:r>
                </w:p>
              </w:tc>
            </w:tr>
            <w:tr w14:paraId="264BFC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12" w:type="pct"/>
                  <w:vAlign w:val="center"/>
                </w:tcPr>
                <w:p w14:paraId="2E6D0E2E">
                  <w:pPr>
                    <w:pStyle w:val="23"/>
                    <w:bidi w:val="0"/>
                    <w:rPr>
                      <w:color w:val="auto"/>
                    </w:rPr>
                  </w:pPr>
                  <w:r>
                    <w:rPr>
                      <w:color w:val="auto"/>
                    </w:rPr>
                    <w:t>CO</w:t>
                  </w:r>
                </w:p>
              </w:tc>
              <w:tc>
                <w:tcPr>
                  <w:tcW w:w="1473" w:type="pct"/>
                  <w:vAlign w:val="center"/>
                </w:tcPr>
                <w:p w14:paraId="3FE2565B">
                  <w:pPr>
                    <w:pStyle w:val="23"/>
                    <w:bidi w:val="0"/>
                    <w:rPr>
                      <w:color w:val="auto"/>
                    </w:rPr>
                  </w:pPr>
                  <w:r>
                    <w:rPr>
                      <w:color w:val="auto"/>
                    </w:rPr>
                    <w:t>日均浓度的第95百分位数</w:t>
                  </w:r>
                </w:p>
              </w:tc>
              <w:tc>
                <w:tcPr>
                  <w:tcW w:w="734" w:type="pct"/>
                  <w:vAlign w:val="center"/>
                </w:tcPr>
                <w:p w14:paraId="5284CD17">
                  <w:pPr>
                    <w:pStyle w:val="23"/>
                    <w:bidi w:val="0"/>
                    <w:rPr>
                      <w:rFonts w:hint="default" w:eastAsia="宋体"/>
                      <w:color w:val="auto"/>
                      <w:lang w:val="en-US" w:eastAsia="zh-CN"/>
                    </w:rPr>
                  </w:pPr>
                  <w:r>
                    <w:rPr>
                      <w:rFonts w:hint="eastAsia"/>
                      <w:color w:val="auto"/>
                      <w:lang w:val="en-US" w:eastAsia="zh-CN"/>
                    </w:rPr>
                    <w:t>1000</w:t>
                  </w:r>
                </w:p>
              </w:tc>
              <w:tc>
                <w:tcPr>
                  <w:tcW w:w="570" w:type="pct"/>
                  <w:vAlign w:val="center"/>
                </w:tcPr>
                <w:p w14:paraId="70970029">
                  <w:pPr>
                    <w:pStyle w:val="23"/>
                    <w:bidi w:val="0"/>
                    <w:rPr>
                      <w:color w:val="auto"/>
                    </w:rPr>
                  </w:pPr>
                  <w:r>
                    <w:rPr>
                      <w:color w:val="auto"/>
                    </w:rPr>
                    <w:t>4000</w:t>
                  </w:r>
                </w:p>
              </w:tc>
              <w:tc>
                <w:tcPr>
                  <w:tcW w:w="899" w:type="pct"/>
                  <w:vAlign w:val="center"/>
                </w:tcPr>
                <w:p w14:paraId="111E4C76">
                  <w:pPr>
                    <w:pStyle w:val="23"/>
                    <w:bidi w:val="0"/>
                    <w:rPr>
                      <w:rFonts w:hint="default" w:eastAsia="宋体"/>
                      <w:color w:val="auto"/>
                      <w:lang w:val="en-US" w:eastAsia="zh-CN"/>
                    </w:rPr>
                  </w:pPr>
                  <w:r>
                    <w:rPr>
                      <w:rFonts w:hint="eastAsia"/>
                      <w:color w:val="auto"/>
                      <w:lang w:val="en-US" w:eastAsia="zh-CN"/>
                    </w:rPr>
                    <w:t>25.0</w:t>
                  </w:r>
                </w:p>
              </w:tc>
              <w:tc>
                <w:tcPr>
                  <w:tcW w:w="709" w:type="pct"/>
                  <w:vAlign w:val="center"/>
                </w:tcPr>
                <w:p w14:paraId="362B75BC">
                  <w:pPr>
                    <w:pStyle w:val="23"/>
                    <w:bidi w:val="0"/>
                    <w:rPr>
                      <w:color w:val="auto"/>
                    </w:rPr>
                  </w:pPr>
                  <w:r>
                    <w:rPr>
                      <w:color w:val="auto"/>
                    </w:rPr>
                    <w:t>达标</w:t>
                  </w:r>
                </w:p>
              </w:tc>
            </w:tr>
          </w:tbl>
          <w:p w14:paraId="458B6652">
            <w:pPr>
              <w:pStyle w:val="21"/>
              <w:bidi w:val="0"/>
              <w:rPr>
                <w:rFonts w:hint="eastAsia"/>
                <w:color w:val="auto"/>
              </w:rPr>
            </w:pPr>
            <w:r>
              <w:rPr>
                <w:rFonts w:hint="eastAsia"/>
                <w:color w:val="auto"/>
              </w:rPr>
              <w:t>由上表可知，项目所在区域各污染物均满足二类环境空气功能区质量标准，根据《环境影响评价技术导则 大气环境》（HJ</w:t>
            </w:r>
            <w:r>
              <w:rPr>
                <w:rFonts w:hint="eastAsia"/>
                <w:color w:val="auto"/>
                <w:lang w:val="en-US" w:eastAsia="zh-CN"/>
              </w:rPr>
              <w:t xml:space="preserve"> </w:t>
            </w:r>
            <w:r>
              <w:rPr>
                <w:rFonts w:hint="eastAsia"/>
                <w:color w:val="auto"/>
              </w:rPr>
              <w:t>2.2-2018），</w:t>
            </w:r>
            <w:r>
              <w:rPr>
                <w:rFonts w:hint="eastAsia"/>
                <w:color w:val="auto"/>
                <w:lang w:val="en-US" w:eastAsia="zh-CN"/>
              </w:rPr>
              <w:t>奉节县</w:t>
            </w:r>
            <w:r>
              <w:rPr>
                <w:rFonts w:hint="eastAsia"/>
                <w:color w:val="auto"/>
              </w:rPr>
              <w:t>202</w:t>
            </w:r>
            <w:r>
              <w:rPr>
                <w:rFonts w:hint="eastAsia"/>
                <w:color w:val="auto"/>
                <w:lang w:val="en-US" w:eastAsia="zh-CN"/>
              </w:rPr>
              <w:t>3</w:t>
            </w:r>
            <w:r>
              <w:rPr>
                <w:rFonts w:hint="eastAsia"/>
                <w:color w:val="auto"/>
              </w:rPr>
              <w:t>年环境空气质量为达标区。</w:t>
            </w:r>
          </w:p>
          <w:p w14:paraId="3B3FA391">
            <w:pPr>
              <w:pStyle w:val="4"/>
              <w:bidi w:val="0"/>
              <w:rPr>
                <w:rFonts w:hint="eastAsia"/>
                <w:color w:val="auto"/>
                <w:lang w:eastAsia="zh-CN"/>
              </w:rPr>
            </w:pPr>
            <w:r>
              <w:rPr>
                <w:rFonts w:hint="eastAsia"/>
                <w:color w:val="auto"/>
                <w:lang w:eastAsia="zh-CN"/>
              </w:rPr>
              <w:t>地表水环境</w:t>
            </w:r>
          </w:p>
          <w:p w14:paraId="6B0DDCBA">
            <w:pPr>
              <w:pStyle w:val="21"/>
              <w:bidi w:val="0"/>
              <w:jc w:val="both"/>
              <w:rPr>
                <w:rFonts w:hint="eastAsia" w:eastAsia="宋体"/>
                <w:color w:val="auto"/>
                <w:lang w:eastAsia="zh-CN"/>
              </w:rPr>
            </w:pPr>
            <w:r>
              <w:rPr>
                <w:rFonts w:hint="eastAsia" w:eastAsia="宋体"/>
                <w:color w:val="auto"/>
                <w:lang w:eastAsia="zh-CN"/>
              </w:rPr>
              <w:t>本项目属于非污染生态影响项目，本身不产生污水</w:t>
            </w:r>
            <w:r>
              <w:rPr>
                <w:rFonts w:hint="eastAsia"/>
                <w:color w:val="auto"/>
                <w:lang w:eastAsia="zh-CN"/>
              </w:rPr>
              <w:t>，</w:t>
            </w:r>
            <w:r>
              <w:rPr>
                <w:rFonts w:hint="eastAsia"/>
                <w:color w:val="auto"/>
                <w:lang w:val="en-US" w:eastAsia="zh-CN"/>
              </w:rPr>
              <w:t>且项目1号桥、2号桥一跨过河，无涉水桥墩</w:t>
            </w:r>
            <w:r>
              <w:rPr>
                <w:rFonts w:hint="eastAsia" w:eastAsia="宋体"/>
                <w:color w:val="auto"/>
                <w:lang w:eastAsia="zh-CN"/>
              </w:rPr>
              <w:t>。本项目</w:t>
            </w:r>
            <w:r>
              <w:rPr>
                <w:rFonts w:hint="eastAsia"/>
                <w:color w:val="auto"/>
                <w:lang w:val="en-US" w:eastAsia="zh-CN"/>
              </w:rPr>
              <w:t>跨越甘溪沟，经约630m向南汇入朱衣河。</w:t>
            </w:r>
            <w:r>
              <w:rPr>
                <w:rFonts w:hint="eastAsia" w:eastAsia="宋体"/>
                <w:color w:val="auto"/>
                <w:lang w:eastAsia="zh-CN"/>
              </w:rPr>
              <w:t>根据《重庆市人民政府批转重庆市地表水环境功能类别调整方案的通知》（渝府发〔2012〕4号</w:t>
            </w:r>
            <w:r>
              <w:rPr>
                <w:rFonts w:hint="eastAsia"/>
                <w:color w:val="auto"/>
                <w:lang w:eastAsia="zh-CN"/>
              </w:rPr>
              <w:t>）</w:t>
            </w:r>
            <w:r>
              <w:rPr>
                <w:rFonts w:hint="eastAsia" w:eastAsia="宋体"/>
                <w:color w:val="auto"/>
                <w:lang w:eastAsia="zh-CN"/>
              </w:rPr>
              <w:t>，</w:t>
            </w:r>
            <w:r>
              <w:rPr>
                <w:rFonts w:hint="eastAsia" w:eastAsia="宋体"/>
                <w:color w:val="auto"/>
                <w:lang w:val="en-US" w:eastAsia="zh-CN"/>
              </w:rPr>
              <w:t>甘溪沟</w:t>
            </w:r>
            <w:r>
              <w:rPr>
                <w:rFonts w:hint="eastAsia"/>
                <w:color w:val="auto"/>
                <w:lang w:val="en-US" w:eastAsia="zh-CN"/>
              </w:rPr>
              <w:t>无水域功能，朱衣河全河段属于Ⅲ类水域，</w:t>
            </w:r>
            <w:r>
              <w:rPr>
                <w:rFonts w:hint="eastAsia" w:eastAsia="宋体"/>
                <w:color w:val="auto"/>
                <w:lang w:eastAsia="zh-CN"/>
              </w:rPr>
              <w:t>执行《地表水环境质量标准》(GB</w:t>
            </w:r>
            <w:r>
              <w:rPr>
                <w:rFonts w:hint="eastAsia"/>
                <w:color w:val="auto"/>
                <w:lang w:val="en-US" w:eastAsia="zh-CN"/>
              </w:rPr>
              <w:t xml:space="preserve"> </w:t>
            </w:r>
            <w:r>
              <w:rPr>
                <w:rFonts w:hint="eastAsia" w:eastAsia="宋体"/>
                <w:color w:val="auto"/>
                <w:lang w:eastAsia="zh-CN"/>
              </w:rPr>
              <w:t>3838-2002）Ⅲ类水域标准。</w:t>
            </w:r>
          </w:p>
          <w:p w14:paraId="418568DC">
            <w:pPr>
              <w:pStyle w:val="21"/>
              <w:bidi w:val="0"/>
              <w:jc w:val="both"/>
              <w:rPr>
                <w:rFonts w:hint="eastAsia" w:eastAsia="宋体"/>
                <w:color w:val="auto"/>
                <w:lang w:eastAsia="zh-CN"/>
              </w:rPr>
            </w:pPr>
            <w:r>
              <w:rPr>
                <w:rFonts w:hint="eastAsia" w:eastAsia="宋体"/>
                <w:color w:val="auto"/>
                <w:lang w:eastAsia="zh-CN"/>
              </w:rPr>
              <w:t>根据《建设项目环境影响报告表编制技术指南（生态影响类）（试行）》（2021年4月1日起实施）：“不开展专项评价的环境要素，引用与项目距离近的有效数据和调查资料，包括符合时限要求的规划环境影响评价监测数据和调查资料，国家、地方环境质量监测网数据或生态环境主管部门公开发布的生态环境质量数据等”。</w:t>
            </w:r>
          </w:p>
          <w:p w14:paraId="5674C124">
            <w:pPr>
              <w:pStyle w:val="21"/>
              <w:bidi w:val="0"/>
              <w:jc w:val="both"/>
              <w:rPr>
                <w:rFonts w:hint="eastAsia" w:eastAsia="宋体"/>
                <w:color w:val="auto"/>
                <w:lang w:eastAsia="zh-CN"/>
              </w:rPr>
            </w:pPr>
            <w:r>
              <w:rPr>
                <w:rFonts w:hint="eastAsia"/>
                <w:color w:val="auto"/>
                <w:lang w:val="en-US" w:eastAsia="zh-CN"/>
              </w:rPr>
              <w:t>本次评价引用</w:t>
            </w:r>
            <w:r>
              <w:rPr>
                <w:rFonts w:hint="eastAsia" w:eastAsia="宋体"/>
                <w:color w:val="auto"/>
                <w:lang w:eastAsia="zh-CN"/>
              </w:rPr>
              <w:t>奉节县生态环境</w:t>
            </w:r>
            <w:r>
              <w:rPr>
                <w:rFonts w:hint="eastAsia"/>
                <w:color w:val="auto"/>
                <w:lang w:val="en-US" w:eastAsia="zh-CN"/>
              </w:rPr>
              <w:t>局</w:t>
            </w:r>
            <w:r>
              <w:rPr>
                <w:rFonts w:hint="eastAsia" w:eastAsia="宋体"/>
                <w:color w:val="auto"/>
                <w:lang w:eastAsia="zh-CN"/>
              </w:rPr>
              <w:t>于</w:t>
            </w:r>
            <w:r>
              <w:rPr>
                <w:rFonts w:hint="eastAsia"/>
                <w:color w:val="auto"/>
                <w:lang w:val="en-US" w:eastAsia="zh-CN"/>
              </w:rPr>
              <w:t>2024</w:t>
            </w:r>
            <w:r>
              <w:rPr>
                <w:rFonts w:hint="eastAsia" w:eastAsia="宋体"/>
                <w:color w:val="auto"/>
                <w:lang w:eastAsia="zh-CN"/>
              </w:rPr>
              <w:t>年</w:t>
            </w:r>
            <w:r>
              <w:rPr>
                <w:rFonts w:hint="eastAsia"/>
                <w:color w:val="auto"/>
                <w:lang w:val="en-US" w:eastAsia="zh-CN"/>
              </w:rPr>
              <w:t>6</w:t>
            </w:r>
            <w:r>
              <w:rPr>
                <w:rFonts w:hint="eastAsia" w:eastAsia="宋体"/>
                <w:color w:val="auto"/>
                <w:lang w:eastAsia="zh-CN"/>
              </w:rPr>
              <w:t>月</w:t>
            </w:r>
            <w:r>
              <w:rPr>
                <w:rFonts w:hint="eastAsia"/>
                <w:color w:val="auto"/>
                <w:lang w:val="en-US" w:eastAsia="zh-CN"/>
              </w:rPr>
              <w:t>3</w:t>
            </w:r>
            <w:r>
              <w:rPr>
                <w:rFonts w:hint="eastAsia" w:eastAsia="宋体"/>
                <w:color w:val="auto"/>
                <w:lang w:eastAsia="zh-CN"/>
              </w:rPr>
              <w:t>日发布的《奉节县地表水环境质量状况报告（</w:t>
            </w:r>
            <w:r>
              <w:rPr>
                <w:rFonts w:hint="eastAsia"/>
                <w:color w:val="auto"/>
                <w:lang w:val="en-US" w:eastAsia="zh-CN"/>
              </w:rPr>
              <w:t>2024</w:t>
            </w:r>
            <w:r>
              <w:rPr>
                <w:rFonts w:hint="eastAsia" w:eastAsia="宋体"/>
                <w:color w:val="auto"/>
                <w:lang w:eastAsia="zh-CN"/>
              </w:rPr>
              <w:t>年</w:t>
            </w:r>
            <w:r>
              <w:rPr>
                <w:rFonts w:hint="eastAsia"/>
                <w:color w:val="auto"/>
                <w:lang w:val="en-US" w:eastAsia="zh-CN"/>
              </w:rPr>
              <w:t>5</w:t>
            </w:r>
            <w:r>
              <w:rPr>
                <w:rFonts w:hint="eastAsia" w:eastAsia="宋体"/>
                <w:color w:val="auto"/>
                <w:lang w:eastAsia="zh-CN"/>
              </w:rPr>
              <w:t>月）》（网址：http://www.cqfj.gov.cn/bm_168/sthjj/zwgk_61627/zfxxgkml/hjzl/shjzl/202406/t20240603_13260658.html），</w:t>
            </w:r>
            <w:r>
              <w:rPr>
                <w:rFonts w:hint="eastAsia"/>
                <w:color w:val="auto"/>
                <w:lang w:val="en-US" w:eastAsia="zh-CN"/>
              </w:rPr>
              <w:t>2024</w:t>
            </w:r>
            <w:r>
              <w:rPr>
                <w:rFonts w:hint="eastAsia" w:eastAsia="宋体"/>
                <w:color w:val="auto"/>
                <w:lang w:eastAsia="zh-CN"/>
              </w:rPr>
              <w:t>年</w:t>
            </w:r>
            <w:r>
              <w:rPr>
                <w:rFonts w:hint="eastAsia"/>
                <w:color w:val="auto"/>
                <w:lang w:val="en-US" w:eastAsia="zh-CN"/>
              </w:rPr>
              <w:t>5</w:t>
            </w:r>
            <w:r>
              <w:rPr>
                <w:rFonts w:hint="eastAsia" w:eastAsia="宋体"/>
                <w:color w:val="auto"/>
                <w:lang w:eastAsia="zh-CN"/>
              </w:rPr>
              <w:t>月朱衣河朱衣镇监测断面、清水社区监测断面水质状况为</w:t>
            </w:r>
            <w:r>
              <w:rPr>
                <w:rFonts w:hint="eastAsia"/>
                <w:color w:val="auto"/>
                <w:lang w:eastAsia="zh-CN"/>
              </w:rPr>
              <w:t>Ⅱ类</w:t>
            </w:r>
            <w:r>
              <w:rPr>
                <w:rFonts w:hint="eastAsia" w:eastAsia="宋体"/>
                <w:color w:val="auto"/>
                <w:lang w:eastAsia="zh-CN"/>
              </w:rPr>
              <w:t>，优于《地表水环境质量标准》</w:t>
            </w:r>
            <w:r>
              <w:rPr>
                <w:rFonts w:hint="eastAsia"/>
                <w:color w:val="auto"/>
                <w:lang w:eastAsia="zh-CN"/>
              </w:rPr>
              <w:t>（</w:t>
            </w:r>
            <w:r>
              <w:rPr>
                <w:rFonts w:hint="eastAsia" w:eastAsia="宋体"/>
                <w:color w:val="auto"/>
                <w:lang w:eastAsia="zh-CN"/>
              </w:rPr>
              <w:t>GB 3838-2002）Ⅲ类标准限值要求。因此，本项目</w:t>
            </w:r>
            <w:r>
              <w:rPr>
                <w:rFonts w:hint="eastAsia"/>
                <w:color w:val="auto"/>
                <w:lang w:val="en-US" w:eastAsia="zh-CN"/>
              </w:rPr>
              <w:t>所在地</w:t>
            </w:r>
            <w:r>
              <w:rPr>
                <w:rFonts w:hint="eastAsia" w:eastAsia="宋体"/>
                <w:color w:val="auto"/>
                <w:lang w:eastAsia="zh-CN"/>
              </w:rPr>
              <w:t>地表水环境质量较好。</w:t>
            </w:r>
          </w:p>
          <w:p w14:paraId="7932B88D">
            <w:pPr>
              <w:pStyle w:val="4"/>
              <w:bidi w:val="0"/>
              <w:rPr>
                <w:rFonts w:hint="default"/>
                <w:color w:val="auto"/>
                <w:lang w:val="en-US" w:eastAsia="zh-CN"/>
              </w:rPr>
            </w:pPr>
            <w:r>
              <w:rPr>
                <w:rFonts w:hint="eastAsia"/>
                <w:color w:val="auto"/>
                <w:lang w:val="en-US" w:eastAsia="zh-CN"/>
              </w:rPr>
              <w:t>声环境</w:t>
            </w:r>
          </w:p>
          <w:p w14:paraId="0C20DD1F">
            <w:pPr>
              <w:pStyle w:val="21"/>
              <w:bidi w:val="0"/>
              <w:rPr>
                <w:rFonts w:hint="eastAsia"/>
                <w:color w:val="auto"/>
                <w:lang w:eastAsia="zh-CN"/>
              </w:rPr>
            </w:pPr>
            <w:r>
              <w:rPr>
                <w:rFonts w:hint="eastAsia"/>
                <w:color w:val="auto"/>
              </w:rPr>
              <w:t>根据《声环境功能区划分技术规范》（</w:t>
            </w:r>
            <w:r>
              <w:rPr>
                <w:rFonts w:hint="eastAsia"/>
                <w:color w:val="auto"/>
                <w:lang w:eastAsia="zh-CN"/>
              </w:rPr>
              <w:t>GB/T 15190-2014</w:t>
            </w:r>
            <w:r>
              <w:rPr>
                <w:rFonts w:hint="eastAsia"/>
                <w:color w:val="auto"/>
              </w:rPr>
              <w:t>）、《重庆市声环境功能区划分技术规范实施细则（试行）》（渝环〔2015〕429号）</w:t>
            </w:r>
            <w:r>
              <w:rPr>
                <w:rFonts w:hint="eastAsia"/>
                <w:color w:val="auto"/>
                <w:lang w:eastAsia="zh-CN"/>
              </w:rPr>
              <w:t>、《奉节县人民政府办公室关于印发奉节县“十四五”声环境功能区划分调整方案的通知》（奉节府办发〔2023〕42号）</w:t>
            </w:r>
            <w:r>
              <w:rPr>
                <w:rFonts w:hint="eastAsia"/>
                <w:color w:val="auto"/>
                <w:lang w:val="en-US" w:eastAsia="zh-CN"/>
              </w:rPr>
              <w:t>，</w:t>
            </w:r>
            <w:r>
              <w:rPr>
                <w:rFonts w:hint="eastAsia"/>
                <w:color w:val="auto"/>
              </w:rPr>
              <w:t>项目所在区域夔州街道胡家社区</w:t>
            </w:r>
            <w:r>
              <w:rPr>
                <w:rFonts w:hint="eastAsia"/>
                <w:color w:val="auto"/>
                <w:lang w:eastAsia="zh-CN"/>
              </w:rPr>
              <w:t>、冒峰社区</w:t>
            </w:r>
            <w:r>
              <w:rPr>
                <w:rFonts w:hint="eastAsia"/>
                <w:color w:val="auto"/>
              </w:rPr>
              <w:t>为2类</w:t>
            </w:r>
            <w:r>
              <w:rPr>
                <w:rFonts w:hint="eastAsia"/>
                <w:color w:val="auto"/>
                <w:lang w:val="en-US" w:eastAsia="zh-CN"/>
              </w:rPr>
              <w:t>声环境功能区</w:t>
            </w:r>
            <w:r>
              <w:rPr>
                <w:rFonts w:hint="eastAsia"/>
                <w:color w:val="auto"/>
                <w:lang w:eastAsia="zh-CN"/>
              </w:rPr>
              <w:t>。夔州西路</w:t>
            </w:r>
            <w:r>
              <w:rPr>
                <w:rFonts w:hint="eastAsia"/>
                <w:color w:val="auto"/>
                <w:lang w:val="en-US" w:eastAsia="zh-CN"/>
              </w:rPr>
              <w:t>（城市主干路）边界线外35m范围</w:t>
            </w:r>
            <w:r>
              <w:rPr>
                <w:rFonts w:hint="eastAsia"/>
                <w:color w:val="auto"/>
                <w:lang w:eastAsia="zh-CN"/>
              </w:rPr>
              <w:t>、</w:t>
            </w:r>
            <w:r>
              <w:rPr>
                <w:rFonts w:hint="eastAsia"/>
                <w:color w:val="auto"/>
                <w:lang w:val="en-US" w:eastAsia="zh-CN"/>
              </w:rPr>
              <w:t>万胜路（城市次干路）和甘溪街（城市次干路）边界线外30m范围为4a类声环境功能区</w:t>
            </w:r>
            <w:r>
              <w:rPr>
                <w:rFonts w:hint="eastAsia"/>
                <w:color w:val="auto"/>
                <w:lang w:eastAsia="zh-CN"/>
              </w:rPr>
              <w:t>；当临街建筑高于三层楼房以上（含三层）时，将临街建筑面向交通干线一侧至交通干线边界线的区域定为4a类声环境功能区。</w:t>
            </w:r>
          </w:p>
          <w:p w14:paraId="67BB54A5">
            <w:pPr>
              <w:pStyle w:val="21"/>
              <w:bidi w:val="0"/>
              <w:rPr>
                <w:rFonts w:hint="eastAsia"/>
                <w:color w:val="auto"/>
              </w:rPr>
            </w:pPr>
            <w:r>
              <w:rPr>
                <w:rFonts w:hint="eastAsia"/>
                <w:color w:val="auto"/>
              </w:rPr>
              <w:t>为了解项目所在地声环境质量，本次评价委托</w:t>
            </w:r>
            <w:r>
              <w:rPr>
                <w:rFonts w:hint="eastAsia"/>
                <w:color w:val="auto"/>
                <w:lang w:val="en-US" w:eastAsia="zh-CN"/>
              </w:rPr>
              <w:t>重庆西禾环境监测</w:t>
            </w:r>
            <w:r>
              <w:rPr>
                <w:rFonts w:hint="eastAsia"/>
                <w:color w:val="auto"/>
              </w:rPr>
              <w:t>有限公司于202</w:t>
            </w:r>
            <w:r>
              <w:rPr>
                <w:rFonts w:hint="eastAsia"/>
                <w:color w:val="auto"/>
                <w:lang w:val="en-US" w:eastAsia="zh-CN"/>
              </w:rPr>
              <w:t>4</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19</w:t>
            </w:r>
            <w:r>
              <w:rPr>
                <w:rFonts w:hint="eastAsia"/>
                <w:color w:val="auto"/>
              </w:rPr>
              <w:t>日至</w:t>
            </w:r>
            <w:r>
              <w:rPr>
                <w:rFonts w:hint="eastAsia"/>
                <w:color w:val="auto"/>
                <w:lang w:val="en-US" w:eastAsia="zh-CN"/>
              </w:rPr>
              <w:t>6</w:t>
            </w:r>
            <w:r>
              <w:rPr>
                <w:rFonts w:hint="eastAsia"/>
                <w:color w:val="auto"/>
              </w:rPr>
              <w:t>月</w:t>
            </w:r>
            <w:r>
              <w:rPr>
                <w:rFonts w:hint="eastAsia"/>
                <w:color w:val="auto"/>
                <w:lang w:val="en-US" w:eastAsia="zh-CN"/>
              </w:rPr>
              <w:t>20</w:t>
            </w:r>
            <w:r>
              <w:rPr>
                <w:rFonts w:hint="eastAsia"/>
                <w:color w:val="auto"/>
              </w:rPr>
              <w:t>日连续2天对本项目周边区域的环境噪声现状进行监测。</w:t>
            </w:r>
          </w:p>
          <w:p w14:paraId="35AE7365">
            <w:pPr>
              <w:pStyle w:val="21"/>
              <w:bidi w:val="0"/>
              <w:rPr>
                <w:rFonts w:hint="eastAsia"/>
                <w:color w:val="auto"/>
              </w:rPr>
            </w:pPr>
            <w:r>
              <w:rPr>
                <w:rFonts w:hint="eastAsia"/>
                <w:color w:val="auto"/>
              </w:rPr>
              <w:t>（1）监测布点</w:t>
            </w:r>
          </w:p>
          <w:p w14:paraId="7516324C">
            <w:pPr>
              <w:pStyle w:val="21"/>
              <w:bidi w:val="0"/>
              <w:rPr>
                <w:rFonts w:hint="eastAsia"/>
                <w:color w:val="auto"/>
              </w:rPr>
            </w:pPr>
            <w:bookmarkStart w:id="1" w:name="_Hlk138521581"/>
            <w:r>
              <w:rPr>
                <w:rFonts w:hint="eastAsia"/>
                <w:color w:val="auto"/>
              </w:rPr>
              <w:t>本次监测共布置了6个声环境现状监测点，</w:t>
            </w:r>
            <w:bookmarkEnd w:id="1"/>
            <w:r>
              <w:rPr>
                <w:rFonts w:hint="eastAsia"/>
                <w:color w:val="auto"/>
              </w:rPr>
              <w:t>各监测布点见</w:t>
            </w:r>
            <w:r>
              <w:rPr>
                <w:rFonts w:hint="eastAsia"/>
                <w:color w:val="auto"/>
                <w:lang w:val="en-US" w:eastAsia="zh-CN"/>
              </w:rPr>
              <w:t>下</w:t>
            </w:r>
            <w:r>
              <w:rPr>
                <w:rFonts w:hint="eastAsia"/>
                <w:color w:val="auto"/>
              </w:rPr>
              <w:t>表。</w:t>
            </w:r>
          </w:p>
          <w:p w14:paraId="0B75071F">
            <w:pPr>
              <w:pStyle w:val="6"/>
              <w:bidi w:val="0"/>
              <w:rPr>
                <w:rFonts w:hint="eastAsia"/>
                <w:color w:val="auto"/>
              </w:rPr>
            </w:pPr>
            <w:r>
              <w:rPr>
                <w:rFonts w:hint="eastAsia"/>
                <w:color w:val="auto"/>
              </w:rPr>
              <w:t>声环境质量现状监测布点</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8"/>
              <w:gridCol w:w="2037"/>
              <w:gridCol w:w="2267"/>
              <w:gridCol w:w="1545"/>
              <w:gridCol w:w="677"/>
              <w:gridCol w:w="712"/>
              <w:gridCol w:w="719"/>
            </w:tblGrid>
            <w:tr w14:paraId="3AF85C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403" w:type="pct"/>
                  <w:vAlign w:val="center"/>
                </w:tcPr>
                <w:p w14:paraId="35B792B8">
                  <w:pPr>
                    <w:pStyle w:val="23"/>
                    <w:bidi w:val="0"/>
                    <w:rPr>
                      <w:color w:val="auto"/>
                    </w:rPr>
                  </w:pPr>
                  <w:bookmarkStart w:id="2" w:name="_Hlk138521601"/>
                  <w:r>
                    <w:rPr>
                      <w:color w:val="auto"/>
                    </w:rPr>
                    <w:t>点位编号</w:t>
                  </w:r>
                </w:p>
              </w:tc>
              <w:tc>
                <w:tcPr>
                  <w:tcW w:w="1176" w:type="pct"/>
                  <w:vAlign w:val="center"/>
                </w:tcPr>
                <w:p w14:paraId="3805CF6E">
                  <w:pPr>
                    <w:pStyle w:val="23"/>
                    <w:bidi w:val="0"/>
                    <w:rPr>
                      <w:color w:val="auto"/>
                    </w:rPr>
                  </w:pPr>
                  <w:r>
                    <w:rPr>
                      <w:color w:val="auto"/>
                    </w:rPr>
                    <w:t>点位名称</w:t>
                  </w:r>
                </w:p>
              </w:tc>
              <w:tc>
                <w:tcPr>
                  <w:tcW w:w="1309" w:type="pct"/>
                  <w:vAlign w:val="center"/>
                </w:tcPr>
                <w:p w14:paraId="2E773DAE">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方位</w:t>
                  </w:r>
                </w:p>
              </w:tc>
              <w:tc>
                <w:tcPr>
                  <w:tcW w:w="892" w:type="pct"/>
                  <w:vAlign w:val="center"/>
                </w:tcPr>
                <w:p w14:paraId="5B984379">
                  <w:pPr>
                    <w:pStyle w:val="23"/>
                    <w:bidi w:val="0"/>
                    <w:rPr>
                      <w:color w:val="auto"/>
                    </w:rPr>
                  </w:pPr>
                  <w:r>
                    <w:rPr>
                      <w:rFonts w:hint="eastAsia"/>
                      <w:color w:val="auto"/>
                    </w:rPr>
                    <w:t>与</w:t>
                  </w:r>
                  <w:r>
                    <w:rPr>
                      <w:rFonts w:hint="eastAsia"/>
                      <w:color w:val="auto"/>
                      <w:lang w:val="en-US" w:eastAsia="zh-CN"/>
                    </w:rPr>
                    <w:t>各方位</w:t>
                  </w:r>
                  <w:r>
                    <w:rPr>
                      <w:color w:val="auto"/>
                    </w:rPr>
                    <w:t>道路</w:t>
                  </w:r>
                  <w:r>
                    <w:rPr>
                      <w:rFonts w:hint="eastAsia"/>
                      <w:color w:val="auto"/>
                    </w:rPr>
                    <w:t>边界线水平</w:t>
                  </w:r>
                  <w:r>
                    <w:rPr>
                      <w:color w:val="auto"/>
                    </w:rPr>
                    <w:t>距离</w:t>
                  </w:r>
                  <w:r>
                    <w:rPr>
                      <w:rFonts w:hint="eastAsia"/>
                      <w:color w:val="auto"/>
                    </w:rPr>
                    <w:t>（m）</w:t>
                  </w:r>
                </w:p>
              </w:tc>
              <w:tc>
                <w:tcPr>
                  <w:tcW w:w="391" w:type="pct"/>
                  <w:vAlign w:val="center"/>
                </w:tcPr>
                <w:p w14:paraId="0C32B627">
                  <w:pPr>
                    <w:pStyle w:val="23"/>
                    <w:bidi w:val="0"/>
                    <w:rPr>
                      <w:rFonts w:hint="default" w:eastAsia="宋体"/>
                      <w:color w:val="auto"/>
                      <w:lang w:val="en-US" w:eastAsia="zh-CN"/>
                    </w:rPr>
                  </w:pPr>
                  <w:r>
                    <w:rPr>
                      <w:rFonts w:hint="eastAsia"/>
                      <w:color w:val="auto"/>
                      <w:lang w:val="en-US" w:eastAsia="zh-CN"/>
                    </w:rPr>
                    <w:t>监测项目</w:t>
                  </w:r>
                </w:p>
              </w:tc>
              <w:tc>
                <w:tcPr>
                  <w:tcW w:w="411" w:type="pct"/>
                  <w:vAlign w:val="center"/>
                </w:tcPr>
                <w:p w14:paraId="2152174D">
                  <w:pPr>
                    <w:pStyle w:val="23"/>
                    <w:bidi w:val="0"/>
                    <w:rPr>
                      <w:rFonts w:hint="eastAsia"/>
                      <w:color w:val="auto"/>
                    </w:rPr>
                  </w:pPr>
                  <w:r>
                    <w:rPr>
                      <w:rFonts w:hint="eastAsia"/>
                      <w:color w:val="auto"/>
                    </w:rPr>
                    <w:t>监测频次</w:t>
                  </w:r>
                </w:p>
              </w:tc>
              <w:tc>
                <w:tcPr>
                  <w:tcW w:w="415" w:type="pct"/>
                  <w:vAlign w:val="center"/>
                </w:tcPr>
                <w:p w14:paraId="1A721BC5">
                  <w:pPr>
                    <w:pStyle w:val="23"/>
                    <w:bidi w:val="0"/>
                    <w:rPr>
                      <w:color w:val="auto"/>
                    </w:rPr>
                  </w:pPr>
                  <w:r>
                    <w:rPr>
                      <w:rFonts w:hint="eastAsia"/>
                      <w:color w:val="auto"/>
                      <w:lang w:val="en-US" w:eastAsia="zh-CN"/>
                    </w:rPr>
                    <w:t>声环境功能区</w:t>
                  </w:r>
                </w:p>
              </w:tc>
            </w:tr>
            <w:tr w14:paraId="331637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3" w:type="pct"/>
                  <w:vAlign w:val="center"/>
                </w:tcPr>
                <w:p w14:paraId="56BAA8C7">
                  <w:pPr>
                    <w:pStyle w:val="23"/>
                    <w:bidi w:val="0"/>
                    <w:rPr>
                      <w:rFonts w:hint="eastAsia"/>
                      <w:color w:val="auto"/>
                      <w:lang w:val="en-US" w:eastAsia="zh-CN"/>
                    </w:rPr>
                  </w:pPr>
                  <w:r>
                    <w:rPr>
                      <w:rFonts w:hint="eastAsia"/>
                      <w:color w:val="auto"/>
                      <w:lang w:val="en-US" w:eastAsia="zh-CN"/>
                    </w:rPr>
                    <w:t>ZS1</w:t>
                  </w:r>
                </w:p>
              </w:tc>
              <w:tc>
                <w:tcPr>
                  <w:tcW w:w="1176" w:type="pct"/>
                  <w:vAlign w:val="center"/>
                </w:tcPr>
                <w:p w14:paraId="5726AA81">
                  <w:pPr>
                    <w:pStyle w:val="23"/>
                    <w:bidi w:val="0"/>
                    <w:rPr>
                      <w:rFonts w:hint="eastAsia"/>
                      <w:color w:val="auto"/>
                      <w:lang w:val="en-US" w:eastAsia="zh-CN"/>
                    </w:rPr>
                  </w:pPr>
                  <w:r>
                    <w:rPr>
                      <w:rFonts w:hint="eastAsia"/>
                      <w:color w:val="auto"/>
                      <w:lang w:val="en-US" w:eastAsia="zh-CN"/>
                    </w:rPr>
                    <w:t>天悦珑廷13#楼</w:t>
                  </w:r>
                </w:p>
              </w:tc>
              <w:tc>
                <w:tcPr>
                  <w:tcW w:w="1309" w:type="pct"/>
                  <w:tcBorders>
                    <w:bottom w:val="single" w:color="auto" w:sz="4" w:space="0"/>
                  </w:tcBorders>
                  <w:vAlign w:val="center"/>
                </w:tcPr>
                <w:p w14:paraId="0B98ABF4">
                  <w:pPr>
                    <w:pStyle w:val="23"/>
                    <w:bidi w:val="0"/>
                    <w:jc w:val="center"/>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连接道路K0+298.327南侧/夔州西路南侧</w:t>
                  </w:r>
                </w:p>
              </w:tc>
              <w:tc>
                <w:tcPr>
                  <w:tcW w:w="892" w:type="pct"/>
                  <w:tcBorders>
                    <w:bottom w:val="single" w:color="auto" w:sz="4" w:space="0"/>
                  </w:tcBorders>
                  <w:vAlign w:val="center"/>
                </w:tcPr>
                <w:p w14:paraId="6A19D5A6">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53.0/18</w:t>
                  </w:r>
                </w:p>
              </w:tc>
              <w:tc>
                <w:tcPr>
                  <w:tcW w:w="391" w:type="pct"/>
                  <w:vMerge w:val="restart"/>
                  <w:vAlign w:val="center"/>
                </w:tcPr>
                <w:p w14:paraId="35A36FBC">
                  <w:pPr>
                    <w:pStyle w:val="23"/>
                    <w:bidi w:val="0"/>
                    <w:rPr>
                      <w:rFonts w:hint="eastAsia"/>
                      <w:color w:val="auto"/>
                    </w:rPr>
                  </w:pPr>
                  <w:r>
                    <w:rPr>
                      <w:rFonts w:hint="eastAsia"/>
                      <w:color w:val="auto"/>
                    </w:rPr>
                    <w:t>等效连续A声级</w:t>
                  </w:r>
                </w:p>
              </w:tc>
              <w:tc>
                <w:tcPr>
                  <w:tcW w:w="411" w:type="pct"/>
                  <w:vMerge w:val="restart"/>
                  <w:vAlign w:val="center"/>
                </w:tcPr>
                <w:p w14:paraId="59A25A3A">
                  <w:pPr>
                    <w:pStyle w:val="23"/>
                    <w:bidi w:val="0"/>
                    <w:rPr>
                      <w:color w:val="auto"/>
                    </w:rPr>
                  </w:pPr>
                  <w:r>
                    <w:rPr>
                      <w:rFonts w:hint="eastAsia"/>
                      <w:color w:val="auto"/>
                    </w:rPr>
                    <w:t>昼、夜各1次，连续监测2天</w:t>
                  </w:r>
                </w:p>
              </w:tc>
              <w:tc>
                <w:tcPr>
                  <w:tcW w:w="415" w:type="pct"/>
                  <w:vAlign w:val="center"/>
                </w:tcPr>
                <w:p w14:paraId="14ED7996">
                  <w:pPr>
                    <w:pStyle w:val="23"/>
                    <w:bidi w:val="0"/>
                    <w:rPr>
                      <w:rFonts w:hint="eastAsia"/>
                      <w:color w:val="auto"/>
                      <w:lang w:val="en-US" w:eastAsia="zh-CN"/>
                    </w:rPr>
                  </w:pPr>
                  <w:r>
                    <w:rPr>
                      <w:rFonts w:hint="eastAsia"/>
                      <w:color w:val="auto"/>
                      <w:lang w:val="en-US" w:eastAsia="zh-CN"/>
                    </w:rPr>
                    <w:t>4a类</w:t>
                  </w:r>
                </w:p>
              </w:tc>
            </w:tr>
            <w:tr w14:paraId="0AA4EF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3" w:type="pct"/>
                  <w:vAlign w:val="center"/>
                </w:tcPr>
                <w:p w14:paraId="41525747">
                  <w:pPr>
                    <w:pStyle w:val="23"/>
                    <w:bidi w:val="0"/>
                    <w:rPr>
                      <w:rFonts w:hint="default"/>
                      <w:color w:val="auto"/>
                      <w:lang w:val="en-US"/>
                    </w:rPr>
                  </w:pPr>
                  <w:r>
                    <w:rPr>
                      <w:rFonts w:hint="eastAsia"/>
                      <w:color w:val="auto"/>
                      <w:lang w:val="en-US" w:eastAsia="zh-CN"/>
                    </w:rPr>
                    <w:t>ZS2</w:t>
                  </w:r>
                </w:p>
              </w:tc>
              <w:tc>
                <w:tcPr>
                  <w:tcW w:w="1176" w:type="pct"/>
                  <w:vAlign w:val="center"/>
                </w:tcPr>
                <w:p w14:paraId="06B7E29A">
                  <w:pPr>
                    <w:pStyle w:val="23"/>
                    <w:bidi w:val="0"/>
                    <w:rPr>
                      <w:rFonts w:hint="default"/>
                      <w:color w:val="auto"/>
                      <w:lang w:val="en-US"/>
                    </w:rPr>
                  </w:pPr>
                  <w:r>
                    <w:rPr>
                      <w:rFonts w:hint="eastAsia"/>
                      <w:color w:val="auto"/>
                      <w:lang w:val="en-US" w:eastAsia="zh-CN"/>
                    </w:rPr>
                    <w:t>朱衣移民新村9#楼</w:t>
                  </w:r>
                </w:p>
              </w:tc>
              <w:tc>
                <w:tcPr>
                  <w:tcW w:w="1309" w:type="pct"/>
                  <w:tcBorders>
                    <w:bottom w:val="single" w:color="auto" w:sz="4" w:space="0"/>
                  </w:tcBorders>
                  <w:vAlign w:val="center"/>
                </w:tcPr>
                <w:p w14:paraId="4F0D566C">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1号桥K0+000.000西侧/甘溪街西侧</w:t>
                  </w:r>
                </w:p>
              </w:tc>
              <w:tc>
                <w:tcPr>
                  <w:tcW w:w="892" w:type="pct"/>
                  <w:tcBorders>
                    <w:bottom w:val="single" w:color="auto" w:sz="4" w:space="0"/>
                  </w:tcBorders>
                  <w:vAlign w:val="center"/>
                </w:tcPr>
                <w:p w14:paraId="1F816BF1">
                  <w:pPr>
                    <w:pStyle w:val="23"/>
                    <w:bidi w:val="0"/>
                    <w:rPr>
                      <w:rFonts w:hint="default" w:eastAsia="宋体"/>
                      <w:color w:val="auto"/>
                      <w:lang w:val="en-US" w:eastAsia="zh-CN"/>
                    </w:rPr>
                  </w:pPr>
                  <w:r>
                    <w:rPr>
                      <w:rFonts w:hint="eastAsia"/>
                      <w:color w:val="auto"/>
                      <w:lang w:val="en-US" w:eastAsia="zh-CN"/>
                    </w:rPr>
                    <w:t>38.0/23</w:t>
                  </w:r>
                </w:p>
              </w:tc>
              <w:tc>
                <w:tcPr>
                  <w:tcW w:w="391" w:type="pct"/>
                  <w:vMerge w:val="continue"/>
                  <w:vAlign w:val="center"/>
                </w:tcPr>
                <w:p w14:paraId="459B91CA">
                  <w:pPr>
                    <w:pStyle w:val="23"/>
                    <w:bidi w:val="0"/>
                    <w:rPr>
                      <w:rFonts w:hint="eastAsia"/>
                      <w:color w:val="auto"/>
                    </w:rPr>
                  </w:pPr>
                </w:p>
              </w:tc>
              <w:tc>
                <w:tcPr>
                  <w:tcW w:w="411" w:type="pct"/>
                  <w:vMerge w:val="continue"/>
                  <w:vAlign w:val="center"/>
                </w:tcPr>
                <w:p w14:paraId="7259A3B2">
                  <w:pPr>
                    <w:pStyle w:val="23"/>
                    <w:bidi w:val="0"/>
                    <w:rPr>
                      <w:color w:val="auto"/>
                    </w:rPr>
                  </w:pPr>
                </w:p>
              </w:tc>
              <w:tc>
                <w:tcPr>
                  <w:tcW w:w="415" w:type="pct"/>
                  <w:vAlign w:val="center"/>
                </w:tcPr>
                <w:p w14:paraId="65B79E1E">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4a类</w:t>
                  </w:r>
                </w:p>
              </w:tc>
            </w:tr>
            <w:tr w14:paraId="051143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3" w:type="pct"/>
                  <w:vAlign w:val="center"/>
                </w:tcPr>
                <w:p w14:paraId="1F5DCABD">
                  <w:pPr>
                    <w:pStyle w:val="23"/>
                    <w:bidi w:val="0"/>
                    <w:rPr>
                      <w:color w:val="auto"/>
                    </w:rPr>
                  </w:pPr>
                  <w:r>
                    <w:rPr>
                      <w:rFonts w:hint="eastAsia"/>
                      <w:color w:val="auto"/>
                      <w:lang w:val="en-US" w:eastAsia="zh-CN"/>
                    </w:rPr>
                    <w:t>ZS3</w:t>
                  </w:r>
                </w:p>
              </w:tc>
              <w:tc>
                <w:tcPr>
                  <w:tcW w:w="1176" w:type="pct"/>
                  <w:vAlign w:val="center"/>
                </w:tcPr>
                <w:p w14:paraId="6DF8E38E">
                  <w:pPr>
                    <w:pStyle w:val="23"/>
                    <w:bidi w:val="0"/>
                    <w:rPr>
                      <w:color w:val="auto"/>
                    </w:rPr>
                  </w:pPr>
                  <w:r>
                    <w:rPr>
                      <w:rFonts w:hint="eastAsia"/>
                      <w:color w:val="auto"/>
                      <w:lang w:val="en-US" w:eastAsia="zh-CN"/>
                    </w:rPr>
                    <w:t>西宸御府4#楼1</w:t>
                  </w:r>
                  <w:r>
                    <w:rPr>
                      <w:color w:val="auto"/>
                    </w:rPr>
                    <w:t>F</w:t>
                  </w:r>
                </w:p>
              </w:tc>
              <w:tc>
                <w:tcPr>
                  <w:tcW w:w="1309" w:type="pct"/>
                  <w:vMerge w:val="restart"/>
                  <w:tcBorders>
                    <w:top w:val="single" w:color="auto" w:sz="4" w:space="0"/>
                  </w:tcBorders>
                  <w:vAlign w:val="center"/>
                </w:tcPr>
                <w:p w14:paraId="270AB31F">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1号桥K0+052.009东侧/连接道路K0+100.000右侧</w:t>
                  </w:r>
                </w:p>
              </w:tc>
              <w:tc>
                <w:tcPr>
                  <w:tcW w:w="892" w:type="pct"/>
                  <w:vMerge w:val="restart"/>
                  <w:tcBorders>
                    <w:top w:val="single" w:color="auto" w:sz="4" w:space="0"/>
                  </w:tcBorders>
                  <w:vAlign w:val="center"/>
                </w:tcPr>
                <w:p w14:paraId="256C5EDB">
                  <w:pPr>
                    <w:pStyle w:val="23"/>
                    <w:bidi w:val="0"/>
                    <w:rPr>
                      <w:rFonts w:hint="default" w:eastAsia="宋体"/>
                      <w:color w:val="auto"/>
                      <w:lang w:val="en-US" w:eastAsia="zh-CN"/>
                    </w:rPr>
                  </w:pPr>
                  <w:r>
                    <w:rPr>
                      <w:rFonts w:hint="eastAsia"/>
                      <w:color w:val="auto"/>
                      <w:lang w:val="en-US" w:eastAsia="zh-CN"/>
                    </w:rPr>
                    <w:t>41/196</w:t>
                  </w:r>
                </w:p>
              </w:tc>
              <w:tc>
                <w:tcPr>
                  <w:tcW w:w="391" w:type="pct"/>
                  <w:vMerge w:val="continue"/>
                  <w:vAlign w:val="center"/>
                </w:tcPr>
                <w:p w14:paraId="34BE0FBC">
                  <w:pPr>
                    <w:pStyle w:val="23"/>
                    <w:bidi w:val="0"/>
                    <w:rPr>
                      <w:color w:val="auto"/>
                    </w:rPr>
                  </w:pPr>
                </w:p>
              </w:tc>
              <w:tc>
                <w:tcPr>
                  <w:tcW w:w="411" w:type="pct"/>
                  <w:vMerge w:val="continue"/>
                  <w:vAlign w:val="center"/>
                </w:tcPr>
                <w:p w14:paraId="2EA279EA">
                  <w:pPr>
                    <w:pStyle w:val="23"/>
                    <w:bidi w:val="0"/>
                    <w:rPr>
                      <w:color w:val="auto"/>
                    </w:rPr>
                  </w:pPr>
                </w:p>
              </w:tc>
              <w:tc>
                <w:tcPr>
                  <w:tcW w:w="415" w:type="pct"/>
                  <w:vMerge w:val="restart"/>
                  <w:vAlign w:val="center"/>
                </w:tcPr>
                <w:p w14:paraId="3FE49DDC">
                  <w:pPr>
                    <w:pStyle w:val="23"/>
                    <w:bidi w:val="0"/>
                    <w:rPr>
                      <w:color w:val="auto"/>
                    </w:rPr>
                  </w:pPr>
                  <w:r>
                    <w:rPr>
                      <w:rFonts w:hint="eastAsia"/>
                      <w:color w:val="auto"/>
                      <w:lang w:val="en-US" w:eastAsia="zh-CN"/>
                    </w:rPr>
                    <w:t>2</w:t>
                  </w:r>
                  <w:r>
                    <w:rPr>
                      <w:color w:val="auto"/>
                    </w:rPr>
                    <w:t>类</w:t>
                  </w:r>
                </w:p>
              </w:tc>
            </w:tr>
            <w:tr w14:paraId="0B3865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3" w:type="pct"/>
                  <w:vAlign w:val="center"/>
                </w:tcPr>
                <w:p w14:paraId="023FBB59">
                  <w:pPr>
                    <w:pStyle w:val="23"/>
                    <w:bidi w:val="0"/>
                    <w:rPr>
                      <w:color w:val="auto"/>
                    </w:rPr>
                  </w:pPr>
                  <w:r>
                    <w:rPr>
                      <w:rFonts w:hint="eastAsia"/>
                      <w:color w:val="auto"/>
                      <w:lang w:val="en-US" w:eastAsia="zh-CN"/>
                    </w:rPr>
                    <w:t>ZS</w:t>
                  </w:r>
                  <w:r>
                    <w:rPr>
                      <w:color w:val="auto"/>
                    </w:rPr>
                    <w:t>4</w:t>
                  </w:r>
                </w:p>
              </w:tc>
              <w:tc>
                <w:tcPr>
                  <w:tcW w:w="1176" w:type="pct"/>
                  <w:vAlign w:val="center"/>
                </w:tcPr>
                <w:p w14:paraId="10C92AE8">
                  <w:pPr>
                    <w:pStyle w:val="23"/>
                    <w:bidi w:val="0"/>
                    <w:rPr>
                      <w:color w:val="auto"/>
                    </w:rPr>
                  </w:pPr>
                  <w:r>
                    <w:rPr>
                      <w:rFonts w:hint="eastAsia"/>
                      <w:color w:val="auto"/>
                      <w:lang w:val="en-US" w:eastAsia="zh-CN"/>
                    </w:rPr>
                    <w:t>西宸御府4#楼5</w:t>
                  </w:r>
                  <w:r>
                    <w:rPr>
                      <w:rFonts w:hint="eastAsia"/>
                      <w:color w:val="auto"/>
                    </w:rPr>
                    <w:t>F</w:t>
                  </w:r>
                </w:p>
              </w:tc>
              <w:tc>
                <w:tcPr>
                  <w:tcW w:w="1309" w:type="pct"/>
                  <w:vMerge w:val="continue"/>
                  <w:vAlign w:val="center"/>
                </w:tcPr>
                <w:p w14:paraId="1CD3A33E">
                  <w:pPr>
                    <w:pStyle w:val="23"/>
                    <w:bidi w:val="0"/>
                    <w:rPr>
                      <w:color w:val="auto"/>
                    </w:rPr>
                  </w:pPr>
                </w:p>
              </w:tc>
              <w:tc>
                <w:tcPr>
                  <w:tcW w:w="892" w:type="pct"/>
                  <w:vMerge w:val="continue"/>
                  <w:vAlign w:val="center"/>
                </w:tcPr>
                <w:p w14:paraId="426325D7">
                  <w:pPr>
                    <w:pStyle w:val="23"/>
                    <w:bidi w:val="0"/>
                    <w:rPr>
                      <w:color w:val="auto"/>
                    </w:rPr>
                  </w:pPr>
                </w:p>
              </w:tc>
              <w:tc>
                <w:tcPr>
                  <w:tcW w:w="391" w:type="pct"/>
                  <w:vMerge w:val="continue"/>
                  <w:vAlign w:val="center"/>
                </w:tcPr>
                <w:p w14:paraId="21E26FF4">
                  <w:pPr>
                    <w:pStyle w:val="23"/>
                    <w:bidi w:val="0"/>
                    <w:rPr>
                      <w:color w:val="auto"/>
                    </w:rPr>
                  </w:pPr>
                </w:p>
              </w:tc>
              <w:tc>
                <w:tcPr>
                  <w:tcW w:w="411" w:type="pct"/>
                  <w:vMerge w:val="continue"/>
                  <w:vAlign w:val="center"/>
                </w:tcPr>
                <w:p w14:paraId="732DF4F1">
                  <w:pPr>
                    <w:pStyle w:val="23"/>
                    <w:bidi w:val="0"/>
                    <w:rPr>
                      <w:color w:val="auto"/>
                    </w:rPr>
                  </w:pPr>
                </w:p>
              </w:tc>
              <w:tc>
                <w:tcPr>
                  <w:tcW w:w="415" w:type="pct"/>
                  <w:vMerge w:val="continue"/>
                  <w:vAlign w:val="center"/>
                </w:tcPr>
                <w:p w14:paraId="54B69165">
                  <w:pPr>
                    <w:pStyle w:val="23"/>
                    <w:bidi w:val="0"/>
                    <w:rPr>
                      <w:color w:val="auto"/>
                    </w:rPr>
                  </w:pPr>
                </w:p>
              </w:tc>
            </w:tr>
            <w:tr w14:paraId="09ECE2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3" w:type="pct"/>
                  <w:vAlign w:val="center"/>
                </w:tcPr>
                <w:p w14:paraId="53CD17D0">
                  <w:pPr>
                    <w:pStyle w:val="23"/>
                    <w:bidi w:val="0"/>
                    <w:rPr>
                      <w:color w:val="auto"/>
                    </w:rPr>
                  </w:pPr>
                  <w:r>
                    <w:rPr>
                      <w:rFonts w:hint="eastAsia"/>
                      <w:color w:val="auto"/>
                      <w:lang w:val="en-US" w:eastAsia="zh-CN"/>
                    </w:rPr>
                    <w:t>ZS</w:t>
                  </w:r>
                  <w:r>
                    <w:rPr>
                      <w:color w:val="auto"/>
                    </w:rPr>
                    <w:t>5</w:t>
                  </w:r>
                </w:p>
              </w:tc>
              <w:tc>
                <w:tcPr>
                  <w:tcW w:w="1176" w:type="pct"/>
                  <w:vAlign w:val="center"/>
                </w:tcPr>
                <w:p w14:paraId="485FE19A">
                  <w:pPr>
                    <w:pStyle w:val="23"/>
                    <w:bidi w:val="0"/>
                    <w:rPr>
                      <w:color w:val="auto"/>
                    </w:rPr>
                  </w:pPr>
                  <w:r>
                    <w:rPr>
                      <w:rFonts w:hint="eastAsia"/>
                      <w:color w:val="auto"/>
                      <w:lang w:val="en-US" w:eastAsia="zh-CN"/>
                    </w:rPr>
                    <w:t>西宸御府4#楼12</w:t>
                  </w:r>
                  <w:r>
                    <w:rPr>
                      <w:rFonts w:hint="eastAsia"/>
                      <w:color w:val="auto"/>
                    </w:rPr>
                    <w:t>F</w:t>
                  </w:r>
                </w:p>
              </w:tc>
              <w:tc>
                <w:tcPr>
                  <w:tcW w:w="1309" w:type="pct"/>
                  <w:vMerge w:val="continue"/>
                  <w:vAlign w:val="center"/>
                </w:tcPr>
                <w:p w14:paraId="13332691">
                  <w:pPr>
                    <w:pStyle w:val="23"/>
                    <w:bidi w:val="0"/>
                    <w:rPr>
                      <w:color w:val="auto"/>
                    </w:rPr>
                  </w:pPr>
                </w:p>
              </w:tc>
              <w:tc>
                <w:tcPr>
                  <w:tcW w:w="892" w:type="pct"/>
                  <w:vMerge w:val="continue"/>
                  <w:vAlign w:val="center"/>
                </w:tcPr>
                <w:p w14:paraId="32FC01A4">
                  <w:pPr>
                    <w:pStyle w:val="23"/>
                    <w:bidi w:val="0"/>
                    <w:rPr>
                      <w:color w:val="auto"/>
                    </w:rPr>
                  </w:pPr>
                </w:p>
              </w:tc>
              <w:tc>
                <w:tcPr>
                  <w:tcW w:w="391" w:type="pct"/>
                  <w:vMerge w:val="continue"/>
                  <w:vAlign w:val="center"/>
                </w:tcPr>
                <w:p w14:paraId="55E22EFC">
                  <w:pPr>
                    <w:pStyle w:val="23"/>
                    <w:bidi w:val="0"/>
                    <w:rPr>
                      <w:color w:val="auto"/>
                    </w:rPr>
                  </w:pPr>
                </w:p>
              </w:tc>
              <w:tc>
                <w:tcPr>
                  <w:tcW w:w="411" w:type="pct"/>
                  <w:vMerge w:val="continue"/>
                  <w:vAlign w:val="center"/>
                </w:tcPr>
                <w:p w14:paraId="5CEF13C9">
                  <w:pPr>
                    <w:pStyle w:val="23"/>
                    <w:bidi w:val="0"/>
                    <w:rPr>
                      <w:color w:val="auto"/>
                    </w:rPr>
                  </w:pPr>
                </w:p>
              </w:tc>
              <w:tc>
                <w:tcPr>
                  <w:tcW w:w="415" w:type="pct"/>
                  <w:vMerge w:val="continue"/>
                  <w:vAlign w:val="center"/>
                </w:tcPr>
                <w:p w14:paraId="3E251849">
                  <w:pPr>
                    <w:pStyle w:val="23"/>
                    <w:bidi w:val="0"/>
                    <w:rPr>
                      <w:color w:val="auto"/>
                    </w:rPr>
                  </w:pPr>
                </w:p>
              </w:tc>
            </w:tr>
            <w:tr w14:paraId="7FFDD0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03" w:type="pct"/>
                  <w:vAlign w:val="center"/>
                </w:tcPr>
                <w:p w14:paraId="209FB162">
                  <w:pPr>
                    <w:pStyle w:val="23"/>
                    <w:bidi w:val="0"/>
                    <w:rPr>
                      <w:color w:val="auto"/>
                    </w:rPr>
                  </w:pPr>
                  <w:r>
                    <w:rPr>
                      <w:rFonts w:hint="eastAsia"/>
                      <w:color w:val="auto"/>
                      <w:lang w:val="en-US" w:eastAsia="zh-CN"/>
                    </w:rPr>
                    <w:t>ZS</w:t>
                  </w:r>
                  <w:r>
                    <w:rPr>
                      <w:color w:val="auto"/>
                    </w:rPr>
                    <w:t>6</w:t>
                  </w:r>
                </w:p>
              </w:tc>
              <w:tc>
                <w:tcPr>
                  <w:tcW w:w="1176" w:type="pct"/>
                  <w:vAlign w:val="center"/>
                </w:tcPr>
                <w:p w14:paraId="091CA5F1">
                  <w:pPr>
                    <w:pStyle w:val="23"/>
                    <w:bidi w:val="0"/>
                    <w:rPr>
                      <w:color w:val="auto"/>
                    </w:rPr>
                  </w:pPr>
                  <w:r>
                    <w:rPr>
                      <w:rFonts w:hint="eastAsia"/>
                      <w:color w:val="auto"/>
                      <w:lang w:val="en-US" w:eastAsia="zh-CN"/>
                    </w:rPr>
                    <w:t>西宸御府4#楼24</w:t>
                  </w:r>
                  <w:r>
                    <w:rPr>
                      <w:color w:val="auto"/>
                    </w:rPr>
                    <w:t>F</w:t>
                  </w:r>
                </w:p>
              </w:tc>
              <w:tc>
                <w:tcPr>
                  <w:tcW w:w="1309" w:type="pct"/>
                  <w:vMerge w:val="continue"/>
                  <w:vAlign w:val="center"/>
                </w:tcPr>
                <w:p w14:paraId="59209650">
                  <w:pPr>
                    <w:pStyle w:val="23"/>
                    <w:bidi w:val="0"/>
                    <w:rPr>
                      <w:color w:val="auto"/>
                    </w:rPr>
                  </w:pPr>
                </w:p>
              </w:tc>
              <w:tc>
                <w:tcPr>
                  <w:tcW w:w="892" w:type="pct"/>
                  <w:vMerge w:val="continue"/>
                  <w:vAlign w:val="center"/>
                </w:tcPr>
                <w:p w14:paraId="75BB0F1D">
                  <w:pPr>
                    <w:pStyle w:val="23"/>
                    <w:bidi w:val="0"/>
                    <w:rPr>
                      <w:color w:val="auto"/>
                    </w:rPr>
                  </w:pPr>
                </w:p>
              </w:tc>
              <w:tc>
                <w:tcPr>
                  <w:tcW w:w="391" w:type="pct"/>
                  <w:vMerge w:val="continue"/>
                  <w:vAlign w:val="center"/>
                </w:tcPr>
                <w:p w14:paraId="4B71B248">
                  <w:pPr>
                    <w:pStyle w:val="23"/>
                    <w:bidi w:val="0"/>
                    <w:rPr>
                      <w:color w:val="auto"/>
                    </w:rPr>
                  </w:pPr>
                </w:p>
              </w:tc>
              <w:tc>
                <w:tcPr>
                  <w:tcW w:w="411" w:type="pct"/>
                  <w:vMerge w:val="continue"/>
                  <w:vAlign w:val="center"/>
                </w:tcPr>
                <w:p w14:paraId="0537604E">
                  <w:pPr>
                    <w:pStyle w:val="23"/>
                    <w:bidi w:val="0"/>
                    <w:rPr>
                      <w:color w:val="auto"/>
                    </w:rPr>
                  </w:pPr>
                </w:p>
              </w:tc>
              <w:tc>
                <w:tcPr>
                  <w:tcW w:w="415" w:type="pct"/>
                  <w:vMerge w:val="continue"/>
                  <w:vAlign w:val="center"/>
                </w:tcPr>
                <w:p w14:paraId="220B18CB">
                  <w:pPr>
                    <w:pStyle w:val="23"/>
                    <w:bidi w:val="0"/>
                    <w:rPr>
                      <w:color w:val="auto"/>
                    </w:rPr>
                  </w:pPr>
                </w:p>
              </w:tc>
            </w:tr>
            <w:bookmarkEnd w:id="2"/>
          </w:tbl>
          <w:p w14:paraId="2797DDA1">
            <w:pPr>
              <w:pStyle w:val="21"/>
              <w:bidi w:val="0"/>
              <w:rPr>
                <w:rFonts w:hint="eastAsia"/>
                <w:color w:val="auto"/>
              </w:rPr>
            </w:pPr>
            <w:r>
              <w:rPr>
                <w:rFonts w:hint="eastAsia"/>
                <w:color w:val="auto"/>
              </w:rPr>
              <w:t>（</w:t>
            </w:r>
            <w:r>
              <w:rPr>
                <w:rFonts w:hint="eastAsia"/>
                <w:color w:val="auto"/>
                <w:lang w:val="en-US" w:eastAsia="zh-CN"/>
              </w:rPr>
              <w:t>2</w:t>
            </w:r>
            <w:r>
              <w:rPr>
                <w:rFonts w:hint="eastAsia"/>
                <w:color w:val="auto"/>
              </w:rPr>
              <w:t>）评价标准</w:t>
            </w:r>
          </w:p>
          <w:p w14:paraId="2703AE3E">
            <w:pPr>
              <w:pStyle w:val="21"/>
              <w:bidi w:val="0"/>
              <w:rPr>
                <w:rFonts w:hint="eastAsia"/>
                <w:color w:val="auto"/>
                <w:lang w:eastAsia="zh-CN"/>
              </w:rPr>
            </w:pPr>
            <w:r>
              <w:rPr>
                <w:rFonts w:hint="eastAsia"/>
                <w:color w:val="auto"/>
                <w:lang w:eastAsia="zh-CN"/>
              </w:rPr>
              <w:t>执行《声环境质量标准》（GB</w:t>
            </w:r>
            <w:r>
              <w:rPr>
                <w:rFonts w:hint="eastAsia"/>
                <w:color w:val="auto"/>
                <w:lang w:val="en-US" w:eastAsia="zh-CN"/>
              </w:rPr>
              <w:t xml:space="preserve"> </w:t>
            </w:r>
            <w:r>
              <w:rPr>
                <w:rFonts w:hint="eastAsia"/>
                <w:color w:val="auto"/>
                <w:lang w:eastAsia="zh-CN"/>
              </w:rPr>
              <w:t>3096-2008）标准中2类</w:t>
            </w:r>
            <w:r>
              <w:rPr>
                <w:rFonts w:hint="eastAsia"/>
                <w:color w:val="auto"/>
                <w:lang w:val="en-US" w:eastAsia="zh-CN"/>
              </w:rPr>
              <w:t>、4a类</w:t>
            </w:r>
            <w:r>
              <w:rPr>
                <w:rFonts w:hint="eastAsia"/>
                <w:color w:val="auto"/>
                <w:lang w:eastAsia="zh-CN"/>
              </w:rPr>
              <w:t>标准值。</w:t>
            </w:r>
          </w:p>
          <w:p w14:paraId="29D5BA54">
            <w:pPr>
              <w:pStyle w:val="21"/>
              <w:bidi w:val="0"/>
              <w:rPr>
                <w:rFonts w:hint="default" w:eastAsia="宋体"/>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监测结果统计及评价</w:t>
            </w:r>
          </w:p>
          <w:p w14:paraId="3E8B4611">
            <w:pPr>
              <w:pStyle w:val="21"/>
              <w:bidi w:val="0"/>
              <w:rPr>
                <w:rFonts w:hint="eastAsia"/>
                <w:color w:val="auto"/>
              </w:rPr>
            </w:pPr>
            <w:r>
              <w:rPr>
                <w:rFonts w:hint="eastAsia"/>
                <w:color w:val="auto"/>
              </w:rPr>
              <w:t>声环境质量现状监测结果统计见下表。</w:t>
            </w:r>
          </w:p>
          <w:p w14:paraId="1F719217">
            <w:pPr>
              <w:pStyle w:val="6"/>
              <w:bidi w:val="0"/>
              <w:rPr>
                <w:rFonts w:hint="eastAsia"/>
                <w:color w:val="auto"/>
              </w:rPr>
            </w:pPr>
            <w:r>
              <w:rPr>
                <w:rFonts w:hint="eastAsia"/>
                <w:color w:val="auto"/>
              </w:rPr>
              <w:t>环境保护目标楼层噪声评价结果</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88"/>
              <w:gridCol w:w="1163"/>
              <w:gridCol w:w="1048"/>
              <w:gridCol w:w="974"/>
              <w:gridCol w:w="875"/>
              <w:gridCol w:w="925"/>
              <w:gridCol w:w="825"/>
              <w:gridCol w:w="790"/>
              <w:gridCol w:w="772"/>
            </w:tblGrid>
            <w:tr w14:paraId="646213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vMerge w:val="restart"/>
                  <w:vAlign w:val="center"/>
                </w:tcPr>
                <w:p w14:paraId="25608A8A">
                  <w:pPr>
                    <w:pStyle w:val="23"/>
                    <w:bidi w:val="0"/>
                    <w:rPr>
                      <w:rFonts w:hint="eastAsia"/>
                      <w:color w:val="auto"/>
                    </w:rPr>
                  </w:pPr>
                  <w:r>
                    <w:rPr>
                      <w:rFonts w:hint="eastAsia"/>
                      <w:color w:val="auto"/>
                    </w:rPr>
                    <w:t>检测时间</w:t>
                  </w:r>
                </w:p>
              </w:tc>
              <w:tc>
                <w:tcPr>
                  <w:tcW w:w="671" w:type="pct"/>
                  <w:vMerge w:val="restart"/>
                  <w:vAlign w:val="center"/>
                </w:tcPr>
                <w:p w14:paraId="7C0EC850">
                  <w:pPr>
                    <w:pStyle w:val="23"/>
                    <w:bidi w:val="0"/>
                    <w:rPr>
                      <w:rFonts w:hint="eastAsia"/>
                      <w:color w:val="auto"/>
                    </w:rPr>
                  </w:pPr>
                  <w:r>
                    <w:rPr>
                      <w:rFonts w:hint="eastAsia"/>
                      <w:color w:val="auto"/>
                    </w:rPr>
                    <w:t>监测点位</w:t>
                  </w:r>
                </w:p>
              </w:tc>
              <w:tc>
                <w:tcPr>
                  <w:tcW w:w="1167" w:type="pct"/>
                  <w:gridSpan w:val="2"/>
                  <w:vAlign w:val="center"/>
                </w:tcPr>
                <w:p w14:paraId="4B8D2A3D">
                  <w:pPr>
                    <w:pStyle w:val="23"/>
                    <w:bidi w:val="0"/>
                    <w:rPr>
                      <w:rFonts w:hint="eastAsia"/>
                      <w:color w:val="auto"/>
                    </w:rPr>
                  </w:pPr>
                  <w:r>
                    <w:rPr>
                      <w:rFonts w:hint="eastAsia"/>
                      <w:color w:val="auto"/>
                    </w:rPr>
                    <w:t>监测结果（dB（A））</w:t>
                  </w:r>
                </w:p>
              </w:tc>
              <w:tc>
                <w:tcPr>
                  <w:tcW w:w="1039" w:type="pct"/>
                  <w:gridSpan w:val="2"/>
                  <w:vAlign w:val="center"/>
                </w:tcPr>
                <w:p w14:paraId="1111768F">
                  <w:pPr>
                    <w:pStyle w:val="23"/>
                    <w:bidi w:val="0"/>
                    <w:rPr>
                      <w:rFonts w:hint="eastAsia"/>
                      <w:color w:val="auto"/>
                    </w:rPr>
                  </w:pPr>
                  <w:r>
                    <w:rPr>
                      <w:rFonts w:hint="eastAsia"/>
                      <w:color w:val="auto"/>
                    </w:rPr>
                    <w:t>标准值（dB（A））</w:t>
                  </w:r>
                </w:p>
              </w:tc>
              <w:tc>
                <w:tcPr>
                  <w:tcW w:w="932" w:type="pct"/>
                  <w:gridSpan w:val="2"/>
                  <w:vAlign w:val="center"/>
                </w:tcPr>
                <w:p w14:paraId="6D755768">
                  <w:pPr>
                    <w:pStyle w:val="23"/>
                    <w:bidi w:val="0"/>
                    <w:rPr>
                      <w:rFonts w:hint="eastAsia"/>
                      <w:color w:val="auto"/>
                    </w:rPr>
                  </w:pPr>
                  <w:r>
                    <w:rPr>
                      <w:rFonts w:hint="eastAsia"/>
                      <w:color w:val="auto"/>
                    </w:rPr>
                    <w:t>达标情况</w:t>
                  </w:r>
                </w:p>
              </w:tc>
              <w:tc>
                <w:tcPr>
                  <w:tcW w:w="445" w:type="pct"/>
                  <w:vMerge w:val="restart"/>
                  <w:vAlign w:val="center"/>
                </w:tcPr>
                <w:p w14:paraId="6C808435">
                  <w:pPr>
                    <w:pStyle w:val="23"/>
                    <w:bidi w:val="0"/>
                    <w:rPr>
                      <w:rFonts w:hint="eastAsia"/>
                      <w:color w:val="auto"/>
                    </w:rPr>
                  </w:pPr>
                  <w:r>
                    <w:rPr>
                      <w:rFonts w:hint="eastAsia"/>
                      <w:color w:val="auto"/>
                    </w:rPr>
                    <w:t>备注</w:t>
                  </w:r>
                </w:p>
              </w:tc>
            </w:tr>
            <w:tr w14:paraId="7D6696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vMerge w:val="continue"/>
                  <w:vAlign w:val="center"/>
                </w:tcPr>
                <w:p w14:paraId="10EC7A34">
                  <w:pPr>
                    <w:pStyle w:val="23"/>
                    <w:bidi w:val="0"/>
                    <w:rPr>
                      <w:rFonts w:hint="eastAsia"/>
                      <w:color w:val="auto"/>
                    </w:rPr>
                  </w:pPr>
                </w:p>
              </w:tc>
              <w:tc>
                <w:tcPr>
                  <w:tcW w:w="671" w:type="pct"/>
                  <w:vMerge w:val="continue"/>
                  <w:vAlign w:val="center"/>
                </w:tcPr>
                <w:p w14:paraId="1B85A87C">
                  <w:pPr>
                    <w:pStyle w:val="23"/>
                    <w:bidi w:val="0"/>
                    <w:rPr>
                      <w:rFonts w:hint="eastAsia"/>
                      <w:color w:val="auto"/>
                    </w:rPr>
                  </w:pPr>
                </w:p>
              </w:tc>
              <w:tc>
                <w:tcPr>
                  <w:tcW w:w="605" w:type="pct"/>
                  <w:vAlign w:val="center"/>
                </w:tcPr>
                <w:p w14:paraId="239A72A0">
                  <w:pPr>
                    <w:pStyle w:val="23"/>
                    <w:bidi w:val="0"/>
                    <w:rPr>
                      <w:rFonts w:hint="eastAsia"/>
                      <w:color w:val="auto"/>
                    </w:rPr>
                  </w:pPr>
                  <w:r>
                    <w:rPr>
                      <w:rFonts w:hint="eastAsia"/>
                      <w:color w:val="auto"/>
                    </w:rPr>
                    <w:t>昼间</w:t>
                  </w:r>
                </w:p>
              </w:tc>
              <w:tc>
                <w:tcPr>
                  <w:tcW w:w="562" w:type="pct"/>
                  <w:vAlign w:val="center"/>
                </w:tcPr>
                <w:p w14:paraId="53A28E78">
                  <w:pPr>
                    <w:pStyle w:val="23"/>
                    <w:bidi w:val="0"/>
                    <w:rPr>
                      <w:rFonts w:hint="eastAsia"/>
                      <w:color w:val="auto"/>
                    </w:rPr>
                  </w:pPr>
                  <w:r>
                    <w:rPr>
                      <w:rFonts w:hint="eastAsia"/>
                      <w:color w:val="auto"/>
                    </w:rPr>
                    <w:t>夜间</w:t>
                  </w:r>
                </w:p>
              </w:tc>
              <w:tc>
                <w:tcPr>
                  <w:tcW w:w="505" w:type="pct"/>
                  <w:vAlign w:val="center"/>
                </w:tcPr>
                <w:p w14:paraId="4DBED212">
                  <w:pPr>
                    <w:pStyle w:val="23"/>
                    <w:bidi w:val="0"/>
                    <w:rPr>
                      <w:rFonts w:hint="eastAsia"/>
                      <w:color w:val="auto"/>
                    </w:rPr>
                  </w:pPr>
                  <w:r>
                    <w:rPr>
                      <w:rFonts w:hint="eastAsia"/>
                      <w:color w:val="auto"/>
                    </w:rPr>
                    <w:t>昼间</w:t>
                  </w:r>
                </w:p>
              </w:tc>
              <w:tc>
                <w:tcPr>
                  <w:tcW w:w="534" w:type="pct"/>
                  <w:vAlign w:val="center"/>
                </w:tcPr>
                <w:p w14:paraId="1B89A73A">
                  <w:pPr>
                    <w:pStyle w:val="23"/>
                    <w:bidi w:val="0"/>
                    <w:rPr>
                      <w:rFonts w:hint="eastAsia"/>
                      <w:color w:val="auto"/>
                    </w:rPr>
                  </w:pPr>
                  <w:r>
                    <w:rPr>
                      <w:rFonts w:hint="eastAsia"/>
                      <w:color w:val="auto"/>
                    </w:rPr>
                    <w:t>夜间</w:t>
                  </w:r>
                </w:p>
              </w:tc>
              <w:tc>
                <w:tcPr>
                  <w:tcW w:w="476" w:type="pct"/>
                  <w:vAlign w:val="center"/>
                </w:tcPr>
                <w:p w14:paraId="74DB49A9">
                  <w:pPr>
                    <w:pStyle w:val="23"/>
                    <w:bidi w:val="0"/>
                    <w:rPr>
                      <w:rFonts w:hint="eastAsia"/>
                      <w:color w:val="auto"/>
                    </w:rPr>
                  </w:pPr>
                  <w:r>
                    <w:rPr>
                      <w:rFonts w:hint="eastAsia"/>
                      <w:color w:val="auto"/>
                    </w:rPr>
                    <w:t>昼间</w:t>
                  </w:r>
                </w:p>
              </w:tc>
              <w:tc>
                <w:tcPr>
                  <w:tcW w:w="456" w:type="pct"/>
                  <w:vAlign w:val="center"/>
                </w:tcPr>
                <w:p w14:paraId="63AEA762">
                  <w:pPr>
                    <w:pStyle w:val="23"/>
                    <w:bidi w:val="0"/>
                    <w:rPr>
                      <w:rFonts w:hint="eastAsia"/>
                      <w:color w:val="auto"/>
                    </w:rPr>
                  </w:pPr>
                  <w:r>
                    <w:rPr>
                      <w:rFonts w:hint="eastAsia"/>
                      <w:color w:val="auto"/>
                    </w:rPr>
                    <w:t>夜间</w:t>
                  </w:r>
                </w:p>
              </w:tc>
              <w:tc>
                <w:tcPr>
                  <w:tcW w:w="445" w:type="pct"/>
                  <w:vMerge w:val="continue"/>
                  <w:vAlign w:val="center"/>
                </w:tcPr>
                <w:p w14:paraId="63D44A3D">
                  <w:pPr>
                    <w:pStyle w:val="23"/>
                    <w:bidi w:val="0"/>
                    <w:rPr>
                      <w:rFonts w:hint="eastAsia"/>
                      <w:color w:val="auto"/>
                    </w:rPr>
                  </w:pPr>
                </w:p>
              </w:tc>
            </w:tr>
            <w:tr w14:paraId="6FC518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tcBorders>
                    <w:bottom w:val="single" w:color="auto" w:sz="4" w:space="0"/>
                  </w:tcBorders>
                  <w:vAlign w:val="center"/>
                </w:tcPr>
                <w:p w14:paraId="0F378DE1">
                  <w:pPr>
                    <w:pStyle w:val="23"/>
                    <w:bidi w:val="0"/>
                    <w:rPr>
                      <w:rFonts w:hint="default" w:eastAsia="宋体"/>
                      <w:color w:val="auto"/>
                      <w:lang w:val="en-US" w:eastAsia="zh-CN"/>
                    </w:rPr>
                  </w:pPr>
                  <w:r>
                    <w:rPr>
                      <w:rFonts w:hint="eastAsia"/>
                      <w:color w:val="auto"/>
                      <w:lang w:val="en-US" w:eastAsia="zh-CN"/>
                    </w:rPr>
                    <w:t>2024.06.19</w:t>
                  </w:r>
                </w:p>
              </w:tc>
              <w:tc>
                <w:tcPr>
                  <w:tcW w:w="671" w:type="pct"/>
                  <w:vMerge w:val="restart"/>
                  <w:vAlign w:val="center"/>
                </w:tcPr>
                <w:p w14:paraId="24770713">
                  <w:pPr>
                    <w:pStyle w:val="23"/>
                    <w:bidi w:val="0"/>
                    <w:rPr>
                      <w:rFonts w:hint="eastAsia"/>
                      <w:color w:val="auto"/>
                    </w:rPr>
                  </w:pPr>
                  <w:r>
                    <w:rPr>
                      <w:rFonts w:hint="eastAsia"/>
                      <w:color w:val="auto"/>
                      <w:lang w:val="en-US" w:eastAsia="zh-CN"/>
                    </w:rPr>
                    <w:t>ZS1</w:t>
                  </w:r>
                </w:p>
              </w:tc>
              <w:tc>
                <w:tcPr>
                  <w:tcW w:w="605" w:type="pct"/>
                  <w:vAlign w:val="center"/>
                </w:tcPr>
                <w:p w14:paraId="2007A0F7">
                  <w:pPr>
                    <w:pStyle w:val="23"/>
                    <w:bidi w:val="0"/>
                    <w:rPr>
                      <w:rFonts w:hint="default" w:eastAsia="宋体"/>
                      <w:color w:val="auto"/>
                      <w:lang w:val="en-US" w:eastAsia="zh-CN"/>
                    </w:rPr>
                  </w:pPr>
                  <w:r>
                    <w:rPr>
                      <w:rFonts w:hint="eastAsia"/>
                      <w:color w:val="auto"/>
                      <w:lang w:val="en-US" w:eastAsia="zh-CN"/>
                    </w:rPr>
                    <w:t>62</w:t>
                  </w:r>
                </w:p>
              </w:tc>
              <w:tc>
                <w:tcPr>
                  <w:tcW w:w="562" w:type="pct"/>
                  <w:vAlign w:val="center"/>
                </w:tcPr>
                <w:p w14:paraId="1D5576F6">
                  <w:pPr>
                    <w:pStyle w:val="23"/>
                    <w:bidi w:val="0"/>
                    <w:rPr>
                      <w:rFonts w:hint="default" w:eastAsia="宋体"/>
                      <w:color w:val="auto"/>
                      <w:lang w:val="en-US" w:eastAsia="zh-CN"/>
                    </w:rPr>
                  </w:pPr>
                  <w:r>
                    <w:rPr>
                      <w:rFonts w:hint="eastAsia"/>
                      <w:color w:val="auto"/>
                      <w:lang w:val="en-US" w:eastAsia="zh-CN"/>
                    </w:rPr>
                    <w:t>52</w:t>
                  </w:r>
                </w:p>
              </w:tc>
              <w:tc>
                <w:tcPr>
                  <w:tcW w:w="505" w:type="pct"/>
                  <w:vAlign w:val="center"/>
                </w:tcPr>
                <w:p w14:paraId="748DDFA4">
                  <w:pPr>
                    <w:pStyle w:val="23"/>
                    <w:bidi w:val="0"/>
                    <w:rPr>
                      <w:rFonts w:hint="default" w:eastAsia="宋体"/>
                      <w:color w:val="auto"/>
                      <w:lang w:val="en-US" w:eastAsia="zh-CN"/>
                    </w:rPr>
                  </w:pPr>
                  <w:r>
                    <w:rPr>
                      <w:rFonts w:hint="eastAsia"/>
                      <w:color w:val="auto"/>
                      <w:lang w:val="en-US" w:eastAsia="zh-CN"/>
                    </w:rPr>
                    <w:t>70</w:t>
                  </w:r>
                </w:p>
              </w:tc>
              <w:tc>
                <w:tcPr>
                  <w:tcW w:w="534" w:type="pct"/>
                  <w:vAlign w:val="center"/>
                </w:tcPr>
                <w:p w14:paraId="7A5950D5">
                  <w:pPr>
                    <w:pStyle w:val="23"/>
                    <w:bidi w:val="0"/>
                    <w:rPr>
                      <w:rFonts w:hint="default" w:eastAsia="宋体"/>
                      <w:color w:val="auto"/>
                      <w:lang w:val="en-US" w:eastAsia="zh-CN"/>
                    </w:rPr>
                  </w:pPr>
                  <w:r>
                    <w:rPr>
                      <w:rFonts w:hint="eastAsia"/>
                      <w:color w:val="auto"/>
                      <w:lang w:val="en-US" w:eastAsia="zh-CN"/>
                    </w:rPr>
                    <w:t>55</w:t>
                  </w:r>
                </w:p>
              </w:tc>
              <w:tc>
                <w:tcPr>
                  <w:tcW w:w="476" w:type="pct"/>
                  <w:vAlign w:val="center"/>
                </w:tcPr>
                <w:p w14:paraId="2ED0F656">
                  <w:pPr>
                    <w:pStyle w:val="23"/>
                    <w:bidi w:val="0"/>
                    <w:rPr>
                      <w:rFonts w:hint="eastAsia"/>
                      <w:color w:val="auto"/>
                    </w:rPr>
                  </w:pPr>
                  <w:r>
                    <w:rPr>
                      <w:rFonts w:hint="eastAsia"/>
                      <w:color w:val="auto"/>
                    </w:rPr>
                    <w:t>达标</w:t>
                  </w:r>
                </w:p>
              </w:tc>
              <w:tc>
                <w:tcPr>
                  <w:tcW w:w="456" w:type="pct"/>
                  <w:vAlign w:val="center"/>
                </w:tcPr>
                <w:p w14:paraId="7BD06475">
                  <w:pPr>
                    <w:pStyle w:val="23"/>
                    <w:bidi w:val="0"/>
                    <w:rPr>
                      <w:rFonts w:hint="eastAsia"/>
                      <w:color w:val="auto"/>
                    </w:rPr>
                  </w:pPr>
                  <w:r>
                    <w:rPr>
                      <w:rFonts w:hint="eastAsia"/>
                      <w:color w:val="auto"/>
                    </w:rPr>
                    <w:t>达标</w:t>
                  </w:r>
                </w:p>
              </w:tc>
              <w:tc>
                <w:tcPr>
                  <w:tcW w:w="445" w:type="pct"/>
                  <w:vAlign w:val="center"/>
                </w:tcPr>
                <w:p w14:paraId="2D941298">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4a类</w:t>
                  </w:r>
                </w:p>
              </w:tc>
            </w:tr>
            <w:tr w14:paraId="33148E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tcBorders>
                    <w:top w:val="single" w:color="auto" w:sz="4" w:space="0"/>
                  </w:tcBorders>
                  <w:vAlign w:val="center"/>
                </w:tcPr>
                <w:p w14:paraId="732F44D7">
                  <w:pPr>
                    <w:pStyle w:val="23"/>
                    <w:bidi w:val="0"/>
                    <w:rPr>
                      <w:rFonts w:hint="default"/>
                      <w:color w:val="auto"/>
                      <w:lang w:val="en-US"/>
                    </w:rPr>
                  </w:pPr>
                  <w:r>
                    <w:rPr>
                      <w:rFonts w:hint="eastAsia"/>
                      <w:color w:val="auto"/>
                      <w:lang w:val="en-US" w:eastAsia="zh-CN"/>
                    </w:rPr>
                    <w:t>2024.06.20</w:t>
                  </w:r>
                </w:p>
              </w:tc>
              <w:tc>
                <w:tcPr>
                  <w:tcW w:w="671" w:type="pct"/>
                  <w:vMerge w:val="continue"/>
                  <w:vAlign w:val="center"/>
                </w:tcPr>
                <w:p w14:paraId="3B4335E6">
                  <w:pPr>
                    <w:pStyle w:val="23"/>
                    <w:bidi w:val="0"/>
                    <w:rPr>
                      <w:rFonts w:hint="eastAsia"/>
                      <w:color w:val="auto"/>
                    </w:rPr>
                  </w:pPr>
                </w:p>
              </w:tc>
              <w:tc>
                <w:tcPr>
                  <w:tcW w:w="605" w:type="pct"/>
                  <w:vAlign w:val="center"/>
                </w:tcPr>
                <w:p w14:paraId="1C433DF5">
                  <w:pPr>
                    <w:pStyle w:val="23"/>
                    <w:bidi w:val="0"/>
                    <w:rPr>
                      <w:rFonts w:hint="default" w:eastAsia="宋体"/>
                      <w:color w:val="auto"/>
                      <w:lang w:val="en-US" w:eastAsia="zh-CN"/>
                    </w:rPr>
                  </w:pPr>
                  <w:r>
                    <w:rPr>
                      <w:rFonts w:hint="eastAsia"/>
                      <w:color w:val="auto"/>
                      <w:lang w:val="en-US" w:eastAsia="zh-CN"/>
                    </w:rPr>
                    <w:t>61</w:t>
                  </w:r>
                </w:p>
              </w:tc>
              <w:tc>
                <w:tcPr>
                  <w:tcW w:w="562" w:type="pct"/>
                  <w:vAlign w:val="center"/>
                </w:tcPr>
                <w:p w14:paraId="3B36A10E">
                  <w:pPr>
                    <w:pStyle w:val="23"/>
                    <w:bidi w:val="0"/>
                    <w:rPr>
                      <w:rFonts w:hint="default" w:eastAsia="宋体"/>
                      <w:color w:val="auto"/>
                      <w:lang w:val="en-US" w:eastAsia="zh-CN"/>
                    </w:rPr>
                  </w:pPr>
                  <w:r>
                    <w:rPr>
                      <w:rFonts w:hint="eastAsia"/>
                      <w:color w:val="auto"/>
                      <w:lang w:val="en-US" w:eastAsia="zh-CN"/>
                    </w:rPr>
                    <w:t>53</w:t>
                  </w:r>
                </w:p>
              </w:tc>
              <w:tc>
                <w:tcPr>
                  <w:tcW w:w="505" w:type="pct"/>
                  <w:vAlign w:val="center"/>
                </w:tcPr>
                <w:p w14:paraId="3EBA60D3">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70</w:t>
                  </w:r>
                </w:p>
              </w:tc>
              <w:tc>
                <w:tcPr>
                  <w:tcW w:w="534" w:type="pct"/>
                  <w:vAlign w:val="center"/>
                </w:tcPr>
                <w:p w14:paraId="2A7696D8">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55</w:t>
                  </w:r>
                </w:p>
              </w:tc>
              <w:tc>
                <w:tcPr>
                  <w:tcW w:w="476" w:type="pct"/>
                  <w:vAlign w:val="center"/>
                </w:tcPr>
                <w:p w14:paraId="2682073C">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56" w:type="pct"/>
                  <w:vAlign w:val="center"/>
                </w:tcPr>
                <w:p w14:paraId="6A0A955B">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45" w:type="pct"/>
                  <w:vAlign w:val="center"/>
                </w:tcPr>
                <w:p w14:paraId="364293C0">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4a类</w:t>
                  </w:r>
                </w:p>
              </w:tc>
            </w:tr>
            <w:tr w14:paraId="16900B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tcBorders>
                    <w:bottom w:val="single" w:color="auto" w:sz="4" w:space="0"/>
                  </w:tcBorders>
                  <w:vAlign w:val="center"/>
                </w:tcPr>
                <w:p w14:paraId="460F89DB">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2024.06.19</w:t>
                  </w:r>
                </w:p>
              </w:tc>
              <w:tc>
                <w:tcPr>
                  <w:tcW w:w="671" w:type="pct"/>
                  <w:vMerge w:val="restart"/>
                  <w:vAlign w:val="center"/>
                </w:tcPr>
                <w:p w14:paraId="0946D346">
                  <w:pPr>
                    <w:pStyle w:val="23"/>
                    <w:bidi w:val="0"/>
                    <w:rPr>
                      <w:rFonts w:hint="eastAsia"/>
                      <w:color w:val="auto"/>
                      <w:lang w:val="en-US" w:eastAsia="zh-CN"/>
                    </w:rPr>
                  </w:pPr>
                  <w:r>
                    <w:rPr>
                      <w:rFonts w:hint="eastAsia"/>
                      <w:color w:val="auto"/>
                      <w:lang w:val="en-US" w:eastAsia="zh-CN"/>
                    </w:rPr>
                    <w:t>ZS2</w:t>
                  </w:r>
                </w:p>
              </w:tc>
              <w:tc>
                <w:tcPr>
                  <w:tcW w:w="605" w:type="pct"/>
                  <w:vAlign w:val="center"/>
                </w:tcPr>
                <w:p w14:paraId="00F16EAC">
                  <w:pPr>
                    <w:pStyle w:val="23"/>
                    <w:bidi w:val="0"/>
                    <w:rPr>
                      <w:rFonts w:hint="default" w:eastAsia="宋体"/>
                      <w:color w:val="auto"/>
                      <w:lang w:val="en-US" w:eastAsia="zh-CN"/>
                    </w:rPr>
                  </w:pPr>
                  <w:r>
                    <w:rPr>
                      <w:rFonts w:hint="eastAsia"/>
                      <w:color w:val="auto"/>
                      <w:lang w:val="en-US" w:eastAsia="zh-CN"/>
                    </w:rPr>
                    <w:t>60</w:t>
                  </w:r>
                </w:p>
              </w:tc>
              <w:tc>
                <w:tcPr>
                  <w:tcW w:w="562" w:type="pct"/>
                  <w:vAlign w:val="center"/>
                </w:tcPr>
                <w:p w14:paraId="4FDB6C6A">
                  <w:pPr>
                    <w:pStyle w:val="23"/>
                    <w:bidi w:val="0"/>
                    <w:rPr>
                      <w:rFonts w:hint="default" w:eastAsia="宋体"/>
                      <w:color w:val="auto"/>
                      <w:lang w:val="en-US" w:eastAsia="zh-CN"/>
                    </w:rPr>
                  </w:pPr>
                  <w:r>
                    <w:rPr>
                      <w:rFonts w:hint="eastAsia"/>
                      <w:color w:val="auto"/>
                      <w:lang w:val="en-US" w:eastAsia="zh-CN"/>
                    </w:rPr>
                    <w:t>53</w:t>
                  </w:r>
                </w:p>
              </w:tc>
              <w:tc>
                <w:tcPr>
                  <w:tcW w:w="505" w:type="pct"/>
                  <w:vAlign w:val="center"/>
                </w:tcPr>
                <w:p w14:paraId="3A7DEF21">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70</w:t>
                  </w:r>
                </w:p>
              </w:tc>
              <w:tc>
                <w:tcPr>
                  <w:tcW w:w="534" w:type="pct"/>
                  <w:vAlign w:val="center"/>
                </w:tcPr>
                <w:p w14:paraId="14DFDA3E">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55</w:t>
                  </w:r>
                </w:p>
              </w:tc>
              <w:tc>
                <w:tcPr>
                  <w:tcW w:w="476" w:type="pct"/>
                  <w:vAlign w:val="center"/>
                </w:tcPr>
                <w:p w14:paraId="49978068">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56" w:type="pct"/>
                  <w:vAlign w:val="center"/>
                </w:tcPr>
                <w:p w14:paraId="13C67394">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45" w:type="pct"/>
                  <w:vAlign w:val="center"/>
                </w:tcPr>
                <w:p w14:paraId="00B332D4">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4a类</w:t>
                  </w:r>
                </w:p>
              </w:tc>
            </w:tr>
            <w:tr w14:paraId="70767F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tcBorders>
                    <w:top w:val="single" w:color="auto" w:sz="4" w:space="0"/>
                  </w:tcBorders>
                  <w:vAlign w:val="center"/>
                </w:tcPr>
                <w:p w14:paraId="18A26F32">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2024.06.20</w:t>
                  </w:r>
                </w:p>
              </w:tc>
              <w:tc>
                <w:tcPr>
                  <w:tcW w:w="671" w:type="pct"/>
                  <w:vMerge w:val="continue"/>
                  <w:vAlign w:val="center"/>
                </w:tcPr>
                <w:p w14:paraId="22357770">
                  <w:pPr>
                    <w:pStyle w:val="23"/>
                    <w:bidi w:val="0"/>
                    <w:rPr>
                      <w:rFonts w:hint="eastAsia"/>
                      <w:color w:val="auto"/>
                      <w:lang w:val="en-US" w:eastAsia="zh-CN"/>
                    </w:rPr>
                  </w:pPr>
                </w:p>
              </w:tc>
              <w:tc>
                <w:tcPr>
                  <w:tcW w:w="605" w:type="pct"/>
                  <w:vAlign w:val="center"/>
                </w:tcPr>
                <w:p w14:paraId="22EC3A7C">
                  <w:pPr>
                    <w:pStyle w:val="23"/>
                    <w:bidi w:val="0"/>
                    <w:rPr>
                      <w:rFonts w:hint="default" w:eastAsia="宋体"/>
                      <w:color w:val="auto"/>
                      <w:lang w:val="en-US" w:eastAsia="zh-CN"/>
                    </w:rPr>
                  </w:pPr>
                  <w:r>
                    <w:rPr>
                      <w:rFonts w:hint="eastAsia"/>
                      <w:color w:val="auto"/>
                      <w:lang w:val="en-US" w:eastAsia="zh-CN"/>
                    </w:rPr>
                    <w:t>59</w:t>
                  </w:r>
                </w:p>
              </w:tc>
              <w:tc>
                <w:tcPr>
                  <w:tcW w:w="562" w:type="pct"/>
                  <w:vAlign w:val="center"/>
                </w:tcPr>
                <w:p w14:paraId="251F9883">
                  <w:pPr>
                    <w:pStyle w:val="23"/>
                    <w:bidi w:val="0"/>
                    <w:rPr>
                      <w:rFonts w:hint="default" w:eastAsia="宋体"/>
                      <w:color w:val="auto"/>
                      <w:lang w:val="en-US" w:eastAsia="zh-CN"/>
                    </w:rPr>
                  </w:pPr>
                  <w:r>
                    <w:rPr>
                      <w:rFonts w:hint="eastAsia"/>
                      <w:color w:val="auto"/>
                      <w:lang w:val="en-US" w:eastAsia="zh-CN"/>
                    </w:rPr>
                    <w:t>51</w:t>
                  </w:r>
                </w:p>
              </w:tc>
              <w:tc>
                <w:tcPr>
                  <w:tcW w:w="505" w:type="pct"/>
                  <w:vAlign w:val="center"/>
                </w:tcPr>
                <w:p w14:paraId="2FBFD460">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70</w:t>
                  </w:r>
                </w:p>
              </w:tc>
              <w:tc>
                <w:tcPr>
                  <w:tcW w:w="534" w:type="pct"/>
                  <w:vAlign w:val="center"/>
                </w:tcPr>
                <w:p w14:paraId="56052567">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55</w:t>
                  </w:r>
                </w:p>
              </w:tc>
              <w:tc>
                <w:tcPr>
                  <w:tcW w:w="476" w:type="pct"/>
                  <w:vAlign w:val="center"/>
                </w:tcPr>
                <w:p w14:paraId="24A3421C">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56" w:type="pct"/>
                  <w:vAlign w:val="center"/>
                </w:tcPr>
                <w:p w14:paraId="012391C9">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45" w:type="pct"/>
                  <w:vAlign w:val="center"/>
                </w:tcPr>
                <w:p w14:paraId="449E302A">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4a类</w:t>
                  </w:r>
                </w:p>
              </w:tc>
            </w:tr>
            <w:tr w14:paraId="3A2EE5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tcBorders>
                    <w:bottom w:val="single" w:color="000000" w:sz="8" w:space="0"/>
                  </w:tcBorders>
                  <w:vAlign w:val="center"/>
                </w:tcPr>
                <w:p w14:paraId="4A6B7A25">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2024.06.19</w:t>
                  </w:r>
                </w:p>
              </w:tc>
              <w:tc>
                <w:tcPr>
                  <w:tcW w:w="671" w:type="pct"/>
                  <w:vMerge w:val="restart"/>
                  <w:vAlign w:val="center"/>
                </w:tcPr>
                <w:p w14:paraId="01B0D4C2">
                  <w:pPr>
                    <w:pStyle w:val="23"/>
                    <w:bidi w:val="0"/>
                    <w:rPr>
                      <w:rFonts w:hint="eastAsia"/>
                      <w:color w:val="auto"/>
                    </w:rPr>
                  </w:pPr>
                  <w:r>
                    <w:rPr>
                      <w:rFonts w:hint="eastAsia"/>
                      <w:color w:val="auto"/>
                      <w:lang w:val="en-US" w:eastAsia="zh-CN"/>
                    </w:rPr>
                    <w:t>ZS3（1F）</w:t>
                  </w:r>
                </w:p>
              </w:tc>
              <w:tc>
                <w:tcPr>
                  <w:tcW w:w="605" w:type="pct"/>
                  <w:vAlign w:val="center"/>
                </w:tcPr>
                <w:p w14:paraId="33809EBC">
                  <w:pPr>
                    <w:pStyle w:val="23"/>
                    <w:bidi w:val="0"/>
                    <w:rPr>
                      <w:rFonts w:hint="default" w:eastAsia="宋体"/>
                      <w:color w:val="auto"/>
                      <w:lang w:val="en-US" w:eastAsia="zh-CN"/>
                    </w:rPr>
                  </w:pPr>
                  <w:r>
                    <w:rPr>
                      <w:rFonts w:hint="eastAsia"/>
                      <w:color w:val="auto"/>
                      <w:lang w:val="en-US" w:eastAsia="zh-CN"/>
                    </w:rPr>
                    <w:t>54</w:t>
                  </w:r>
                </w:p>
              </w:tc>
              <w:tc>
                <w:tcPr>
                  <w:tcW w:w="562" w:type="pct"/>
                  <w:vAlign w:val="center"/>
                </w:tcPr>
                <w:p w14:paraId="19E1AFCB">
                  <w:pPr>
                    <w:pStyle w:val="23"/>
                    <w:bidi w:val="0"/>
                    <w:rPr>
                      <w:rFonts w:hint="default" w:eastAsia="宋体"/>
                      <w:color w:val="auto"/>
                      <w:lang w:val="en-US" w:eastAsia="zh-CN"/>
                    </w:rPr>
                  </w:pPr>
                  <w:r>
                    <w:rPr>
                      <w:rFonts w:hint="eastAsia"/>
                      <w:color w:val="auto"/>
                      <w:lang w:val="en-US" w:eastAsia="zh-CN"/>
                    </w:rPr>
                    <w:t>41</w:t>
                  </w:r>
                </w:p>
              </w:tc>
              <w:tc>
                <w:tcPr>
                  <w:tcW w:w="505" w:type="pct"/>
                  <w:vAlign w:val="center"/>
                </w:tcPr>
                <w:p w14:paraId="02459A96">
                  <w:pPr>
                    <w:pStyle w:val="23"/>
                    <w:bidi w:val="0"/>
                    <w:rPr>
                      <w:rFonts w:hint="default" w:eastAsia="宋体"/>
                      <w:color w:val="auto"/>
                      <w:lang w:val="en-US" w:eastAsia="zh-CN"/>
                    </w:rPr>
                  </w:pPr>
                  <w:r>
                    <w:rPr>
                      <w:rFonts w:hint="eastAsia"/>
                      <w:color w:val="auto"/>
                      <w:lang w:val="en-US" w:eastAsia="zh-CN"/>
                    </w:rPr>
                    <w:t>60</w:t>
                  </w:r>
                </w:p>
              </w:tc>
              <w:tc>
                <w:tcPr>
                  <w:tcW w:w="534" w:type="pct"/>
                  <w:vAlign w:val="center"/>
                </w:tcPr>
                <w:p w14:paraId="199FE2B8">
                  <w:pPr>
                    <w:pStyle w:val="23"/>
                    <w:bidi w:val="0"/>
                    <w:rPr>
                      <w:rFonts w:hint="default" w:eastAsia="宋体"/>
                      <w:color w:val="auto"/>
                      <w:lang w:val="en-US" w:eastAsia="zh-CN"/>
                    </w:rPr>
                  </w:pPr>
                  <w:r>
                    <w:rPr>
                      <w:rFonts w:hint="eastAsia"/>
                      <w:color w:val="auto"/>
                      <w:lang w:val="en-US" w:eastAsia="zh-CN"/>
                    </w:rPr>
                    <w:t>50</w:t>
                  </w:r>
                </w:p>
              </w:tc>
              <w:tc>
                <w:tcPr>
                  <w:tcW w:w="476" w:type="pct"/>
                  <w:vAlign w:val="center"/>
                </w:tcPr>
                <w:p w14:paraId="05C7E09F">
                  <w:pPr>
                    <w:pStyle w:val="23"/>
                    <w:bidi w:val="0"/>
                    <w:rPr>
                      <w:rFonts w:hint="eastAsia"/>
                      <w:color w:val="auto"/>
                    </w:rPr>
                  </w:pPr>
                  <w:r>
                    <w:rPr>
                      <w:rFonts w:hint="eastAsia"/>
                      <w:color w:val="auto"/>
                    </w:rPr>
                    <w:t>达标</w:t>
                  </w:r>
                </w:p>
              </w:tc>
              <w:tc>
                <w:tcPr>
                  <w:tcW w:w="456" w:type="pct"/>
                  <w:vAlign w:val="center"/>
                </w:tcPr>
                <w:p w14:paraId="726F42C0">
                  <w:pPr>
                    <w:pStyle w:val="23"/>
                    <w:bidi w:val="0"/>
                    <w:rPr>
                      <w:rFonts w:hint="eastAsia"/>
                      <w:color w:val="auto"/>
                    </w:rPr>
                  </w:pPr>
                  <w:r>
                    <w:rPr>
                      <w:rFonts w:hint="eastAsia"/>
                      <w:color w:val="auto"/>
                    </w:rPr>
                    <w:t>达标</w:t>
                  </w:r>
                </w:p>
              </w:tc>
              <w:tc>
                <w:tcPr>
                  <w:tcW w:w="445" w:type="pct"/>
                  <w:vAlign w:val="center"/>
                </w:tcPr>
                <w:p w14:paraId="4BC3A3AB">
                  <w:pPr>
                    <w:pStyle w:val="23"/>
                    <w:bidi w:val="0"/>
                    <w:rPr>
                      <w:rFonts w:hint="eastAsia"/>
                      <w:color w:val="auto"/>
                    </w:rPr>
                  </w:pPr>
                  <w:r>
                    <w:rPr>
                      <w:rFonts w:hint="eastAsia"/>
                      <w:color w:val="auto"/>
                      <w:lang w:val="en-US" w:eastAsia="zh-CN"/>
                    </w:rPr>
                    <w:t>2</w:t>
                  </w:r>
                  <w:r>
                    <w:rPr>
                      <w:rFonts w:hint="eastAsia"/>
                      <w:color w:val="auto"/>
                    </w:rPr>
                    <w:t>类</w:t>
                  </w:r>
                </w:p>
              </w:tc>
            </w:tr>
            <w:tr w14:paraId="53A77C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tcBorders>
                    <w:top w:val="single" w:color="000000" w:sz="8" w:space="0"/>
                  </w:tcBorders>
                  <w:vAlign w:val="center"/>
                </w:tcPr>
                <w:p w14:paraId="0358C9D0">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2024.06.20</w:t>
                  </w:r>
                </w:p>
              </w:tc>
              <w:tc>
                <w:tcPr>
                  <w:tcW w:w="671" w:type="pct"/>
                  <w:vMerge w:val="continue"/>
                  <w:vAlign w:val="center"/>
                </w:tcPr>
                <w:p w14:paraId="19A77A2B">
                  <w:pPr>
                    <w:pStyle w:val="23"/>
                    <w:bidi w:val="0"/>
                    <w:rPr>
                      <w:rFonts w:hint="eastAsia"/>
                      <w:color w:val="auto"/>
                    </w:rPr>
                  </w:pPr>
                </w:p>
              </w:tc>
              <w:tc>
                <w:tcPr>
                  <w:tcW w:w="605" w:type="pct"/>
                  <w:vAlign w:val="center"/>
                </w:tcPr>
                <w:p w14:paraId="1B832642">
                  <w:pPr>
                    <w:pStyle w:val="23"/>
                    <w:bidi w:val="0"/>
                    <w:rPr>
                      <w:rFonts w:hint="default" w:eastAsia="宋体"/>
                      <w:color w:val="auto"/>
                      <w:lang w:val="en-US" w:eastAsia="zh-CN"/>
                    </w:rPr>
                  </w:pPr>
                  <w:r>
                    <w:rPr>
                      <w:rFonts w:hint="eastAsia"/>
                      <w:color w:val="auto"/>
                      <w:lang w:val="en-US" w:eastAsia="zh-CN"/>
                    </w:rPr>
                    <w:t>51</w:t>
                  </w:r>
                </w:p>
              </w:tc>
              <w:tc>
                <w:tcPr>
                  <w:tcW w:w="562" w:type="pct"/>
                  <w:vAlign w:val="center"/>
                </w:tcPr>
                <w:p w14:paraId="44DF61CD">
                  <w:pPr>
                    <w:pStyle w:val="23"/>
                    <w:bidi w:val="0"/>
                    <w:rPr>
                      <w:rFonts w:hint="default" w:eastAsia="宋体"/>
                      <w:color w:val="auto"/>
                      <w:lang w:val="en-US" w:eastAsia="zh-CN"/>
                    </w:rPr>
                  </w:pPr>
                  <w:r>
                    <w:rPr>
                      <w:rFonts w:hint="eastAsia"/>
                      <w:color w:val="auto"/>
                      <w:lang w:val="en-US" w:eastAsia="zh-CN"/>
                    </w:rPr>
                    <w:t>44</w:t>
                  </w:r>
                </w:p>
              </w:tc>
              <w:tc>
                <w:tcPr>
                  <w:tcW w:w="505" w:type="pct"/>
                  <w:vAlign w:val="center"/>
                </w:tcPr>
                <w:p w14:paraId="413C1A26">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60</w:t>
                  </w:r>
                </w:p>
              </w:tc>
              <w:tc>
                <w:tcPr>
                  <w:tcW w:w="534" w:type="pct"/>
                  <w:vAlign w:val="center"/>
                </w:tcPr>
                <w:p w14:paraId="736C6E29">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50</w:t>
                  </w:r>
                </w:p>
              </w:tc>
              <w:tc>
                <w:tcPr>
                  <w:tcW w:w="476" w:type="pct"/>
                  <w:vAlign w:val="center"/>
                </w:tcPr>
                <w:p w14:paraId="760020FF">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56" w:type="pct"/>
                  <w:vAlign w:val="center"/>
                </w:tcPr>
                <w:p w14:paraId="71E8CE47">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45" w:type="pct"/>
                  <w:vAlign w:val="center"/>
                </w:tcPr>
                <w:p w14:paraId="7D805BD4">
                  <w:pPr>
                    <w:pStyle w:val="23"/>
                    <w:bidi w:val="0"/>
                    <w:rPr>
                      <w:rFonts w:hint="eastAsia"/>
                      <w:color w:val="auto"/>
                      <w:lang w:val="en-US" w:eastAsia="zh-CN"/>
                    </w:rPr>
                  </w:pPr>
                  <w:r>
                    <w:rPr>
                      <w:rFonts w:hint="eastAsia"/>
                      <w:color w:val="auto"/>
                      <w:lang w:val="en-US" w:eastAsia="zh-CN"/>
                    </w:rPr>
                    <w:t>2</w:t>
                  </w:r>
                  <w:r>
                    <w:rPr>
                      <w:rFonts w:hint="eastAsia"/>
                      <w:color w:val="auto"/>
                    </w:rPr>
                    <w:t>类</w:t>
                  </w:r>
                </w:p>
              </w:tc>
            </w:tr>
            <w:tr w14:paraId="566319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vAlign w:val="center"/>
                </w:tcPr>
                <w:p w14:paraId="13EA8288">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2024.06.19</w:t>
                  </w:r>
                </w:p>
              </w:tc>
              <w:tc>
                <w:tcPr>
                  <w:tcW w:w="671" w:type="pct"/>
                  <w:vMerge w:val="restart"/>
                  <w:vAlign w:val="center"/>
                </w:tcPr>
                <w:p w14:paraId="3B5502DE">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ZS4（5F）</w:t>
                  </w:r>
                </w:p>
              </w:tc>
              <w:tc>
                <w:tcPr>
                  <w:tcW w:w="605" w:type="pct"/>
                  <w:vAlign w:val="center"/>
                </w:tcPr>
                <w:p w14:paraId="2440BF38">
                  <w:pPr>
                    <w:pStyle w:val="23"/>
                    <w:bidi w:val="0"/>
                    <w:rPr>
                      <w:rFonts w:hint="default" w:eastAsia="宋体"/>
                      <w:color w:val="auto"/>
                      <w:lang w:val="en-US" w:eastAsia="zh-CN"/>
                    </w:rPr>
                  </w:pPr>
                  <w:r>
                    <w:rPr>
                      <w:rFonts w:hint="eastAsia"/>
                      <w:color w:val="auto"/>
                      <w:lang w:val="en-US" w:eastAsia="zh-CN"/>
                    </w:rPr>
                    <w:t>54</w:t>
                  </w:r>
                </w:p>
              </w:tc>
              <w:tc>
                <w:tcPr>
                  <w:tcW w:w="562" w:type="pct"/>
                  <w:vAlign w:val="center"/>
                </w:tcPr>
                <w:p w14:paraId="57468CF6">
                  <w:pPr>
                    <w:pStyle w:val="23"/>
                    <w:bidi w:val="0"/>
                    <w:rPr>
                      <w:rFonts w:hint="default" w:eastAsia="宋体"/>
                      <w:color w:val="auto"/>
                      <w:lang w:val="en-US" w:eastAsia="zh-CN"/>
                    </w:rPr>
                  </w:pPr>
                  <w:r>
                    <w:rPr>
                      <w:rFonts w:hint="eastAsia"/>
                      <w:color w:val="auto"/>
                      <w:lang w:val="en-US" w:eastAsia="zh-CN"/>
                    </w:rPr>
                    <w:t>39</w:t>
                  </w:r>
                </w:p>
              </w:tc>
              <w:tc>
                <w:tcPr>
                  <w:tcW w:w="505" w:type="pct"/>
                  <w:vAlign w:val="center"/>
                </w:tcPr>
                <w:p w14:paraId="6C77F0C9">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60</w:t>
                  </w:r>
                </w:p>
              </w:tc>
              <w:tc>
                <w:tcPr>
                  <w:tcW w:w="534" w:type="pct"/>
                  <w:vAlign w:val="center"/>
                </w:tcPr>
                <w:p w14:paraId="75691CEA">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50</w:t>
                  </w:r>
                </w:p>
              </w:tc>
              <w:tc>
                <w:tcPr>
                  <w:tcW w:w="476" w:type="pct"/>
                  <w:vAlign w:val="center"/>
                </w:tcPr>
                <w:p w14:paraId="1F15E710">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56" w:type="pct"/>
                  <w:vAlign w:val="center"/>
                </w:tcPr>
                <w:p w14:paraId="5B89BFAC">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45" w:type="pct"/>
                  <w:vAlign w:val="center"/>
                </w:tcPr>
                <w:p w14:paraId="15F9F02A">
                  <w:pPr>
                    <w:pStyle w:val="23"/>
                    <w:bidi w:val="0"/>
                    <w:rPr>
                      <w:rFonts w:hint="eastAsia"/>
                      <w:color w:val="auto"/>
                      <w:lang w:val="en-US" w:eastAsia="zh-CN"/>
                    </w:rPr>
                  </w:pPr>
                  <w:r>
                    <w:rPr>
                      <w:rFonts w:hint="eastAsia"/>
                      <w:color w:val="auto"/>
                      <w:lang w:val="en-US" w:eastAsia="zh-CN"/>
                    </w:rPr>
                    <w:t>2</w:t>
                  </w:r>
                  <w:r>
                    <w:rPr>
                      <w:rFonts w:hint="eastAsia"/>
                      <w:color w:val="auto"/>
                    </w:rPr>
                    <w:t>类</w:t>
                  </w:r>
                </w:p>
              </w:tc>
            </w:tr>
            <w:tr w14:paraId="70269B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vAlign w:val="center"/>
                </w:tcPr>
                <w:p w14:paraId="05E45973">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2024.06.20</w:t>
                  </w:r>
                </w:p>
              </w:tc>
              <w:tc>
                <w:tcPr>
                  <w:tcW w:w="671" w:type="pct"/>
                  <w:vMerge w:val="continue"/>
                  <w:vAlign w:val="center"/>
                </w:tcPr>
                <w:p w14:paraId="7F649ED7">
                  <w:pPr>
                    <w:pStyle w:val="23"/>
                    <w:bidi w:val="0"/>
                    <w:rPr>
                      <w:rFonts w:hint="eastAsia" w:ascii="Times New Roman" w:hAnsi="Times New Roman" w:eastAsia="宋体" w:cstheme="minorBidi"/>
                      <w:color w:val="auto"/>
                      <w:kern w:val="2"/>
                      <w:sz w:val="21"/>
                      <w:szCs w:val="21"/>
                      <w:lang w:val="en-US" w:eastAsia="zh-CN" w:bidi="ar-SA"/>
                      <w14:ligatures w14:val="standardContextual"/>
                    </w:rPr>
                  </w:pPr>
                </w:p>
              </w:tc>
              <w:tc>
                <w:tcPr>
                  <w:tcW w:w="605" w:type="pct"/>
                  <w:vAlign w:val="center"/>
                </w:tcPr>
                <w:p w14:paraId="1F0587BA">
                  <w:pPr>
                    <w:pStyle w:val="23"/>
                    <w:bidi w:val="0"/>
                    <w:rPr>
                      <w:rFonts w:hint="default" w:eastAsia="宋体"/>
                      <w:color w:val="auto"/>
                      <w:lang w:val="en-US" w:eastAsia="zh-CN"/>
                    </w:rPr>
                  </w:pPr>
                  <w:r>
                    <w:rPr>
                      <w:rFonts w:hint="eastAsia"/>
                      <w:color w:val="auto"/>
                      <w:lang w:val="en-US" w:eastAsia="zh-CN"/>
                    </w:rPr>
                    <w:t>51</w:t>
                  </w:r>
                </w:p>
              </w:tc>
              <w:tc>
                <w:tcPr>
                  <w:tcW w:w="562" w:type="pct"/>
                  <w:vAlign w:val="center"/>
                </w:tcPr>
                <w:p w14:paraId="68FAD342">
                  <w:pPr>
                    <w:pStyle w:val="23"/>
                    <w:bidi w:val="0"/>
                    <w:rPr>
                      <w:rFonts w:hint="default" w:eastAsia="宋体"/>
                      <w:color w:val="auto"/>
                      <w:lang w:val="en-US" w:eastAsia="zh-CN"/>
                    </w:rPr>
                  </w:pPr>
                  <w:r>
                    <w:rPr>
                      <w:rFonts w:hint="eastAsia"/>
                      <w:color w:val="auto"/>
                      <w:lang w:val="en-US" w:eastAsia="zh-CN"/>
                    </w:rPr>
                    <w:t>43</w:t>
                  </w:r>
                </w:p>
              </w:tc>
              <w:tc>
                <w:tcPr>
                  <w:tcW w:w="505" w:type="pct"/>
                  <w:vAlign w:val="center"/>
                </w:tcPr>
                <w:p w14:paraId="3F0DAE54">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60</w:t>
                  </w:r>
                </w:p>
              </w:tc>
              <w:tc>
                <w:tcPr>
                  <w:tcW w:w="534" w:type="pct"/>
                  <w:vAlign w:val="center"/>
                </w:tcPr>
                <w:p w14:paraId="5C4651C3">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50</w:t>
                  </w:r>
                </w:p>
              </w:tc>
              <w:tc>
                <w:tcPr>
                  <w:tcW w:w="476" w:type="pct"/>
                  <w:vAlign w:val="center"/>
                </w:tcPr>
                <w:p w14:paraId="2D353FF0">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56" w:type="pct"/>
                  <w:vAlign w:val="center"/>
                </w:tcPr>
                <w:p w14:paraId="0CF3F98D">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45" w:type="pct"/>
                  <w:vAlign w:val="center"/>
                </w:tcPr>
                <w:p w14:paraId="4CC6ABCE">
                  <w:pPr>
                    <w:pStyle w:val="23"/>
                    <w:bidi w:val="0"/>
                    <w:rPr>
                      <w:rFonts w:hint="eastAsia"/>
                      <w:color w:val="auto"/>
                      <w:lang w:val="en-US" w:eastAsia="zh-CN"/>
                    </w:rPr>
                  </w:pPr>
                  <w:r>
                    <w:rPr>
                      <w:rFonts w:hint="eastAsia"/>
                      <w:color w:val="auto"/>
                      <w:lang w:val="en-US" w:eastAsia="zh-CN"/>
                    </w:rPr>
                    <w:t>2</w:t>
                  </w:r>
                  <w:r>
                    <w:rPr>
                      <w:rFonts w:hint="eastAsia"/>
                      <w:color w:val="auto"/>
                    </w:rPr>
                    <w:t>类</w:t>
                  </w:r>
                </w:p>
              </w:tc>
            </w:tr>
            <w:tr w14:paraId="51920E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vAlign w:val="center"/>
                </w:tcPr>
                <w:p w14:paraId="46F7D025">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2024.06.19</w:t>
                  </w:r>
                </w:p>
              </w:tc>
              <w:tc>
                <w:tcPr>
                  <w:tcW w:w="671" w:type="pct"/>
                  <w:vMerge w:val="restart"/>
                  <w:vAlign w:val="center"/>
                </w:tcPr>
                <w:p w14:paraId="6A21A243">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ascii="Times New Roman" w:hAnsi="Times New Roman" w:eastAsia="宋体" w:cstheme="minorBidi"/>
                      <w:color w:val="auto"/>
                      <w:kern w:val="2"/>
                      <w:sz w:val="21"/>
                      <w:szCs w:val="21"/>
                      <w:lang w:val="en-US" w:eastAsia="zh-CN" w:bidi="ar-SA"/>
                      <w14:ligatures w14:val="standardContextual"/>
                    </w:rPr>
                    <w:t>ZS</w:t>
                  </w:r>
                  <w:r>
                    <w:rPr>
                      <w:rFonts w:hint="eastAsia" w:cstheme="minorBidi"/>
                      <w:color w:val="auto"/>
                      <w:kern w:val="2"/>
                      <w:sz w:val="21"/>
                      <w:szCs w:val="21"/>
                      <w:lang w:val="en-US" w:eastAsia="zh-CN" w:bidi="ar-SA"/>
                      <w14:ligatures w14:val="standardContextual"/>
                    </w:rPr>
                    <w:t>5</w:t>
                  </w:r>
                  <w:r>
                    <w:rPr>
                      <w:rFonts w:hint="eastAsia" w:ascii="Times New Roman" w:hAnsi="Times New Roman" w:eastAsia="宋体" w:cstheme="minorBidi"/>
                      <w:color w:val="auto"/>
                      <w:kern w:val="2"/>
                      <w:sz w:val="21"/>
                      <w:szCs w:val="21"/>
                      <w:lang w:val="en-US" w:eastAsia="zh-CN" w:bidi="ar-SA"/>
                      <w14:ligatures w14:val="standardContextual"/>
                    </w:rPr>
                    <w:t>（</w:t>
                  </w:r>
                  <w:r>
                    <w:rPr>
                      <w:rFonts w:hint="eastAsia" w:cstheme="minorBidi"/>
                      <w:color w:val="auto"/>
                      <w:kern w:val="2"/>
                      <w:sz w:val="21"/>
                      <w:szCs w:val="21"/>
                      <w:lang w:val="en-US" w:eastAsia="zh-CN" w:bidi="ar-SA"/>
                      <w14:ligatures w14:val="standardContextual"/>
                    </w:rPr>
                    <w:t>12</w:t>
                  </w:r>
                  <w:r>
                    <w:rPr>
                      <w:rFonts w:hint="eastAsia" w:ascii="Times New Roman" w:hAnsi="Times New Roman" w:eastAsia="宋体" w:cstheme="minorBidi"/>
                      <w:color w:val="auto"/>
                      <w:kern w:val="2"/>
                      <w:sz w:val="21"/>
                      <w:szCs w:val="21"/>
                      <w:lang w:val="en-US" w:eastAsia="zh-CN" w:bidi="ar-SA"/>
                      <w14:ligatures w14:val="standardContextual"/>
                    </w:rPr>
                    <w:t>F）</w:t>
                  </w:r>
                </w:p>
              </w:tc>
              <w:tc>
                <w:tcPr>
                  <w:tcW w:w="605" w:type="pct"/>
                  <w:vAlign w:val="center"/>
                </w:tcPr>
                <w:p w14:paraId="6E795C6A">
                  <w:pPr>
                    <w:pStyle w:val="23"/>
                    <w:bidi w:val="0"/>
                    <w:rPr>
                      <w:rFonts w:hint="default" w:eastAsia="宋体"/>
                      <w:color w:val="auto"/>
                      <w:lang w:val="en-US" w:eastAsia="zh-CN"/>
                    </w:rPr>
                  </w:pPr>
                  <w:r>
                    <w:rPr>
                      <w:rFonts w:hint="eastAsia"/>
                      <w:color w:val="auto"/>
                      <w:lang w:val="en-US" w:eastAsia="zh-CN"/>
                    </w:rPr>
                    <w:t>55</w:t>
                  </w:r>
                </w:p>
              </w:tc>
              <w:tc>
                <w:tcPr>
                  <w:tcW w:w="562" w:type="pct"/>
                  <w:vAlign w:val="center"/>
                </w:tcPr>
                <w:p w14:paraId="5BAED529">
                  <w:pPr>
                    <w:pStyle w:val="23"/>
                    <w:bidi w:val="0"/>
                    <w:rPr>
                      <w:rFonts w:hint="default" w:eastAsia="宋体"/>
                      <w:color w:val="auto"/>
                      <w:lang w:val="en-US" w:eastAsia="zh-CN"/>
                    </w:rPr>
                  </w:pPr>
                  <w:r>
                    <w:rPr>
                      <w:rFonts w:hint="eastAsia"/>
                      <w:color w:val="auto"/>
                      <w:lang w:val="en-US" w:eastAsia="zh-CN"/>
                    </w:rPr>
                    <w:t>44</w:t>
                  </w:r>
                </w:p>
              </w:tc>
              <w:tc>
                <w:tcPr>
                  <w:tcW w:w="505" w:type="pct"/>
                  <w:vAlign w:val="center"/>
                </w:tcPr>
                <w:p w14:paraId="57BB0818">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60</w:t>
                  </w:r>
                </w:p>
              </w:tc>
              <w:tc>
                <w:tcPr>
                  <w:tcW w:w="534" w:type="pct"/>
                  <w:vAlign w:val="center"/>
                </w:tcPr>
                <w:p w14:paraId="2A8CD136">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50</w:t>
                  </w:r>
                </w:p>
              </w:tc>
              <w:tc>
                <w:tcPr>
                  <w:tcW w:w="476" w:type="pct"/>
                  <w:vAlign w:val="center"/>
                </w:tcPr>
                <w:p w14:paraId="39BB078F">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56" w:type="pct"/>
                  <w:vAlign w:val="center"/>
                </w:tcPr>
                <w:p w14:paraId="0BB4DE36">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45" w:type="pct"/>
                  <w:vAlign w:val="center"/>
                </w:tcPr>
                <w:p w14:paraId="1882CE36">
                  <w:pPr>
                    <w:pStyle w:val="23"/>
                    <w:bidi w:val="0"/>
                    <w:rPr>
                      <w:rFonts w:hint="eastAsia"/>
                      <w:color w:val="auto"/>
                      <w:lang w:val="en-US" w:eastAsia="zh-CN"/>
                    </w:rPr>
                  </w:pPr>
                  <w:r>
                    <w:rPr>
                      <w:rFonts w:hint="eastAsia"/>
                      <w:color w:val="auto"/>
                      <w:lang w:val="en-US" w:eastAsia="zh-CN"/>
                    </w:rPr>
                    <w:t>2</w:t>
                  </w:r>
                  <w:r>
                    <w:rPr>
                      <w:rFonts w:hint="eastAsia"/>
                      <w:color w:val="auto"/>
                    </w:rPr>
                    <w:t>类</w:t>
                  </w:r>
                </w:p>
              </w:tc>
            </w:tr>
            <w:tr w14:paraId="46CD50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vAlign w:val="center"/>
                </w:tcPr>
                <w:p w14:paraId="203F3C8A">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2024.06.20</w:t>
                  </w:r>
                </w:p>
              </w:tc>
              <w:tc>
                <w:tcPr>
                  <w:tcW w:w="671" w:type="pct"/>
                  <w:vMerge w:val="continue"/>
                  <w:vAlign w:val="center"/>
                </w:tcPr>
                <w:p w14:paraId="7AE3B8AA">
                  <w:pPr>
                    <w:pStyle w:val="23"/>
                    <w:bidi w:val="0"/>
                    <w:rPr>
                      <w:rFonts w:hint="eastAsia" w:ascii="Times New Roman" w:hAnsi="Times New Roman" w:eastAsia="宋体" w:cstheme="minorBidi"/>
                      <w:color w:val="auto"/>
                      <w:kern w:val="2"/>
                      <w:sz w:val="21"/>
                      <w:szCs w:val="21"/>
                      <w:lang w:val="en-US" w:eastAsia="zh-CN" w:bidi="ar-SA"/>
                      <w14:ligatures w14:val="standardContextual"/>
                    </w:rPr>
                  </w:pPr>
                </w:p>
              </w:tc>
              <w:tc>
                <w:tcPr>
                  <w:tcW w:w="605" w:type="pct"/>
                  <w:vAlign w:val="center"/>
                </w:tcPr>
                <w:p w14:paraId="2672307D">
                  <w:pPr>
                    <w:pStyle w:val="23"/>
                    <w:bidi w:val="0"/>
                    <w:rPr>
                      <w:rFonts w:hint="default" w:eastAsia="宋体"/>
                      <w:color w:val="auto"/>
                      <w:lang w:val="en-US" w:eastAsia="zh-CN"/>
                    </w:rPr>
                  </w:pPr>
                  <w:r>
                    <w:rPr>
                      <w:rFonts w:hint="eastAsia"/>
                      <w:color w:val="auto"/>
                      <w:lang w:val="en-US" w:eastAsia="zh-CN"/>
                    </w:rPr>
                    <w:t>53</w:t>
                  </w:r>
                </w:p>
              </w:tc>
              <w:tc>
                <w:tcPr>
                  <w:tcW w:w="562" w:type="pct"/>
                  <w:vAlign w:val="center"/>
                </w:tcPr>
                <w:p w14:paraId="0EA09080">
                  <w:pPr>
                    <w:pStyle w:val="23"/>
                    <w:bidi w:val="0"/>
                    <w:rPr>
                      <w:rFonts w:hint="default" w:eastAsia="宋体"/>
                      <w:color w:val="auto"/>
                      <w:lang w:val="en-US" w:eastAsia="zh-CN"/>
                    </w:rPr>
                  </w:pPr>
                  <w:r>
                    <w:rPr>
                      <w:rFonts w:hint="eastAsia"/>
                      <w:color w:val="auto"/>
                      <w:lang w:val="en-US" w:eastAsia="zh-CN"/>
                    </w:rPr>
                    <w:t>43</w:t>
                  </w:r>
                </w:p>
              </w:tc>
              <w:tc>
                <w:tcPr>
                  <w:tcW w:w="505" w:type="pct"/>
                  <w:vAlign w:val="center"/>
                </w:tcPr>
                <w:p w14:paraId="4F29C0A7">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60</w:t>
                  </w:r>
                </w:p>
              </w:tc>
              <w:tc>
                <w:tcPr>
                  <w:tcW w:w="534" w:type="pct"/>
                  <w:vAlign w:val="center"/>
                </w:tcPr>
                <w:p w14:paraId="0DDCD0DB">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50</w:t>
                  </w:r>
                </w:p>
              </w:tc>
              <w:tc>
                <w:tcPr>
                  <w:tcW w:w="476" w:type="pct"/>
                  <w:vAlign w:val="center"/>
                </w:tcPr>
                <w:p w14:paraId="3F416181">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56" w:type="pct"/>
                  <w:vAlign w:val="center"/>
                </w:tcPr>
                <w:p w14:paraId="5DEF3D77">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45" w:type="pct"/>
                  <w:vAlign w:val="center"/>
                </w:tcPr>
                <w:p w14:paraId="2EBAC1AB">
                  <w:pPr>
                    <w:pStyle w:val="23"/>
                    <w:bidi w:val="0"/>
                    <w:rPr>
                      <w:rFonts w:hint="eastAsia"/>
                      <w:color w:val="auto"/>
                      <w:lang w:val="en-US" w:eastAsia="zh-CN"/>
                    </w:rPr>
                  </w:pPr>
                  <w:r>
                    <w:rPr>
                      <w:rFonts w:hint="eastAsia"/>
                      <w:color w:val="auto"/>
                      <w:lang w:val="en-US" w:eastAsia="zh-CN"/>
                    </w:rPr>
                    <w:t>2</w:t>
                  </w:r>
                  <w:r>
                    <w:rPr>
                      <w:rFonts w:hint="eastAsia"/>
                      <w:color w:val="auto"/>
                    </w:rPr>
                    <w:t>类</w:t>
                  </w:r>
                </w:p>
              </w:tc>
            </w:tr>
            <w:tr w14:paraId="27E9AD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tcBorders>
                    <w:bottom w:val="single" w:color="000000" w:sz="8" w:space="0"/>
                  </w:tcBorders>
                  <w:vAlign w:val="center"/>
                </w:tcPr>
                <w:p w14:paraId="47CEFC92">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2024.06.19</w:t>
                  </w:r>
                </w:p>
              </w:tc>
              <w:tc>
                <w:tcPr>
                  <w:tcW w:w="671" w:type="pct"/>
                  <w:vMerge w:val="restart"/>
                  <w:vAlign w:val="center"/>
                </w:tcPr>
                <w:p w14:paraId="749805EA">
                  <w:pPr>
                    <w:pStyle w:val="23"/>
                    <w:bidi w:val="0"/>
                    <w:rPr>
                      <w:rFonts w:hint="eastAsia"/>
                      <w:color w:val="auto"/>
                    </w:rPr>
                  </w:pPr>
                  <w:r>
                    <w:rPr>
                      <w:rFonts w:hint="eastAsia"/>
                      <w:color w:val="auto"/>
                      <w:lang w:val="en-US" w:eastAsia="zh-CN"/>
                    </w:rPr>
                    <w:t>ZS6（24F）</w:t>
                  </w:r>
                </w:p>
              </w:tc>
              <w:tc>
                <w:tcPr>
                  <w:tcW w:w="605" w:type="pct"/>
                  <w:vAlign w:val="center"/>
                </w:tcPr>
                <w:p w14:paraId="055F8884">
                  <w:pPr>
                    <w:pStyle w:val="23"/>
                    <w:bidi w:val="0"/>
                    <w:rPr>
                      <w:rFonts w:hint="default" w:eastAsia="宋体"/>
                      <w:color w:val="auto"/>
                      <w:lang w:val="en-US" w:eastAsia="zh-CN"/>
                    </w:rPr>
                  </w:pPr>
                  <w:r>
                    <w:rPr>
                      <w:rFonts w:hint="eastAsia"/>
                      <w:color w:val="auto"/>
                      <w:lang w:val="en-US" w:eastAsia="zh-CN"/>
                    </w:rPr>
                    <w:t>54</w:t>
                  </w:r>
                </w:p>
              </w:tc>
              <w:tc>
                <w:tcPr>
                  <w:tcW w:w="562" w:type="pct"/>
                  <w:vAlign w:val="center"/>
                </w:tcPr>
                <w:p w14:paraId="2A76D8D1">
                  <w:pPr>
                    <w:pStyle w:val="23"/>
                    <w:bidi w:val="0"/>
                    <w:rPr>
                      <w:rFonts w:hint="default" w:eastAsia="宋体"/>
                      <w:color w:val="auto"/>
                      <w:lang w:val="en-US" w:eastAsia="zh-CN"/>
                    </w:rPr>
                  </w:pPr>
                  <w:r>
                    <w:rPr>
                      <w:rFonts w:hint="eastAsia"/>
                      <w:color w:val="auto"/>
                      <w:lang w:val="en-US" w:eastAsia="zh-CN"/>
                    </w:rPr>
                    <w:t>45</w:t>
                  </w:r>
                </w:p>
              </w:tc>
              <w:tc>
                <w:tcPr>
                  <w:tcW w:w="505" w:type="pct"/>
                  <w:vAlign w:val="center"/>
                </w:tcPr>
                <w:p w14:paraId="51728B16">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60</w:t>
                  </w:r>
                </w:p>
              </w:tc>
              <w:tc>
                <w:tcPr>
                  <w:tcW w:w="534" w:type="pct"/>
                  <w:vAlign w:val="center"/>
                </w:tcPr>
                <w:p w14:paraId="69150A24">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50</w:t>
                  </w:r>
                </w:p>
              </w:tc>
              <w:tc>
                <w:tcPr>
                  <w:tcW w:w="476" w:type="pct"/>
                  <w:vAlign w:val="center"/>
                </w:tcPr>
                <w:p w14:paraId="58B37A3C">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56" w:type="pct"/>
                  <w:vAlign w:val="center"/>
                </w:tcPr>
                <w:p w14:paraId="10ECA6D6">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45" w:type="pct"/>
                  <w:vAlign w:val="center"/>
                </w:tcPr>
                <w:p w14:paraId="5C9286CB">
                  <w:pPr>
                    <w:pStyle w:val="23"/>
                    <w:bidi w:val="0"/>
                    <w:rPr>
                      <w:rFonts w:hint="eastAsia"/>
                      <w:color w:val="auto"/>
                      <w:lang w:val="en-US" w:eastAsia="zh-CN"/>
                    </w:rPr>
                  </w:pPr>
                  <w:r>
                    <w:rPr>
                      <w:rFonts w:hint="eastAsia"/>
                      <w:color w:val="auto"/>
                      <w:lang w:val="en-US" w:eastAsia="zh-CN"/>
                    </w:rPr>
                    <w:t>2</w:t>
                  </w:r>
                  <w:r>
                    <w:rPr>
                      <w:rFonts w:hint="eastAsia"/>
                      <w:color w:val="auto"/>
                    </w:rPr>
                    <w:t>类</w:t>
                  </w:r>
                </w:p>
              </w:tc>
            </w:tr>
            <w:tr w14:paraId="58210F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3" w:type="pct"/>
                  <w:tcBorders>
                    <w:top w:val="single" w:color="000000" w:sz="8" w:space="0"/>
                  </w:tcBorders>
                  <w:vAlign w:val="center"/>
                </w:tcPr>
                <w:p w14:paraId="5DE7A02B">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2024.06.20</w:t>
                  </w:r>
                </w:p>
              </w:tc>
              <w:tc>
                <w:tcPr>
                  <w:tcW w:w="671" w:type="pct"/>
                  <w:vMerge w:val="continue"/>
                  <w:vAlign w:val="center"/>
                </w:tcPr>
                <w:p w14:paraId="1ABAC600">
                  <w:pPr>
                    <w:pStyle w:val="23"/>
                    <w:bidi w:val="0"/>
                    <w:rPr>
                      <w:rFonts w:hint="eastAsia"/>
                      <w:color w:val="auto"/>
                    </w:rPr>
                  </w:pPr>
                </w:p>
              </w:tc>
              <w:tc>
                <w:tcPr>
                  <w:tcW w:w="605" w:type="pct"/>
                  <w:vAlign w:val="center"/>
                </w:tcPr>
                <w:p w14:paraId="4ABBD3E0">
                  <w:pPr>
                    <w:pStyle w:val="23"/>
                    <w:bidi w:val="0"/>
                    <w:rPr>
                      <w:rFonts w:hint="default" w:eastAsia="宋体"/>
                      <w:color w:val="auto"/>
                      <w:lang w:val="en-US" w:eastAsia="zh-CN"/>
                    </w:rPr>
                  </w:pPr>
                  <w:r>
                    <w:rPr>
                      <w:rFonts w:hint="eastAsia"/>
                      <w:color w:val="auto"/>
                      <w:lang w:val="en-US" w:eastAsia="zh-CN"/>
                    </w:rPr>
                    <w:t>55</w:t>
                  </w:r>
                </w:p>
              </w:tc>
              <w:tc>
                <w:tcPr>
                  <w:tcW w:w="562" w:type="pct"/>
                  <w:vAlign w:val="center"/>
                </w:tcPr>
                <w:p w14:paraId="10872715">
                  <w:pPr>
                    <w:pStyle w:val="23"/>
                    <w:bidi w:val="0"/>
                    <w:rPr>
                      <w:rFonts w:hint="default" w:eastAsia="宋体"/>
                      <w:color w:val="auto"/>
                      <w:lang w:val="en-US" w:eastAsia="zh-CN"/>
                    </w:rPr>
                  </w:pPr>
                  <w:r>
                    <w:rPr>
                      <w:rFonts w:hint="eastAsia"/>
                      <w:color w:val="auto"/>
                      <w:lang w:val="en-US" w:eastAsia="zh-CN"/>
                    </w:rPr>
                    <w:t>46</w:t>
                  </w:r>
                </w:p>
              </w:tc>
              <w:tc>
                <w:tcPr>
                  <w:tcW w:w="505" w:type="pct"/>
                  <w:vAlign w:val="center"/>
                </w:tcPr>
                <w:p w14:paraId="41AD49A5">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60</w:t>
                  </w:r>
                </w:p>
              </w:tc>
              <w:tc>
                <w:tcPr>
                  <w:tcW w:w="534" w:type="pct"/>
                  <w:vAlign w:val="center"/>
                </w:tcPr>
                <w:p w14:paraId="368494B0">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50</w:t>
                  </w:r>
                </w:p>
              </w:tc>
              <w:tc>
                <w:tcPr>
                  <w:tcW w:w="476" w:type="pct"/>
                  <w:vAlign w:val="center"/>
                </w:tcPr>
                <w:p w14:paraId="6EDF8743">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56" w:type="pct"/>
                  <w:vAlign w:val="center"/>
                </w:tcPr>
                <w:p w14:paraId="4700A4B9">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达标</w:t>
                  </w:r>
                </w:p>
              </w:tc>
              <w:tc>
                <w:tcPr>
                  <w:tcW w:w="445" w:type="pct"/>
                  <w:vAlign w:val="center"/>
                </w:tcPr>
                <w:p w14:paraId="75A2C194">
                  <w:pPr>
                    <w:pStyle w:val="23"/>
                    <w:bidi w:val="0"/>
                    <w:rPr>
                      <w:rFonts w:hint="eastAsia"/>
                      <w:color w:val="auto"/>
                      <w:lang w:val="en-US" w:eastAsia="zh-CN"/>
                    </w:rPr>
                  </w:pPr>
                  <w:r>
                    <w:rPr>
                      <w:rFonts w:hint="eastAsia"/>
                      <w:color w:val="auto"/>
                      <w:lang w:val="en-US" w:eastAsia="zh-CN"/>
                    </w:rPr>
                    <w:t>2</w:t>
                  </w:r>
                  <w:r>
                    <w:rPr>
                      <w:rFonts w:hint="eastAsia"/>
                      <w:color w:val="auto"/>
                    </w:rPr>
                    <w:t>类</w:t>
                  </w:r>
                </w:p>
              </w:tc>
            </w:tr>
          </w:tbl>
          <w:p w14:paraId="38CF6291">
            <w:pPr>
              <w:pStyle w:val="21"/>
              <w:bidi w:val="0"/>
              <w:rPr>
                <w:rFonts w:hint="eastAsia"/>
                <w:color w:val="auto"/>
              </w:rPr>
            </w:pPr>
            <w:r>
              <w:rPr>
                <w:rFonts w:hint="eastAsia"/>
                <w:color w:val="auto"/>
              </w:rPr>
              <w:t>由</w:t>
            </w:r>
            <w:r>
              <w:rPr>
                <w:rFonts w:hint="eastAsia"/>
                <w:color w:val="auto"/>
                <w:lang w:val="en-US" w:eastAsia="zh-CN"/>
              </w:rPr>
              <w:t>上表</w:t>
            </w:r>
            <w:r>
              <w:rPr>
                <w:rFonts w:hint="eastAsia"/>
                <w:color w:val="auto"/>
              </w:rPr>
              <w:t>可知，</w:t>
            </w:r>
            <w:r>
              <w:rPr>
                <w:rFonts w:hint="eastAsia"/>
                <w:color w:val="auto"/>
                <w:lang w:val="en-US" w:eastAsia="zh-CN"/>
              </w:rPr>
              <w:t>道路沿线</w:t>
            </w:r>
            <w:r>
              <w:rPr>
                <w:rFonts w:hint="eastAsia"/>
                <w:color w:val="auto"/>
              </w:rPr>
              <w:t>环境保护目标</w:t>
            </w:r>
            <w:r>
              <w:rPr>
                <w:rFonts w:hint="eastAsia"/>
                <w:color w:val="auto"/>
                <w:lang w:val="en-US" w:eastAsia="zh-CN"/>
              </w:rPr>
              <w:t>处</w:t>
            </w:r>
            <w:r>
              <w:rPr>
                <w:rFonts w:hint="eastAsia"/>
                <w:color w:val="auto"/>
              </w:rPr>
              <w:t>均能满足2类</w:t>
            </w:r>
            <w:r>
              <w:rPr>
                <w:rFonts w:hint="eastAsia"/>
                <w:color w:val="auto"/>
                <w:lang w:eastAsia="zh-CN"/>
              </w:rPr>
              <w:t>、</w:t>
            </w:r>
            <w:r>
              <w:rPr>
                <w:rFonts w:hint="eastAsia"/>
                <w:color w:val="auto"/>
                <w:lang w:val="en-US" w:eastAsia="zh-CN"/>
              </w:rPr>
              <w:t>4a类</w:t>
            </w:r>
            <w:r>
              <w:rPr>
                <w:rFonts w:hint="eastAsia"/>
                <w:color w:val="auto"/>
              </w:rPr>
              <w:t>区标准要求</w:t>
            </w:r>
            <w:r>
              <w:rPr>
                <w:rFonts w:hint="eastAsia"/>
                <w:color w:val="auto"/>
                <w:lang w:eastAsia="zh-CN"/>
              </w:rPr>
              <w:t>，声环境质量较好</w:t>
            </w:r>
            <w:r>
              <w:rPr>
                <w:rFonts w:hint="eastAsia"/>
                <w:color w:val="auto"/>
              </w:rPr>
              <w:t>。</w:t>
            </w:r>
          </w:p>
        </w:tc>
      </w:tr>
      <w:tr w14:paraId="4ED988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719" w:type="dxa"/>
            <w:vAlign w:val="center"/>
          </w:tcPr>
          <w:p w14:paraId="2A0371C8">
            <w:pPr>
              <w:rPr>
                <w:rFonts w:hint="eastAsia"/>
                <w:color w:val="auto"/>
              </w:rPr>
            </w:pPr>
            <w:r>
              <w:rPr>
                <w:rFonts w:hint="eastAsia"/>
                <w:color w:val="auto"/>
              </w:rPr>
              <w:t>与项目有关的原有环境污染和生态破坏问题</w:t>
            </w:r>
          </w:p>
        </w:tc>
        <w:tc>
          <w:tcPr>
            <w:tcW w:w="8567" w:type="dxa"/>
            <w:vAlign w:val="top"/>
          </w:tcPr>
          <w:p w14:paraId="58D1AEC9">
            <w:pPr>
              <w:pStyle w:val="3"/>
              <w:bidi w:val="0"/>
              <w:jc w:val="left"/>
              <w:rPr>
                <w:color w:val="auto"/>
              </w:rPr>
            </w:pPr>
            <w:r>
              <w:rPr>
                <w:color w:val="auto"/>
              </w:rPr>
              <w:t>与项目有关的原有环境污染和生态破坏问题</w:t>
            </w:r>
          </w:p>
          <w:p w14:paraId="1253CE79">
            <w:pPr>
              <w:pStyle w:val="21"/>
              <w:bidi w:val="0"/>
              <w:jc w:val="left"/>
              <w:rPr>
                <w:color w:val="auto"/>
              </w:rPr>
            </w:pPr>
            <w:r>
              <w:rPr>
                <w:color w:val="auto"/>
              </w:rPr>
              <w:t>本项目为新建道路项目，无与本项目有关的原有污染情况及环境问题。</w:t>
            </w:r>
          </w:p>
        </w:tc>
      </w:tr>
      <w:tr w14:paraId="0C73E7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9" w:type="dxa"/>
            <w:vAlign w:val="center"/>
          </w:tcPr>
          <w:p w14:paraId="2EBB4253">
            <w:pPr>
              <w:rPr>
                <w:rFonts w:hint="eastAsia"/>
                <w:color w:val="auto"/>
              </w:rPr>
            </w:pPr>
            <w:r>
              <w:rPr>
                <w:rFonts w:hint="eastAsia"/>
                <w:color w:val="auto"/>
              </w:rPr>
              <w:t>生态环境保护目标</w:t>
            </w:r>
          </w:p>
        </w:tc>
        <w:tc>
          <w:tcPr>
            <w:tcW w:w="8567" w:type="dxa"/>
            <w:vAlign w:val="top"/>
          </w:tcPr>
          <w:p w14:paraId="225F144C">
            <w:pPr>
              <w:pStyle w:val="3"/>
              <w:bidi w:val="0"/>
              <w:jc w:val="left"/>
              <w:rPr>
                <w:color w:val="auto"/>
              </w:rPr>
            </w:pPr>
            <w:r>
              <w:rPr>
                <w:color w:val="auto"/>
              </w:rPr>
              <w:t>生态环境保护目标</w:t>
            </w:r>
          </w:p>
          <w:p w14:paraId="574F69E9">
            <w:pPr>
              <w:pStyle w:val="21"/>
              <w:bidi w:val="0"/>
              <w:jc w:val="both"/>
              <w:rPr>
                <w:color w:val="auto"/>
              </w:rPr>
            </w:pPr>
            <w:r>
              <w:rPr>
                <w:color w:val="auto"/>
              </w:rPr>
              <w:t>本</w:t>
            </w:r>
            <w:r>
              <w:rPr>
                <w:rFonts w:hint="eastAsia"/>
                <w:color w:val="auto"/>
                <w:lang w:val="en-US" w:eastAsia="zh-CN"/>
              </w:rPr>
              <w:t>项目</w:t>
            </w:r>
            <w:r>
              <w:rPr>
                <w:color w:val="auto"/>
              </w:rPr>
              <w:t>位于城市建成区，</w:t>
            </w:r>
            <w:r>
              <w:rPr>
                <w:rFonts w:hint="eastAsia"/>
                <w:color w:val="auto"/>
                <w:lang w:val="en-US" w:eastAsia="zh-CN"/>
              </w:rPr>
              <w:t>根据现场调查及收集资料，项目</w:t>
            </w:r>
            <w:r>
              <w:rPr>
                <w:color w:val="auto"/>
              </w:rPr>
              <w:t>评价范围内不涉及自然保护区、风景名胜区、森林公园等特殊生态敏感目标，</w:t>
            </w:r>
            <w:r>
              <w:rPr>
                <w:rFonts w:hint="eastAsia"/>
                <w:color w:val="auto"/>
                <w:lang w:val="en-US" w:eastAsia="zh-CN"/>
              </w:rPr>
              <w:t>也</w:t>
            </w:r>
            <w:r>
              <w:rPr>
                <w:color w:val="auto"/>
              </w:rPr>
              <w:t>未发现</w:t>
            </w:r>
            <w:r>
              <w:rPr>
                <w:rFonts w:hint="eastAsia"/>
                <w:color w:val="auto"/>
                <w:lang w:val="en-US" w:eastAsia="zh-CN"/>
              </w:rPr>
              <w:t>珍稀濒危及国家、地方重点保护野生植物、野生动物和古树名木分布，</w:t>
            </w:r>
            <w:r>
              <w:rPr>
                <w:color w:val="auto"/>
              </w:rPr>
              <w:t>不属于特殊生态敏感区和重要生态敏感区，项目不涉及生态红线。</w:t>
            </w:r>
            <w:r>
              <w:rPr>
                <w:rFonts w:hint="eastAsia"/>
                <w:color w:val="auto"/>
                <w:lang w:val="en-US" w:eastAsia="zh-CN"/>
              </w:rPr>
              <w:t>甘溪沟无水域功能，经约630m向南汇入朱衣河，朱衣河全河段属于Ⅲ类水域，不涉及饮用水水源保护区，也无重要水生生物的自然产卵场及索饵场、越冬场和洄游通道等。项目评价范围内无地下水集中式饮用水水源和热水、矿泉水、温泉等特殊地下水资源。声环境及大气环境施工期评价范围为施工场界外扩200m范围，运营期评价范围为道路中心线外两侧各200m范围，评价范围内主要为现状居住小区、规划居住用地、行政办公用地及文化设施用地等。项目</w:t>
            </w:r>
            <w:r>
              <w:rPr>
                <w:rFonts w:hint="eastAsia"/>
                <w:color w:val="auto"/>
              </w:rPr>
              <w:t>声及大气环境保护目标</w:t>
            </w:r>
            <w:r>
              <w:rPr>
                <w:color w:val="auto"/>
              </w:rPr>
              <w:t>统计见</w:t>
            </w:r>
            <w:r>
              <w:rPr>
                <w:rFonts w:hint="eastAsia"/>
                <w:color w:val="auto"/>
                <w:lang w:val="en-US" w:eastAsia="zh-CN"/>
              </w:rPr>
              <w:t>下表</w:t>
            </w:r>
            <w:r>
              <w:rPr>
                <w:color w:val="auto"/>
              </w:rPr>
              <w:t>。</w:t>
            </w:r>
          </w:p>
          <w:p w14:paraId="727757CC">
            <w:pPr>
              <w:pStyle w:val="21"/>
              <w:bidi w:val="0"/>
              <w:jc w:val="left"/>
              <w:rPr>
                <w:color w:val="auto"/>
              </w:rPr>
            </w:pPr>
          </w:p>
          <w:p w14:paraId="0411FC6E">
            <w:pPr>
              <w:pStyle w:val="21"/>
              <w:bidi w:val="0"/>
              <w:jc w:val="left"/>
              <w:rPr>
                <w:color w:val="auto"/>
              </w:rPr>
            </w:pPr>
          </w:p>
        </w:tc>
      </w:tr>
    </w:tbl>
    <w:p w14:paraId="394FFDE3">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6"/>
      </w:tblGrid>
      <w:tr w14:paraId="3876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vAlign w:val="center"/>
          </w:tcPr>
          <w:p w14:paraId="7623738A">
            <w:pPr>
              <w:pStyle w:val="6"/>
              <w:bidi w:val="0"/>
              <w:rPr>
                <w:rFonts w:hint="eastAsia"/>
                <w:color w:val="auto"/>
              </w:rPr>
            </w:pPr>
            <w:r>
              <w:rPr>
                <w:rFonts w:hint="eastAsia"/>
                <w:color w:val="auto"/>
                <w:lang w:val="en-US" w:eastAsia="zh-CN"/>
              </w:rPr>
              <w:t>本项目施工期声及大气环境保护目标统计一览表</w:t>
            </w:r>
          </w:p>
          <w:tbl>
            <w:tblPr>
              <w:tblStyle w:val="16"/>
              <w:tblpPr w:leftFromText="180" w:rightFromText="180" w:vertAnchor="text" w:tblpXSpec="center" w:tblpY="1"/>
              <w:tblOverlap w:val="never"/>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78"/>
              <w:gridCol w:w="1986"/>
              <w:gridCol w:w="3073"/>
              <w:gridCol w:w="2196"/>
              <w:gridCol w:w="2927"/>
              <w:gridCol w:w="2467"/>
            </w:tblGrid>
            <w:tr w14:paraId="72471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blHeader/>
              </w:trPr>
              <w:tc>
                <w:tcPr>
                  <w:tcW w:w="146" w:type="pct"/>
                  <w:vMerge w:val="restart"/>
                  <w:tcBorders>
                    <w:tl2br w:val="nil"/>
                    <w:tr2bl w:val="nil"/>
                  </w:tcBorders>
                  <w:vAlign w:val="center"/>
                </w:tcPr>
                <w:p w14:paraId="2C26CAA8">
                  <w:pPr>
                    <w:pStyle w:val="23"/>
                    <w:bidi w:val="0"/>
                    <w:rPr>
                      <w:rFonts w:hint="default"/>
                      <w:color w:val="auto"/>
                      <w:lang w:val="en-US" w:eastAsia="zh-CN"/>
                    </w:rPr>
                  </w:pPr>
                  <w:r>
                    <w:rPr>
                      <w:rFonts w:hint="eastAsia"/>
                      <w:color w:val="auto"/>
                      <w:lang w:val="en-US" w:eastAsia="zh-CN"/>
                    </w:rPr>
                    <w:t>序号</w:t>
                  </w:r>
                </w:p>
              </w:tc>
              <w:tc>
                <w:tcPr>
                  <w:tcW w:w="2245" w:type="pct"/>
                  <w:gridSpan w:val="3"/>
                  <w:tcBorders>
                    <w:tl2br w:val="nil"/>
                    <w:tr2bl w:val="nil"/>
                  </w:tcBorders>
                  <w:vAlign w:val="center"/>
                </w:tcPr>
                <w:p w14:paraId="63D0D941">
                  <w:pPr>
                    <w:pStyle w:val="23"/>
                    <w:bidi w:val="0"/>
                    <w:rPr>
                      <w:color w:val="auto"/>
                    </w:rPr>
                  </w:pPr>
                  <w:r>
                    <w:rPr>
                      <w:rFonts w:hint="eastAsia"/>
                      <w:color w:val="auto"/>
                      <w:lang w:val="en-US" w:eastAsia="zh-CN"/>
                    </w:rPr>
                    <w:t>施工场界外扩200m范围</w:t>
                  </w:r>
                  <w:r>
                    <w:rPr>
                      <w:rFonts w:hint="eastAsia"/>
                      <w:color w:val="auto"/>
                    </w:rPr>
                    <w:t>内环境保护目标</w:t>
                  </w:r>
                </w:p>
              </w:tc>
              <w:tc>
                <w:tcPr>
                  <w:tcW w:w="754" w:type="pct"/>
                  <w:vMerge w:val="restart"/>
                  <w:tcBorders>
                    <w:tl2br w:val="nil"/>
                    <w:tr2bl w:val="nil"/>
                  </w:tcBorders>
                  <w:vAlign w:val="center"/>
                </w:tcPr>
                <w:p w14:paraId="1D9B008A">
                  <w:pPr>
                    <w:pStyle w:val="23"/>
                    <w:bidi w:val="0"/>
                    <w:rPr>
                      <w:rFonts w:hint="default"/>
                      <w:color w:val="auto"/>
                      <w:lang w:val="en-US" w:eastAsia="zh-CN"/>
                    </w:rPr>
                  </w:pPr>
                  <w:r>
                    <w:rPr>
                      <w:rFonts w:hint="eastAsia"/>
                      <w:color w:val="auto"/>
                      <w:lang w:val="en-US" w:eastAsia="zh-CN"/>
                    </w:rPr>
                    <w:t>影响因素</w:t>
                  </w:r>
                </w:p>
              </w:tc>
              <w:tc>
                <w:tcPr>
                  <w:tcW w:w="1005" w:type="pct"/>
                  <w:vMerge w:val="restart"/>
                  <w:tcBorders>
                    <w:tl2br w:val="nil"/>
                    <w:tr2bl w:val="nil"/>
                  </w:tcBorders>
                  <w:vAlign w:val="center"/>
                </w:tcPr>
                <w:p w14:paraId="4F2C215A">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卫星影像图</w:t>
                  </w:r>
                </w:p>
              </w:tc>
              <w:tc>
                <w:tcPr>
                  <w:tcW w:w="847" w:type="pct"/>
                  <w:vMerge w:val="restart"/>
                  <w:tcBorders>
                    <w:tl2br w:val="nil"/>
                    <w:tr2bl w:val="nil"/>
                  </w:tcBorders>
                  <w:vAlign w:val="center"/>
                </w:tcPr>
                <w:p w14:paraId="4C7224DC">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rPr>
                    <w:t>实景照片或规划图</w:t>
                  </w:r>
                </w:p>
              </w:tc>
            </w:tr>
            <w:tr w14:paraId="42DAB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blHeader/>
              </w:trPr>
              <w:tc>
                <w:tcPr>
                  <w:tcW w:w="146" w:type="pct"/>
                  <w:vMerge w:val="continue"/>
                  <w:tcBorders>
                    <w:tl2br w:val="nil"/>
                    <w:tr2bl w:val="nil"/>
                  </w:tcBorders>
                  <w:vAlign w:val="center"/>
                </w:tcPr>
                <w:p w14:paraId="3B258536">
                  <w:pPr>
                    <w:pStyle w:val="23"/>
                    <w:bidi w:val="0"/>
                    <w:rPr>
                      <w:color w:val="auto"/>
                    </w:rPr>
                  </w:pPr>
                </w:p>
              </w:tc>
              <w:tc>
                <w:tcPr>
                  <w:tcW w:w="508" w:type="pct"/>
                  <w:tcBorders>
                    <w:tl2br w:val="nil"/>
                    <w:tr2bl w:val="nil"/>
                  </w:tcBorders>
                  <w:vAlign w:val="center"/>
                </w:tcPr>
                <w:p w14:paraId="1179E66C">
                  <w:pPr>
                    <w:pStyle w:val="23"/>
                    <w:bidi w:val="0"/>
                    <w:rPr>
                      <w:color w:val="auto"/>
                    </w:rPr>
                  </w:pPr>
                  <w:r>
                    <w:rPr>
                      <w:color w:val="auto"/>
                    </w:rPr>
                    <w:t>声环境保护目标名称</w:t>
                  </w:r>
                </w:p>
              </w:tc>
              <w:tc>
                <w:tcPr>
                  <w:tcW w:w="682" w:type="pct"/>
                  <w:tcBorders>
                    <w:tl2br w:val="nil"/>
                    <w:tr2bl w:val="nil"/>
                  </w:tcBorders>
                  <w:vAlign w:val="center"/>
                </w:tcPr>
                <w:p w14:paraId="33151189">
                  <w:pPr>
                    <w:pStyle w:val="23"/>
                    <w:bidi w:val="0"/>
                    <w:rPr>
                      <w:rFonts w:hint="eastAsia" w:eastAsia="宋体"/>
                      <w:color w:val="auto"/>
                      <w:lang w:eastAsia="zh-CN"/>
                    </w:rPr>
                  </w:pPr>
                  <w:r>
                    <w:rPr>
                      <w:color w:val="auto"/>
                    </w:rPr>
                    <w:t>与</w:t>
                  </w:r>
                  <w:r>
                    <w:rPr>
                      <w:rFonts w:hint="eastAsia"/>
                      <w:color w:val="auto"/>
                      <w:lang w:val="en-US" w:eastAsia="zh-CN"/>
                    </w:rPr>
                    <w:t>施工场界</w:t>
                  </w:r>
                  <w:r>
                    <w:rPr>
                      <w:color w:val="auto"/>
                    </w:rPr>
                    <w:t>最近距离</w:t>
                  </w:r>
                  <w:r>
                    <w:rPr>
                      <w:rFonts w:hint="eastAsia"/>
                      <w:color w:val="auto"/>
                      <w:lang w:eastAsia="zh-CN"/>
                    </w:rPr>
                    <w:t>（</w:t>
                  </w:r>
                  <w:r>
                    <w:rPr>
                      <w:rFonts w:hint="eastAsia"/>
                      <w:color w:val="auto"/>
                      <w:lang w:val="en-US" w:eastAsia="zh-CN"/>
                    </w:rPr>
                    <w:t>m</w:t>
                  </w:r>
                  <w:r>
                    <w:rPr>
                      <w:rFonts w:hint="eastAsia"/>
                      <w:color w:val="auto"/>
                      <w:lang w:eastAsia="zh-CN"/>
                    </w:rPr>
                    <w:t>）</w:t>
                  </w:r>
                </w:p>
              </w:tc>
              <w:tc>
                <w:tcPr>
                  <w:tcW w:w="1054" w:type="pct"/>
                  <w:tcBorders>
                    <w:tl2br w:val="nil"/>
                    <w:tr2bl w:val="nil"/>
                  </w:tcBorders>
                  <w:vAlign w:val="center"/>
                </w:tcPr>
                <w:p w14:paraId="1CC944C8">
                  <w:pPr>
                    <w:pStyle w:val="23"/>
                    <w:bidi w:val="0"/>
                    <w:rPr>
                      <w:color w:val="auto"/>
                    </w:rPr>
                  </w:pPr>
                  <w:r>
                    <w:rPr>
                      <w:rFonts w:hint="eastAsia"/>
                      <w:color w:val="auto"/>
                    </w:rPr>
                    <w:t>环境保护目标情况说明</w:t>
                  </w:r>
                </w:p>
              </w:tc>
              <w:tc>
                <w:tcPr>
                  <w:tcW w:w="754" w:type="pct"/>
                  <w:vMerge w:val="continue"/>
                  <w:tcBorders>
                    <w:tl2br w:val="nil"/>
                    <w:tr2bl w:val="nil"/>
                  </w:tcBorders>
                  <w:vAlign w:val="center"/>
                </w:tcPr>
                <w:p w14:paraId="4E317167">
                  <w:pPr>
                    <w:pStyle w:val="23"/>
                    <w:bidi w:val="0"/>
                    <w:rPr>
                      <w:rFonts w:hint="eastAsia"/>
                      <w:color w:val="auto"/>
                    </w:rPr>
                  </w:pPr>
                </w:p>
              </w:tc>
              <w:tc>
                <w:tcPr>
                  <w:tcW w:w="1005" w:type="pct"/>
                  <w:vMerge w:val="continue"/>
                  <w:tcBorders>
                    <w:tl2br w:val="nil"/>
                    <w:tr2bl w:val="nil"/>
                  </w:tcBorders>
                  <w:vAlign w:val="center"/>
                </w:tcPr>
                <w:p w14:paraId="2F1E20DA">
                  <w:pPr>
                    <w:pStyle w:val="23"/>
                    <w:bidi w:val="0"/>
                    <w:rPr>
                      <w:rFonts w:hint="eastAsia"/>
                      <w:color w:val="auto"/>
                    </w:rPr>
                  </w:pPr>
                </w:p>
              </w:tc>
              <w:tc>
                <w:tcPr>
                  <w:tcW w:w="847" w:type="pct"/>
                  <w:vMerge w:val="continue"/>
                  <w:tcBorders>
                    <w:tl2br w:val="nil"/>
                    <w:tr2bl w:val="nil"/>
                  </w:tcBorders>
                  <w:vAlign w:val="center"/>
                </w:tcPr>
                <w:p w14:paraId="014EAF79">
                  <w:pPr>
                    <w:pStyle w:val="23"/>
                    <w:bidi w:val="0"/>
                    <w:rPr>
                      <w:rFonts w:hint="eastAsia"/>
                      <w:color w:val="auto"/>
                    </w:rPr>
                  </w:pPr>
                </w:p>
              </w:tc>
            </w:tr>
            <w:tr w14:paraId="7180A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2" w:hRule="atLeast"/>
                <w:tblHeader/>
              </w:trPr>
              <w:tc>
                <w:tcPr>
                  <w:tcW w:w="146" w:type="pct"/>
                  <w:tcBorders>
                    <w:tl2br w:val="nil"/>
                    <w:tr2bl w:val="nil"/>
                  </w:tcBorders>
                  <w:vAlign w:val="center"/>
                </w:tcPr>
                <w:p w14:paraId="5BFCFEC9">
                  <w:pPr>
                    <w:pStyle w:val="23"/>
                    <w:bidi w:val="0"/>
                    <w:rPr>
                      <w:rFonts w:hint="default"/>
                      <w:color w:val="auto"/>
                      <w:lang w:val="en-US" w:eastAsia="zh-CN"/>
                    </w:rPr>
                  </w:pPr>
                  <w:r>
                    <w:rPr>
                      <w:rFonts w:hint="eastAsia"/>
                      <w:color w:val="auto"/>
                      <w:lang w:val="en-US" w:eastAsia="zh-CN"/>
                    </w:rPr>
                    <w:t>1</w:t>
                  </w:r>
                </w:p>
              </w:tc>
              <w:tc>
                <w:tcPr>
                  <w:tcW w:w="508" w:type="pct"/>
                  <w:tcBorders>
                    <w:tl2br w:val="nil"/>
                    <w:tr2bl w:val="nil"/>
                  </w:tcBorders>
                  <w:vAlign w:val="center"/>
                </w:tcPr>
                <w:p w14:paraId="1DA70B08">
                  <w:pPr>
                    <w:pStyle w:val="23"/>
                    <w:bidi w:val="0"/>
                    <w:rPr>
                      <w:color w:val="auto"/>
                    </w:rPr>
                  </w:pPr>
                  <w:r>
                    <w:rPr>
                      <w:rFonts w:hint="eastAsia"/>
                      <w:color w:val="auto"/>
                      <w:lang w:val="en-US" w:eastAsia="zh-CN"/>
                    </w:rPr>
                    <w:t>1</w:t>
                  </w:r>
                  <w:r>
                    <w:rPr>
                      <w:color w:val="auto"/>
                    </w:rPr>
                    <w:t>#</w:t>
                  </w:r>
                  <w:r>
                    <w:rPr>
                      <w:rFonts w:hint="eastAsia"/>
                      <w:color w:val="auto"/>
                      <w:lang w:val="en-US" w:eastAsia="zh-CN"/>
                    </w:rPr>
                    <w:t>朱衣移民新村（含金色大地幼儿园）</w:t>
                  </w:r>
                </w:p>
              </w:tc>
              <w:tc>
                <w:tcPr>
                  <w:tcW w:w="682" w:type="pct"/>
                  <w:tcBorders>
                    <w:tl2br w:val="nil"/>
                    <w:tr2bl w:val="nil"/>
                  </w:tcBorders>
                  <w:vAlign w:val="center"/>
                </w:tcPr>
                <w:p w14:paraId="39B7BA6C">
                  <w:pPr>
                    <w:pStyle w:val="23"/>
                    <w:bidi w:val="0"/>
                    <w:rPr>
                      <w:rFonts w:hint="default"/>
                      <w:color w:val="auto"/>
                      <w:lang w:val="en-US"/>
                    </w:rPr>
                  </w:pPr>
                  <w:r>
                    <w:rPr>
                      <w:rFonts w:hint="eastAsia"/>
                      <w:color w:val="auto"/>
                      <w:lang w:val="en-US" w:eastAsia="zh-CN"/>
                    </w:rPr>
                    <w:t>31</w:t>
                  </w:r>
                </w:p>
              </w:tc>
              <w:tc>
                <w:tcPr>
                  <w:tcW w:w="1054" w:type="pct"/>
                  <w:tcBorders>
                    <w:tl2br w:val="nil"/>
                    <w:tr2bl w:val="nil"/>
                  </w:tcBorders>
                  <w:vAlign w:val="center"/>
                </w:tcPr>
                <w:p w14:paraId="31095FC5">
                  <w:pPr>
                    <w:pStyle w:val="23"/>
                    <w:bidi w:val="0"/>
                    <w:jc w:val="both"/>
                    <w:rPr>
                      <w:rFonts w:hint="default" w:eastAsia="宋体"/>
                      <w:color w:val="auto"/>
                      <w:lang w:val="en-US" w:eastAsia="zh-CN"/>
                    </w:rPr>
                  </w:pPr>
                  <w:r>
                    <w:rPr>
                      <w:rFonts w:hint="eastAsia"/>
                      <w:color w:val="auto"/>
                      <w:lang w:val="en-US" w:eastAsia="zh-CN"/>
                    </w:rPr>
                    <w:t>19栋，均为7~8F框架结构住宅，约975户，东侧临城市次干路甘溪街、南侧临城市主干路夔州西路，临夔州西路约12m、临甘溪街约11m，临路一侧为4a类声功能区，其余为2类声功能区。金色大地幼儿园师生约520人，为2类声功能区。大气环境为二类区。</w:t>
                  </w:r>
                </w:p>
              </w:tc>
              <w:tc>
                <w:tcPr>
                  <w:tcW w:w="754" w:type="pct"/>
                  <w:tcBorders>
                    <w:tl2br w:val="nil"/>
                    <w:tr2bl w:val="nil"/>
                  </w:tcBorders>
                  <w:vAlign w:val="center"/>
                </w:tcPr>
                <w:p w14:paraId="2BAF4142">
                  <w:pPr>
                    <w:pStyle w:val="23"/>
                    <w:bidi w:val="0"/>
                    <w:jc w:val="both"/>
                    <w:rPr>
                      <w:rFonts w:hint="default"/>
                      <w:color w:val="auto"/>
                      <w:lang w:val="en-US" w:eastAsia="zh-CN"/>
                    </w:rPr>
                  </w:pPr>
                  <w:r>
                    <w:rPr>
                      <w:rFonts w:hint="eastAsia"/>
                      <w:color w:val="auto"/>
                      <w:lang w:val="en-US" w:eastAsia="zh-CN"/>
                    </w:rPr>
                    <w:t>受项目1号桥、2号桥施工及1#施工场地（1号桥K0+052.000东侧）影响</w:t>
                  </w:r>
                </w:p>
              </w:tc>
              <w:tc>
                <w:tcPr>
                  <w:tcW w:w="1005" w:type="pct"/>
                  <w:tcBorders>
                    <w:tl2br w:val="nil"/>
                    <w:tr2bl w:val="nil"/>
                  </w:tcBorders>
                  <w:vAlign w:val="center"/>
                </w:tcPr>
                <w:p w14:paraId="1DEC3586">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513205" cy="805180"/>
                        <wp:effectExtent l="0" t="0" r="10795"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1513205" cy="805180"/>
                                </a:xfrm>
                                <a:prstGeom prst="rect">
                                  <a:avLst/>
                                </a:prstGeom>
                                <a:noFill/>
                                <a:ln>
                                  <a:noFill/>
                                </a:ln>
                              </pic:spPr>
                            </pic:pic>
                          </a:graphicData>
                        </a:graphic>
                      </wp:inline>
                    </w:drawing>
                  </w:r>
                </w:p>
              </w:tc>
              <w:tc>
                <w:tcPr>
                  <w:tcW w:w="847" w:type="pct"/>
                  <w:tcBorders>
                    <w:tl2br w:val="nil"/>
                    <w:tr2bl w:val="nil"/>
                  </w:tcBorders>
                  <w:vAlign w:val="center"/>
                </w:tcPr>
                <w:p w14:paraId="7C8936DB">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20495" cy="876300"/>
                        <wp:effectExtent l="0" t="0" r="8255"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1420495" cy="876300"/>
                                </a:xfrm>
                                <a:prstGeom prst="rect">
                                  <a:avLst/>
                                </a:prstGeom>
                                <a:noFill/>
                                <a:ln>
                                  <a:noFill/>
                                </a:ln>
                              </pic:spPr>
                            </pic:pic>
                          </a:graphicData>
                        </a:graphic>
                      </wp:inline>
                    </w:drawing>
                  </w:r>
                </w:p>
              </w:tc>
            </w:tr>
            <w:tr w14:paraId="6E023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tblHeader/>
              </w:trPr>
              <w:tc>
                <w:tcPr>
                  <w:tcW w:w="146" w:type="pct"/>
                  <w:tcBorders>
                    <w:tl2br w:val="nil"/>
                    <w:tr2bl w:val="nil"/>
                  </w:tcBorders>
                  <w:vAlign w:val="center"/>
                </w:tcPr>
                <w:p w14:paraId="7C717B09">
                  <w:pPr>
                    <w:pStyle w:val="23"/>
                    <w:bidi w:val="0"/>
                    <w:rPr>
                      <w:rFonts w:hint="default"/>
                      <w:color w:val="auto"/>
                      <w:lang w:val="en-US" w:eastAsia="zh-CN"/>
                    </w:rPr>
                  </w:pPr>
                  <w:r>
                    <w:rPr>
                      <w:rFonts w:hint="eastAsia"/>
                      <w:color w:val="auto"/>
                      <w:lang w:val="en-US" w:eastAsia="zh-CN"/>
                    </w:rPr>
                    <w:t>2</w:t>
                  </w:r>
                </w:p>
              </w:tc>
              <w:tc>
                <w:tcPr>
                  <w:tcW w:w="508" w:type="pct"/>
                  <w:tcBorders>
                    <w:tl2br w:val="nil"/>
                    <w:tr2bl w:val="nil"/>
                  </w:tcBorders>
                  <w:vAlign w:val="center"/>
                </w:tcPr>
                <w:p w14:paraId="27B17D31">
                  <w:pPr>
                    <w:pStyle w:val="23"/>
                    <w:bidi w:val="0"/>
                    <w:rPr>
                      <w:color w:val="auto"/>
                    </w:rPr>
                  </w:pPr>
                  <w:r>
                    <w:rPr>
                      <w:rFonts w:hint="eastAsia"/>
                      <w:color w:val="auto"/>
                      <w:lang w:val="en-US" w:eastAsia="zh-CN"/>
                    </w:rPr>
                    <w:t>2#奉节县青少年发展中心（在建）</w:t>
                  </w:r>
                </w:p>
              </w:tc>
              <w:tc>
                <w:tcPr>
                  <w:tcW w:w="682" w:type="pct"/>
                  <w:tcBorders>
                    <w:tl2br w:val="nil"/>
                    <w:tr2bl w:val="nil"/>
                  </w:tcBorders>
                  <w:vAlign w:val="center"/>
                </w:tcPr>
                <w:p w14:paraId="6EFFD1A7">
                  <w:pPr>
                    <w:pStyle w:val="23"/>
                    <w:bidi w:val="0"/>
                    <w:rPr>
                      <w:rFonts w:hint="default" w:eastAsia="宋体"/>
                      <w:color w:val="auto"/>
                      <w:lang w:val="en-US" w:eastAsia="zh-CN"/>
                    </w:rPr>
                  </w:pPr>
                  <w:r>
                    <w:rPr>
                      <w:rFonts w:hint="eastAsia"/>
                      <w:color w:val="auto"/>
                      <w:lang w:val="en-US" w:eastAsia="zh-CN"/>
                    </w:rPr>
                    <w:t>80</w:t>
                  </w:r>
                </w:p>
              </w:tc>
              <w:tc>
                <w:tcPr>
                  <w:tcW w:w="1054" w:type="pct"/>
                  <w:tcBorders>
                    <w:tl2br w:val="nil"/>
                    <w:tr2bl w:val="nil"/>
                  </w:tcBorders>
                  <w:vAlign w:val="center"/>
                </w:tcPr>
                <w:p w14:paraId="6EE698A7">
                  <w:pPr>
                    <w:pStyle w:val="23"/>
                    <w:bidi w:val="0"/>
                    <w:jc w:val="both"/>
                    <w:rPr>
                      <w:rFonts w:hint="eastAsia"/>
                      <w:color w:val="auto"/>
                    </w:rPr>
                  </w:pPr>
                  <w:r>
                    <w:rPr>
                      <w:rFonts w:hint="eastAsia"/>
                      <w:color w:val="auto"/>
                      <w:lang w:val="en-US" w:eastAsia="zh-CN"/>
                    </w:rPr>
                    <w:t>5F，培训中心，北侧临城市主干路夔州西路，东侧临城市次干路甘溪街，临夔州西路约14m、临甘溪街约9m，临路一侧为4a类，其余为2类声功能区。大气环境为二类区。</w:t>
                  </w:r>
                </w:p>
              </w:tc>
              <w:tc>
                <w:tcPr>
                  <w:tcW w:w="754" w:type="pct"/>
                  <w:tcBorders>
                    <w:tl2br w:val="nil"/>
                    <w:tr2bl w:val="nil"/>
                  </w:tcBorders>
                  <w:vAlign w:val="center"/>
                </w:tcPr>
                <w:p w14:paraId="07764684">
                  <w:pPr>
                    <w:pStyle w:val="23"/>
                    <w:bidi w:val="0"/>
                    <w:jc w:val="both"/>
                    <w:rPr>
                      <w:rFonts w:hint="eastAsia"/>
                      <w:color w:val="auto"/>
                      <w:lang w:val="en-US" w:eastAsia="zh-CN"/>
                    </w:rPr>
                  </w:pPr>
                  <w:r>
                    <w:rPr>
                      <w:rFonts w:hint="eastAsia"/>
                      <w:color w:val="auto"/>
                      <w:lang w:val="en-US" w:eastAsia="zh-CN"/>
                    </w:rPr>
                    <w:t>受项目1号桥、2号桥施工及1#施工场地（1号桥K0+052.000东侧）影响</w:t>
                  </w:r>
                </w:p>
              </w:tc>
              <w:tc>
                <w:tcPr>
                  <w:tcW w:w="1005" w:type="pct"/>
                  <w:tcBorders>
                    <w:tl2br w:val="nil"/>
                    <w:tr2bl w:val="nil"/>
                  </w:tcBorders>
                  <w:vAlign w:val="center"/>
                </w:tcPr>
                <w:p w14:paraId="70376B93">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88440" cy="1236345"/>
                        <wp:effectExtent l="0" t="0" r="16510" b="190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7"/>
                                <a:stretch>
                                  <a:fillRect/>
                                </a:stretch>
                              </pic:blipFill>
                              <pic:spPr>
                                <a:xfrm>
                                  <a:off x="0" y="0"/>
                                  <a:ext cx="1488440" cy="1236345"/>
                                </a:xfrm>
                                <a:prstGeom prst="rect">
                                  <a:avLst/>
                                </a:prstGeom>
                                <a:noFill/>
                                <a:ln>
                                  <a:noFill/>
                                </a:ln>
                              </pic:spPr>
                            </pic:pic>
                          </a:graphicData>
                        </a:graphic>
                      </wp:inline>
                    </w:drawing>
                  </w:r>
                </w:p>
              </w:tc>
              <w:tc>
                <w:tcPr>
                  <w:tcW w:w="847" w:type="pct"/>
                  <w:tcBorders>
                    <w:tl2br w:val="nil"/>
                    <w:tr2bl w:val="nil"/>
                  </w:tcBorders>
                  <w:vAlign w:val="center"/>
                </w:tcPr>
                <w:p w14:paraId="1E8D8FB0">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17320" cy="991235"/>
                        <wp:effectExtent l="0" t="0" r="11430" b="1841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8"/>
                                <a:stretch>
                                  <a:fillRect/>
                                </a:stretch>
                              </pic:blipFill>
                              <pic:spPr>
                                <a:xfrm>
                                  <a:off x="0" y="0"/>
                                  <a:ext cx="1417320" cy="991235"/>
                                </a:xfrm>
                                <a:prstGeom prst="rect">
                                  <a:avLst/>
                                </a:prstGeom>
                                <a:noFill/>
                                <a:ln>
                                  <a:noFill/>
                                </a:ln>
                              </pic:spPr>
                            </pic:pic>
                          </a:graphicData>
                        </a:graphic>
                      </wp:inline>
                    </w:drawing>
                  </w:r>
                </w:p>
              </w:tc>
            </w:tr>
            <w:tr w14:paraId="4760C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blHeader/>
              </w:trPr>
              <w:tc>
                <w:tcPr>
                  <w:tcW w:w="146" w:type="pct"/>
                  <w:tcBorders>
                    <w:tl2br w:val="nil"/>
                    <w:tr2bl w:val="nil"/>
                  </w:tcBorders>
                  <w:vAlign w:val="center"/>
                </w:tcPr>
                <w:p w14:paraId="6F5C3C77">
                  <w:pPr>
                    <w:pStyle w:val="23"/>
                    <w:bidi w:val="0"/>
                    <w:rPr>
                      <w:rFonts w:hint="default"/>
                      <w:color w:val="auto"/>
                      <w:lang w:val="en-US" w:eastAsia="zh-CN"/>
                    </w:rPr>
                  </w:pPr>
                  <w:r>
                    <w:rPr>
                      <w:rFonts w:hint="eastAsia"/>
                      <w:color w:val="auto"/>
                      <w:lang w:val="en-US" w:eastAsia="zh-CN"/>
                    </w:rPr>
                    <w:t>3</w:t>
                  </w:r>
                </w:p>
              </w:tc>
              <w:tc>
                <w:tcPr>
                  <w:tcW w:w="508" w:type="pct"/>
                  <w:tcBorders>
                    <w:tl2br w:val="nil"/>
                    <w:tr2bl w:val="nil"/>
                  </w:tcBorders>
                  <w:vAlign w:val="center"/>
                </w:tcPr>
                <w:p w14:paraId="5424F6AD">
                  <w:pPr>
                    <w:pStyle w:val="23"/>
                    <w:bidi w:val="0"/>
                    <w:rPr>
                      <w:color w:val="auto"/>
                    </w:rPr>
                  </w:pPr>
                  <w:r>
                    <w:rPr>
                      <w:rFonts w:hint="eastAsia"/>
                      <w:color w:val="auto"/>
                      <w:lang w:val="en-US" w:eastAsia="zh-CN"/>
                    </w:rPr>
                    <w:t>3#天悦珑廷（含向阳幼儿园）</w:t>
                  </w:r>
                </w:p>
              </w:tc>
              <w:tc>
                <w:tcPr>
                  <w:tcW w:w="682" w:type="pct"/>
                  <w:tcBorders>
                    <w:tl2br w:val="nil"/>
                    <w:tr2bl w:val="nil"/>
                  </w:tcBorders>
                  <w:vAlign w:val="center"/>
                </w:tcPr>
                <w:p w14:paraId="5E2E79F2">
                  <w:pPr>
                    <w:pStyle w:val="23"/>
                    <w:bidi w:val="0"/>
                    <w:rPr>
                      <w:rFonts w:hint="default" w:eastAsia="宋体"/>
                      <w:color w:val="auto"/>
                      <w:lang w:val="en-US" w:eastAsia="zh-CN"/>
                    </w:rPr>
                  </w:pPr>
                  <w:r>
                    <w:rPr>
                      <w:rFonts w:hint="eastAsia"/>
                      <w:color w:val="auto"/>
                      <w:lang w:val="en-US" w:eastAsia="zh-CN"/>
                    </w:rPr>
                    <w:t>51</w:t>
                  </w:r>
                </w:p>
              </w:tc>
              <w:tc>
                <w:tcPr>
                  <w:tcW w:w="1054" w:type="pct"/>
                  <w:tcBorders>
                    <w:tl2br w:val="nil"/>
                    <w:tr2bl w:val="nil"/>
                  </w:tcBorders>
                  <w:vAlign w:val="center"/>
                </w:tcPr>
                <w:p w14:paraId="19D9FF22">
                  <w:pPr>
                    <w:pStyle w:val="23"/>
                    <w:bidi w:val="0"/>
                    <w:jc w:val="both"/>
                    <w:rPr>
                      <w:rFonts w:hint="eastAsia"/>
                      <w:color w:val="auto"/>
                      <w:lang w:val="en-US" w:eastAsia="zh-CN"/>
                    </w:rPr>
                  </w:pPr>
                  <w:r>
                    <w:rPr>
                      <w:rFonts w:hint="eastAsia"/>
                      <w:color w:val="auto"/>
                      <w:lang w:val="en-US" w:eastAsia="zh-CN"/>
                    </w:rPr>
                    <w:t>共13栋，均为24~30F框架结构住宅，约1920户，北侧临城市主干路夔州西路，临夔州西路约18m，临路一侧为4a类，其余为2类声功能区。</w:t>
                  </w:r>
                </w:p>
                <w:p w14:paraId="79459778">
                  <w:pPr>
                    <w:pStyle w:val="23"/>
                    <w:bidi w:val="0"/>
                    <w:jc w:val="both"/>
                    <w:rPr>
                      <w:rFonts w:hint="eastAsia"/>
                      <w:color w:val="auto"/>
                    </w:rPr>
                  </w:pPr>
                  <w:r>
                    <w:rPr>
                      <w:rFonts w:hint="eastAsia"/>
                      <w:color w:val="auto"/>
                      <w:lang w:val="en-US" w:eastAsia="zh-CN"/>
                    </w:rPr>
                    <w:t>向阳幼儿园师生约500人，临夔州西路约70m，为2类声功能区。大气环境为二类区。</w:t>
                  </w:r>
                </w:p>
              </w:tc>
              <w:tc>
                <w:tcPr>
                  <w:tcW w:w="754" w:type="pct"/>
                  <w:tcBorders>
                    <w:tl2br w:val="nil"/>
                    <w:tr2bl w:val="nil"/>
                  </w:tcBorders>
                  <w:vAlign w:val="center"/>
                </w:tcPr>
                <w:p w14:paraId="4DF85E5B">
                  <w:pPr>
                    <w:pStyle w:val="23"/>
                    <w:bidi w:val="0"/>
                    <w:jc w:val="both"/>
                    <w:rPr>
                      <w:rFonts w:hint="eastAsia"/>
                      <w:color w:val="auto"/>
                      <w:lang w:val="en-US" w:eastAsia="zh-CN"/>
                    </w:rPr>
                  </w:pPr>
                  <w:r>
                    <w:rPr>
                      <w:rFonts w:hint="eastAsia"/>
                      <w:color w:val="auto"/>
                      <w:lang w:val="en-US" w:eastAsia="zh-CN"/>
                    </w:rPr>
                    <w:t>受项目1号桥、2号桥及连接道路施工及1#施工场地（1号桥K0+052.000东侧）、2#施工场地（连接道路K0+200.000右侧）影响</w:t>
                  </w:r>
                </w:p>
              </w:tc>
              <w:tc>
                <w:tcPr>
                  <w:tcW w:w="1005" w:type="pct"/>
                  <w:tcBorders>
                    <w:tl2br w:val="nil"/>
                    <w:tr2bl w:val="nil"/>
                  </w:tcBorders>
                  <w:vAlign w:val="center"/>
                </w:tcPr>
                <w:p w14:paraId="27609726">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09065" cy="1245235"/>
                        <wp:effectExtent l="0" t="0" r="635" b="1206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9"/>
                                <a:stretch>
                                  <a:fillRect/>
                                </a:stretch>
                              </pic:blipFill>
                              <pic:spPr>
                                <a:xfrm>
                                  <a:off x="0" y="0"/>
                                  <a:ext cx="1409065" cy="1245235"/>
                                </a:xfrm>
                                <a:prstGeom prst="rect">
                                  <a:avLst/>
                                </a:prstGeom>
                                <a:noFill/>
                                <a:ln>
                                  <a:noFill/>
                                </a:ln>
                              </pic:spPr>
                            </pic:pic>
                          </a:graphicData>
                        </a:graphic>
                      </wp:inline>
                    </w:drawing>
                  </w:r>
                </w:p>
              </w:tc>
              <w:tc>
                <w:tcPr>
                  <w:tcW w:w="847" w:type="pct"/>
                  <w:tcBorders>
                    <w:tl2br w:val="nil"/>
                    <w:tr2bl w:val="nil"/>
                  </w:tcBorders>
                  <w:vAlign w:val="center"/>
                </w:tcPr>
                <w:p w14:paraId="0664B1AE">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17320" cy="820420"/>
                        <wp:effectExtent l="0" t="0" r="11430" b="1778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0"/>
                                <a:stretch>
                                  <a:fillRect/>
                                </a:stretch>
                              </pic:blipFill>
                              <pic:spPr>
                                <a:xfrm>
                                  <a:off x="0" y="0"/>
                                  <a:ext cx="1417320" cy="820420"/>
                                </a:xfrm>
                                <a:prstGeom prst="rect">
                                  <a:avLst/>
                                </a:prstGeom>
                                <a:noFill/>
                                <a:ln>
                                  <a:noFill/>
                                </a:ln>
                              </pic:spPr>
                            </pic:pic>
                          </a:graphicData>
                        </a:graphic>
                      </wp:inline>
                    </w:drawing>
                  </w:r>
                </w:p>
              </w:tc>
            </w:tr>
            <w:tr w14:paraId="66CCC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blHeader/>
              </w:trPr>
              <w:tc>
                <w:tcPr>
                  <w:tcW w:w="146" w:type="pct"/>
                  <w:tcBorders>
                    <w:tl2br w:val="nil"/>
                    <w:tr2bl w:val="nil"/>
                  </w:tcBorders>
                  <w:vAlign w:val="center"/>
                </w:tcPr>
                <w:p w14:paraId="6A52BB6F">
                  <w:pPr>
                    <w:pStyle w:val="23"/>
                    <w:bidi w:val="0"/>
                    <w:rPr>
                      <w:rFonts w:hint="default"/>
                      <w:color w:val="auto"/>
                      <w:lang w:val="en-US" w:eastAsia="zh-CN"/>
                    </w:rPr>
                  </w:pPr>
                  <w:r>
                    <w:rPr>
                      <w:rFonts w:hint="eastAsia"/>
                      <w:color w:val="auto"/>
                      <w:lang w:val="en-US" w:eastAsia="zh-CN"/>
                    </w:rPr>
                    <w:t>4</w:t>
                  </w:r>
                </w:p>
              </w:tc>
              <w:tc>
                <w:tcPr>
                  <w:tcW w:w="508" w:type="pct"/>
                  <w:tcBorders>
                    <w:tl2br w:val="nil"/>
                    <w:tr2bl w:val="nil"/>
                  </w:tcBorders>
                  <w:vAlign w:val="center"/>
                </w:tcPr>
                <w:p w14:paraId="1AFBE222">
                  <w:pPr>
                    <w:pStyle w:val="23"/>
                    <w:bidi w:val="0"/>
                    <w:rPr>
                      <w:rFonts w:hint="eastAsia"/>
                      <w:color w:val="auto"/>
                      <w:lang w:val="en-US" w:eastAsia="zh-CN"/>
                    </w:rPr>
                  </w:pPr>
                  <w:r>
                    <w:rPr>
                      <w:rFonts w:hint="eastAsia"/>
                      <w:color w:val="auto"/>
                      <w:lang w:val="en-US" w:eastAsia="zh-CN"/>
                    </w:rPr>
                    <w:t>4#党校（在建）</w:t>
                  </w:r>
                </w:p>
              </w:tc>
              <w:tc>
                <w:tcPr>
                  <w:tcW w:w="682" w:type="pct"/>
                  <w:tcBorders>
                    <w:tl2br w:val="nil"/>
                    <w:tr2bl w:val="nil"/>
                  </w:tcBorders>
                  <w:vAlign w:val="center"/>
                </w:tcPr>
                <w:p w14:paraId="6D0DEB06">
                  <w:pPr>
                    <w:pStyle w:val="23"/>
                    <w:bidi w:val="0"/>
                    <w:rPr>
                      <w:rFonts w:hint="eastAsia"/>
                      <w:color w:val="auto"/>
                      <w:lang w:val="en-US" w:eastAsia="zh-CN"/>
                    </w:rPr>
                  </w:pPr>
                  <w:r>
                    <w:rPr>
                      <w:rFonts w:hint="eastAsia"/>
                      <w:color w:val="auto"/>
                      <w:lang w:val="en-US" w:eastAsia="zh-CN"/>
                    </w:rPr>
                    <w:t>84</w:t>
                  </w:r>
                </w:p>
              </w:tc>
              <w:tc>
                <w:tcPr>
                  <w:tcW w:w="1054" w:type="pct"/>
                  <w:tcBorders>
                    <w:tl2br w:val="nil"/>
                    <w:tr2bl w:val="nil"/>
                  </w:tcBorders>
                  <w:vAlign w:val="center"/>
                </w:tcPr>
                <w:p w14:paraId="74C0EDB3">
                  <w:pPr>
                    <w:pStyle w:val="23"/>
                    <w:bidi w:val="0"/>
                    <w:jc w:val="both"/>
                    <w:rPr>
                      <w:rFonts w:hint="eastAsia"/>
                      <w:color w:val="auto"/>
                      <w:lang w:val="en-US" w:eastAsia="zh-CN"/>
                    </w:rPr>
                  </w:pPr>
                  <w:r>
                    <w:rPr>
                      <w:rFonts w:hint="eastAsia"/>
                      <w:color w:val="auto"/>
                      <w:lang w:val="en-US" w:eastAsia="zh-CN"/>
                    </w:rPr>
                    <w:t>行政办公，6F，北侧临城市次干路万胜路，办公楼与万胜路距离约43m，为2类声功能区。大气环境为二类区。</w:t>
                  </w:r>
                </w:p>
              </w:tc>
              <w:tc>
                <w:tcPr>
                  <w:tcW w:w="754" w:type="pct"/>
                  <w:tcBorders>
                    <w:tl2br w:val="nil"/>
                    <w:tr2bl w:val="nil"/>
                  </w:tcBorders>
                  <w:vAlign w:val="center"/>
                </w:tcPr>
                <w:p w14:paraId="59E25CD1">
                  <w:pPr>
                    <w:pStyle w:val="23"/>
                    <w:bidi w:val="0"/>
                    <w:jc w:val="both"/>
                    <w:rPr>
                      <w:rFonts w:hint="eastAsia"/>
                      <w:color w:val="auto"/>
                      <w:lang w:val="en-US" w:eastAsia="zh-CN"/>
                    </w:rPr>
                  </w:pPr>
                  <w:r>
                    <w:rPr>
                      <w:rFonts w:hint="eastAsia"/>
                      <w:color w:val="auto"/>
                      <w:lang w:val="en-US" w:eastAsia="zh-CN"/>
                    </w:rPr>
                    <w:t>受项目连接道路施工及2#施工场地（连接道路K0+200.000右侧）影响</w:t>
                  </w:r>
                </w:p>
              </w:tc>
              <w:tc>
                <w:tcPr>
                  <w:tcW w:w="1005" w:type="pct"/>
                  <w:tcBorders>
                    <w:tl2br w:val="nil"/>
                    <w:tr2bl w:val="nil"/>
                  </w:tcBorders>
                  <w:vAlign w:val="center"/>
                </w:tcPr>
                <w:p w14:paraId="3720E652">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89075" cy="831850"/>
                        <wp:effectExtent l="0" t="0" r="15875" b="635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1"/>
                                <a:stretch>
                                  <a:fillRect/>
                                </a:stretch>
                              </pic:blipFill>
                              <pic:spPr>
                                <a:xfrm>
                                  <a:off x="0" y="0"/>
                                  <a:ext cx="1489075" cy="831850"/>
                                </a:xfrm>
                                <a:prstGeom prst="rect">
                                  <a:avLst/>
                                </a:prstGeom>
                                <a:noFill/>
                                <a:ln>
                                  <a:noFill/>
                                </a:ln>
                              </pic:spPr>
                            </pic:pic>
                          </a:graphicData>
                        </a:graphic>
                      </wp:inline>
                    </w:drawing>
                  </w:r>
                </w:p>
              </w:tc>
              <w:tc>
                <w:tcPr>
                  <w:tcW w:w="847" w:type="pct"/>
                  <w:tcBorders>
                    <w:tl2br w:val="nil"/>
                    <w:tr2bl w:val="nil"/>
                  </w:tcBorders>
                  <w:vAlign w:val="center"/>
                </w:tcPr>
                <w:p w14:paraId="580BA16B">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17320" cy="1043940"/>
                        <wp:effectExtent l="0" t="0" r="11430" b="381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2"/>
                                <a:stretch>
                                  <a:fillRect/>
                                </a:stretch>
                              </pic:blipFill>
                              <pic:spPr>
                                <a:xfrm>
                                  <a:off x="0" y="0"/>
                                  <a:ext cx="1417320" cy="1043940"/>
                                </a:xfrm>
                                <a:prstGeom prst="rect">
                                  <a:avLst/>
                                </a:prstGeom>
                                <a:noFill/>
                                <a:ln>
                                  <a:noFill/>
                                </a:ln>
                              </pic:spPr>
                            </pic:pic>
                          </a:graphicData>
                        </a:graphic>
                      </wp:inline>
                    </w:drawing>
                  </w:r>
                </w:p>
              </w:tc>
            </w:tr>
            <w:tr w14:paraId="4E233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blHeader/>
              </w:trPr>
              <w:tc>
                <w:tcPr>
                  <w:tcW w:w="146" w:type="pct"/>
                  <w:tcBorders>
                    <w:tl2br w:val="nil"/>
                    <w:tr2bl w:val="nil"/>
                  </w:tcBorders>
                  <w:vAlign w:val="center"/>
                </w:tcPr>
                <w:p w14:paraId="5DD0EBB5">
                  <w:pPr>
                    <w:pStyle w:val="23"/>
                    <w:bidi w:val="0"/>
                    <w:rPr>
                      <w:rFonts w:hint="default"/>
                      <w:color w:val="auto"/>
                      <w:lang w:val="en-US" w:eastAsia="zh-CN"/>
                    </w:rPr>
                  </w:pPr>
                  <w:r>
                    <w:rPr>
                      <w:rFonts w:hint="eastAsia"/>
                      <w:color w:val="auto"/>
                      <w:lang w:val="en-US" w:eastAsia="zh-CN"/>
                    </w:rPr>
                    <w:t>5</w:t>
                  </w:r>
                </w:p>
              </w:tc>
              <w:tc>
                <w:tcPr>
                  <w:tcW w:w="508" w:type="pct"/>
                  <w:tcBorders>
                    <w:tl2br w:val="nil"/>
                    <w:tr2bl w:val="nil"/>
                  </w:tcBorders>
                  <w:vAlign w:val="center"/>
                </w:tcPr>
                <w:p w14:paraId="46D40F9D">
                  <w:pPr>
                    <w:pStyle w:val="23"/>
                    <w:bidi w:val="0"/>
                    <w:rPr>
                      <w:rFonts w:hint="default"/>
                      <w:color w:val="auto"/>
                      <w:lang w:val="en-US" w:eastAsia="zh-CN"/>
                    </w:rPr>
                  </w:pPr>
                  <w:r>
                    <w:rPr>
                      <w:rFonts w:hint="eastAsia"/>
                      <w:color w:val="auto"/>
                      <w:lang w:val="en-US" w:eastAsia="zh-CN"/>
                    </w:rPr>
                    <w:t>5#规划行政办公用地</w:t>
                  </w:r>
                </w:p>
              </w:tc>
              <w:tc>
                <w:tcPr>
                  <w:tcW w:w="682" w:type="pct"/>
                  <w:tcBorders>
                    <w:tl2br w:val="nil"/>
                    <w:tr2bl w:val="nil"/>
                  </w:tcBorders>
                  <w:vAlign w:val="center"/>
                </w:tcPr>
                <w:p w14:paraId="591D7565">
                  <w:pPr>
                    <w:pStyle w:val="23"/>
                    <w:bidi w:val="0"/>
                    <w:rPr>
                      <w:rFonts w:hint="eastAsia"/>
                      <w:color w:val="auto"/>
                      <w:lang w:val="en-US" w:eastAsia="zh-CN"/>
                    </w:rPr>
                  </w:pPr>
                  <w:r>
                    <w:rPr>
                      <w:rFonts w:hint="eastAsia"/>
                      <w:color w:val="auto"/>
                      <w:lang w:val="en-US" w:eastAsia="zh-CN"/>
                    </w:rPr>
                    <w:t>53</w:t>
                  </w:r>
                </w:p>
              </w:tc>
              <w:tc>
                <w:tcPr>
                  <w:tcW w:w="1054" w:type="pct"/>
                  <w:tcBorders>
                    <w:tl2br w:val="nil"/>
                    <w:tr2bl w:val="nil"/>
                  </w:tcBorders>
                  <w:vAlign w:val="center"/>
                </w:tcPr>
                <w:p w14:paraId="61607A98">
                  <w:pPr>
                    <w:pStyle w:val="23"/>
                    <w:bidi w:val="0"/>
                    <w:jc w:val="both"/>
                    <w:rPr>
                      <w:rFonts w:hint="eastAsia"/>
                      <w:color w:val="auto"/>
                      <w:lang w:val="en-US" w:eastAsia="zh-CN"/>
                    </w:rPr>
                  </w:pPr>
                  <w:r>
                    <w:rPr>
                      <w:rFonts w:hint="eastAsia"/>
                      <w:color w:val="auto"/>
                      <w:lang w:val="en-US" w:eastAsia="zh-CN"/>
                    </w:rPr>
                    <w:t>规划行政办公，南侧临城市次干路万胜路，临路一侧为4a类，其余2类声环境功能区。大气环境为二类区。</w:t>
                  </w:r>
                </w:p>
              </w:tc>
              <w:tc>
                <w:tcPr>
                  <w:tcW w:w="754" w:type="pct"/>
                  <w:tcBorders>
                    <w:tl2br w:val="nil"/>
                    <w:tr2bl w:val="nil"/>
                  </w:tcBorders>
                  <w:vAlign w:val="center"/>
                </w:tcPr>
                <w:p w14:paraId="59F8AE93">
                  <w:pPr>
                    <w:pStyle w:val="23"/>
                    <w:bidi w:val="0"/>
                    <w:jc w:val="both"/>
                    <w:rPr>
                      <w:rFonts w:hint="eastAsia"/>
                      <w:color w:val="auto"/>
                      <w:lang w:val="en-US" w:eastAsia="zh-CN"/>
                    </w:rPr>
                  </w:pPr>
                  <w:r>
                    <w:rPr>
                      <w:rFonts w:hint="eastAsia"/>
                      <w:color w:val="auto"/>
                      <w:lang w:val="en-US" w:eastAsia="zh-CN"/>
                    </w:rPr>
                    <w:t>受项目连接道路施工影响</w:t>
                  </w:r>
                </w:p>
              </w:tc>
              <w:tc>
                <w:tcPr>
                  <w:tcW w:w="1005" w:type="pct"/>
                  <w:tcBorders>
                    <w:tl2br w:val="nil"/>
                    <w:tr2bl w:val="nil"/>
                  </w:tcBorders>
                  <w:vAlign w:val="center"/>
                </w:tcPr>
                <w:p w14:paraId="7FDD618F">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90345" cy="991870"/>
                        <wp:effectExtent l="0" t="0" r="14605" b="1778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23"/>
                                <a:stretch>
                                  <a:fillRect/>
                                </a:stretch>
                              </pic:blipFill>
                              <pic:spPr>
                                <a:xfrm>
                                  <a:off x="0" y="0"/>
                                  <a:ext cx="1490345" cy="991870"/>
                                </a:xfrm>
                                <a:prstGeom prst="rect">
                                  <a:avLst/>
                                </a:prstGeom>
                                <a:noFill/>
                                <a:ln>
                                  <a:noFill/>
                                </a:ln>
                              </pic:spPr>
                            </pic:pic>
                          </a:graphicData>
                        </a:graphic>
                      </wp:inline>
                    </w:drawing>
                  </w:r>
                </w:p>
              </w:tc>
              <w:tc>
                <w:tcPr>
                  <w:tcW w:w="847" w:type="pct"/>
                  <w:tcBorders>
                    <w:tl2br w:val="nil"/>
                    <w:tr2bl w:val="nil"/>
                  </w:tcBorders>
                  <w:vAlign w:val="center"/>
                </w:tcPr>
                <w:p w14:paraId="488F4252">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17955" cy="1086485"/>
                        <wp:effectExtent l="0" t="0" r="10795" b="1841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24"/>
                                <a:stretch>
                                  <a:fillRect/>
                                </a:stretch>
                              </pic:blipFill>
                              <pic:spPr>
                                <a:xfrm>
                                  <a:off x="0" y="0"/>
                                  <a:ext cx="1417955" cy="1086485"/>
                                </a:xfrm>
                                <a:prstGeom prst="rect">
                                  <a:avLst/>
                                </a:prstGeom>
                                <a:noFill/>
                                <a:ln>
                                  <a:noFill/>
                                </a:ln>
                              </pic:spPr>
                            </pic:pic>
                          </a:graphicData>
                        </a:graphic>
                      </wp:inline>
                    </w:drawing>
                  </w:r>
                </w:p>
              </w:tc>
            </w:tr>
            <w:tr w14:paraId="11BB2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blHeader/>
              </w:trPr>
              <w:tc>
                <w:tcPr>
                  <w:tcW w:w="146" w:type="pct"/>
                  <w:tcBorders>
                    <w:tl2br w:val="nil"/>
                    <w:tr2bl w:val="nil"/>
                  </w:tcBorders>
                  <w:vAlign w:val="center"/>
                </w:tcPr>
                <w:p w14:paraId="24F931A5">
                  <w:pPr>
                    <w:pStyle w:val="23"/>
                    <w:bidi w:val="0"/>
                    <w:rPr>
                      <w:rFonts w:hint="default"/>
                      <w:color w:val="auto"/>
                      <w:lang w:val="en-US" w:eastAsia="zh-CN"/>
                    </w:rPr>
                  </w:pPr>
                  <w:r>
                    <w:rPr>
                      <w:rFonts w:hint="eastAsia"/>
                      <w:color w:val="auto"/>
                      <w:lang w:val="en-US" w:eastAsia="zh-CN"/>
                    </w:rPr>
                    <w:t>6</w:t>
                  </w:r>
                </w:p>
              </w:tc>
              <w:tc>
                <w:tcPr>
                  <w:tcW w:w="508" w:type="pct"/>
                  <w:tcBorders>
                    <w:tl2br w:val="nil"/>
                    <w:tr2bl w:val="nil"/>
                  </w:tcBorders>
                  <w:vAlign w:val="center"/>
                </w:tcPr>
                <w:p w14:paraId="35F9B89F">
                  <w:pPr>
                    <w:pStyle w:val="23"/>
                    <w:bidi w:val="0"/>
                    <w:rPr>
                      <w:rFonts w:hint="eastAsia"/>
                      <w:color w:val="auto"/>
                      <w:lang w:val="en-US" w:eastAsia="zh-CN"/>
                    </w:rPr>
                  </w:pPr>
                  <w:r>
                    <w:rPr>
                      <w:rFonts w:hint="eastAsia"/>
                      <w:color w:val="auto"/>
                      <w:lang w:val="en-US" w:eastAsia="zh-CN"/>
                    </w:rPr>
                    <w:t>6#西宸御府</w:t>
                  </w:r>
                </w:p>
              </w:tc>
              <w:tc>
                <w:tcPr>
                  <w:tcW w:w="682" w:type="pct"/>
                  <w:tcBorders>
                    <w:tl2br w:val="nil"/>
                    <w:tr2bl w:val="nil"/>
                  </w:tcBorders>
                  <w:vAlign w:val="center"/>
                </w:tcPr>
                <w:p w14:paraId="3362702E">
                  <w:pPr>
                    <w:pStyle w:val="23"/>
                    <w:bidi w:val="0"/>
                    <w:rPr>
                      <w:rFonts w:hint="default"/>
                      <w:color w:val="auto"/>
                      <w:lang w:val="en-US" w:eastAsia="zh-CN"/>
                    </w:rPr>
                  </w:pPr>
                  <w:r>
                    <w:rPr>
                      <w:rFonts w:hint="eastAsia"/>
                      <w:color w:val="auto"/>
                      <w:lang w:val="en-US" w:eastAsia="zh-CN"/>
                    </w:rPr>
                    <w:t>40</w:t>
                  </w:r>
                </w:p>
              </w:tc>
              <w:tc>
                <w:tcPr>
                  <w:tcW w:w="1054" w:type="pct"/>
                  <w:tcBorders>
                    <w:tl2br w:val="nil"/>
                    <w:tr2bl w:val="nil"/>
                  </w:tcBorders>
                  <w:vAlign w:val="center"/>
                </w:tcPr>
                <w:p w14:paraId="5F33C34A">
                  <w:pPr>
                    <w:pStyle w:val="23"/>
                    <w:bidi w:val="0"/>
                    <w:jc w:val="both"/>
                    <w:rPr>
                      <w:rFonts w:hint="eastAsia"/>
                      <w:color w:val="auto"/>
                      <w:lang w:val="en-US" w:eastAsia="zh-CN"/>
                    </w:rPr>
                  </w:pPr>
                  <w:r>
                    <w:rPr>
                      <w:rFonts w:hint="eastAsia"/>
                      <w:color w:val="auto"/>
                      <w:lang w:val="en-US" w:eastAsia="zh-CN"/>
                    </w:rPr>
                    <w:t>6栋，均为16~26F框架结构住宅，约688户，北侧临城市次干路万胜路、南侧为在建的万达广场，临万胜路距离约20m，临路一侧为4a类，其余为2类声环境功能区。大气环境为二类区。</w:t>
                  </w:r>
                </w:p>
              </w:tc>
              <w:tc>
                <w:tcPr>
                  <w:tcW w:w="754" w:type="pct"/>
                  <w:tcBorders>
                    <w:tl2br w:val="nil"/>
                    <w:tr2bl w:val="nil"/>
                  </w:tcBorders>
                  <w:vAlign w:val="center"/>
                </w:tcPr>
                <w:p w14:paraId="4B6E67A1">
                  <w:pPr>
                    <w:pStyle w:val="23"/>
                    <w:bidi w:val="0"/>
                    <w:jc w:val="both"/>
                    <w:rPr>
                      <w:rFonts w:hint="eastAsia"/>
                      <w:color w:val="auto"/>
                      <w:lang w:val="en-US" w:eastAsia="zh-CN"/>
                    </w:rPr>
                  </w:pPr>
                  <w:r>
                    <w:rPr>
                      <w:rFonts w:hint="eastAsia"/>
                      <w:color w:val="auto"/>
                      <w:lang w:val="en-US" w:eastAsia="zh-CN"/>
                    </w:rPr>
                    <w:t>受项目1号桥、2号桥及连接道路施工及1#施工场地（1号桥K0+052.000东侧）、2#施工场地（连接道路K0+200.000右侧）影响</w:t>
                  </w:r>
                </w:p>
              </w:tc>
              <w:tc>
                <w:tcPr>
                  <w:tcW w:w="1005" w:type="pct"/>
                  <w:tcBorders>
                    <w:tl2br w:val="nil"/>
                    <w:tr2bl w:val="nil"/>
                  </w:tcBorders>
                  <w:vAlign w:val="center"/>
                </w:tcPr>
                <w:p w14:paraId="330D79E3">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90345" cy="1166495"/>
                        <wp:effectExtent l="0" t="0" r="14605" b="1460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5"/>
                                <a:stretch>
                                  <a:fillRect/>
                                </a:stretch>
                              </pic:blipFill>
                              <pic:spPr>
                                <a:xfrm>
                                  <a:off x="0" y="0"/>
                                  <a:ext cx="1490345" cy="1166495"/>
                                </a:xfrm>
                                <a:prstGeom prst="rect">
                                  <a:avLst/>
                                </a:prstGeom>
                                <a:noFill/>
                                <a:ln>
                                  <a:noFill/>
                                </a:ln>
                              </pic:spPr>
                            </pic:pic>
                          </a:graphicData>
                        </a:graphic>
                      </wp:inline>
                    </w:drawing>
                  </w:r>
                </w:p>
              </w:tc>
              <w:tc>
                <w:tcPr>
                  <w:tcW w:w="847" w:type="pct"/>
                  <w:tcBorders>
                    <w:tl2br w:val="nil"/>
                    <w:tr2bl w:val="nil"/>
                  </w:tcBorders>
                  <w:vAlign w:val="center"/>
                </w:tcPr>
                <w:p w14:paraId="42EC2FB4">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19225" cy="1337945"/>
                        <wp:effectExtent l="0" t="0" r="9525" b="1460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6"/>
                                <a:stretch>
                                  <a:fillRect/>
                                </a:stretch>
                              </pic:blipFill>
                              <pic:spPr>
                                <a:xfrm>
                                  <a:off x="0" y="0"/>
                                  <a:ext cx="1419225" cy="1337945"/>
                                </a:xfrm>
                                <a:prstGeom prst="rect">
                                  <a:avLst/>
                                </a:prstGeom>
                                <a:noFill/>
                                <a:ln>
                                  <a:noFill/>
                                </a:ln>
                              </pic:spPr>
                            </pic:pic>
                          </a:graphicData>
                        </a:graphic>
                      </wp:inline>
                    </w:drawing>
                  </w:r>
                </w:p>
              </w:tc>
            </w:tr>
            <w:tr w14:paraId="00479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tblHeader/>
              </w:trPr>
              <w:tc>
                <w:tcPr>
                  <w:tcW w:w="146" w:type="pct"/>
                  <w:tcBorders>
                    <w:tl2br w:val="nil"/>
                    <w:tr2bl w:val="nil"/>
                  </w:tcBorders>
                  <w:vAlign w:val="center"/>
                </w:tcPr>
                <w:p w14:paraId="4D897B03">
                  <w:pPr>
                    <w:pStyle w:val="23"/>
                    <w:bidi w:val="0"/>
                    <w:rPr>
                      <w:rFonts w:hint="default"/>
                      <w:color w:val="auto"/>
                      <w:lang w:val="en-US" w:eastAsia="zh-CN"/>
                    </w:rPr>
                  </w:pPr>
                  <w:r>
                    <w:rPr>
                      <w:rFonts w:hint="eastAsia"/>
                      <w:color w:val="auto"/>
                      <w:lang w:val="en-US" w:eastAsia="zh-CN"/>
                    </w:rPr>
                    <w:t>7</w:t>
                  </w:r>
                </w:p>
              </w:tc>
              <w:tc>
                <w:tcPr>
                  <w:tcW w:w="508" w:type="pct"/>
                  <w:tcBorders>
                    <w:tl2br w:val="nil"/>
                    <w:tr2bl w:val="nil"/>
                  </w:tcBorders>
                  <w:vAlign w:val="center"/>
                </w:tcPr>
                <w:p w14:paraId="55897ABC">
                  <w:pPr>
                    <w:pStyle w:val="23"/>
                    <w:bidi w:val="0"/>
                    <w:rPr>
                      <w:rFonts w:hint="eastAsia"/>
                      <w:color w:val="auto"/>
                      <w:lang w:val="en-US" w:eastAsia="zh-CN"/>
                    </w:rPr>
                  </w:pPr>
                  <w:r>
                    <w:rPr>
                      <w:rFonts w:hint="eastAsia"/>
                      <w:color w:val="auto"/>
                      <w:lang w:val="en-US" w:eastAsia="zh-CN"/>
                    </w:rPr>
                    <w:t>7#西宸悦府</w:t>
                  </w:r>
                </w:p>
              </w:tc>
              <w:tc>
                <w:tcPr>
                  <w:tcW w:w="682" w:type="pct"/>
                  <w:tcBorders>
                    <w:tl2br w:val="nil"/>
                    <w:tr2bl w:val="nil"/>
                  </w:tcBorders>
                  <w:vAlign w:val="center"/>
                </w:tcPr>
                <w:p w14:paraId="2B6A5497">
                  <w:pPr>
                    <w:pStyle w:val="23"/>
                    <w:bidi w:val="0"/>
                    <w:rPr>
                      <w:rFonts w:hint="default" w:eastAsia="宋体"/>
                      <w:color w:val="auto"/>
                      <w:lang w:val="en-US" w:eastAsia="zh-CN"/>
                    </w:rPr>
                  </w:pPr>
                  <w:r>
                    <w:rPr>
                      <w:rFonts w:hint="eastAsia"/>
                      <w:color w:val="auto"/>
                      <w:lang w:val="en-US" w:eastAsia="zh-CN"/>
                    </w:rPr>
                    <w:t>44</w:t>
                  </w:r>
                </w:p>
              </w:tc>
              <w:tc>
                <w:tcPr>
                  <w:tcW w:w="1054" w:type="pct"/>
                  <w:tcBorders>
                    <w:tl2br w:val="nil"/>
                    <w:tr2bl w:val="nil"/>
                  </w:tcBorders>
                  <w:vAlign w:val="center"/>
                </w:tcPr>
                <w:p w14:paraId="78823656">
                  <w:pPr>
                    <w:pStyle w:val="23"/>
                    <w:bidi w:val="0"/>
                    <w:jc w:val="both"/>
                    <w:rPr>
                      <w:rFonts w:hint="eastAsia" w:eastAsia="宋体"/>
                      <w:color w:val="auto"/>
                      <w:lang w:val="en-US" w:eastAsia="zh-CN"/>
                    </w:rPr>
                  </w:pPr>
                  <w:r>
                    <w:rPr>
                      <w:rFonts w:hint="eastAsia"/>
                      <w:color w:val="auto"/>
                      <w:lang w:val="en-US" w:eastAsia="zh-CN"/>
                    </w:rPr>
                    <w:t>5栋，均为16~26F框架结构住宅，约2440户（部分楼栋在建），南侧临城市次干路万胜路，临万胜路距离约20m，临路一侧为4a类，其余为2类声环境功能区。大气环境为二类区。</w:t>
                  </w:r>
                </w:p>
              </w:tc>
              <w:tc>
                <w:tcPr>
                  <w:tcW w:w="754" w:type="pct"/>
                  <w:tcBorders>
                    <w:tl2br w:val="nil"/>
                    <w:tr2bl w:val="nil"/>
                  </w:tcBorders>
                  <w:vAlign w:val="center"/>
                </w:tcPr>
                <w:p w14:paraId="5B626963">
                  <w:pPr>
                    <w:pStyle w:val="23"/>
                    <w:bidi w:val="0"/>
                    <w:jc w:val="both"/>
                    <w:rPr>
                      <w:rFonts w:hint="default"/>
                      <w:color w:val="auto"/>
                      <w:lang w:val="en-US" w:eastAsia="zh-CN"/>
                    </w:rPr>
                  </w:pPr>
                  <w:r>
                    <w:rPr>
                      <w:rFonts w:hint="default"/>
                      <w:color w:val="auto"/>
                      <w:lang w:val="en-US" w:eastAsia="zh-CN"/>
                    </w:rPr>
                    <w:t>受项目连接道路施工影响</w:t>
                  </w:r>
                </w:p>
              </w:tc>
              <w:tc>
                <w:tcPr>
                  <w:tcW w:w="1005" w:type="pct"/>
                  <w:tcBorders>
                    <w:tl2br w:val="nil"/>
                    <w:tr2bl w:val="nil"/>
                  </w:tcBorders>
                  <w:vAlign w:val="center"/>
                </w:tcPr>
                <w:p w14:paraId="2C2AB6F2">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89710" cy="1191895"/>
                        <wp:effectExtent l="0" t="0" r="15240" b="825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7"/>
                                <a:stretch>
                                  <a:fillRect/>
                                </a:stretch>
                              </pic:blipFill>
                              <pic:spPr>
                                <a:xfrm>
                                  <a:off x="0" y="0"/>
                                  <a:ext cx="1489710" cy="1191895"/>
                                </a:xfrm>
                                <a:prstGeom prst="rect">
                                  <a:avLst/>
                                </a:prstGeom>
                                <a:noFill/>
                                <a:ln>
                                  <a:noFill/>
                                </a:ln>
                              </pic:spPr>
                            </pic:pic>
                          </a:graphicData>
                        </a:graphic>
                      </wp:inline>
                    </w:drawing>
                  </w:r>
                </w:p>
              </w:tc>
              <w:tc>
                <w:tcPr>
                  <w:tcW w:w="847" w:type="pct"/>
                  <w:tcBorders>
                    <w:tl2br w:val="nil"/>
                    <w:tr2bl w:val="nil"/>
                  </w:tcBorders>
                  <w:vAlign w:val="center"/>
                </w:tcPr>
                <w:p w14:paraId="734239BA">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color w:val="auto"/>
                      <w:lang w:val="en-US" w:eastAsia="zh-CN"/>
                    </w:rPr>
                  </w:pPr>
                  <w:r>
                    <w:rPr>
                      <w:rFonts w:hint="eastAsia"/>
                      <w:color w:val="auto"/>
                      <w:lang w:val="en-US" w:eastAsia="zh-CN"/>
                    </w:rPr>
                    <w:drawing>
                      <wp:inline distT="0" distB="0" distL="114300" distR="114300">
                        <wp:extent cx="1418590" cy="1071245"/>
                        <wp:effectExtent l="0" t="0" r="10160" b="1460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8"/>
                                <a:stretch>
                                  <a:fillRect/>
                                </a:stretch>
                              </pic:blipFill>
                              <pic:spPr>
                                <a:xfrm>
                                  <a:off x="0" y="0"/>
                                  <a:ext cx="1418590" cy="1071245"/>
                                </a:xfrm>
                                <a:prstGeom prst="rect">
                                  <a:avLst/>
                                </a:prstGeom>
                                <a:noFill/>
                                <a:ln>
                                  <a:noFill/>
                                </a:ln>
                              </pic:spPr>
                            </pic:pic>
                          </a:graphicData>
                        </a:graphic>
                      </wp:inline>
                    </w:drawing>
                  </w:r>
                </w:p>
              </w:tc>
            </w:tr>
          </w:tbl>
          <w:p w14:paraId="15C7E7E3">
            <w:pPr>
              <w:pStyle w:val="6"/>
              <w:bidi w:val="0"/>
              <w:rPr>
                <w:rFonts w:hint="eastAsia"/>
                <w:color w:val="auto"/>
              </w:rPr>
            </w:pPr>
          </w:p>
          <w:p w14:paraId="6742AFC9">
            <w:pPr>
              <w:pStyle w:val="6"/>
              <w:bidi w:val="0"/>
              <w:rPr>
                <w:rFonts w:hint="eastAsia"/>
                <w:color w:val="auto"/>
              </w:rPr>
            </w:pPr>
            <w:r>
              <w:rPr>
                <w:rFonts w:hint="eastAsia"/>
                <w:color w:val="auto"/>
              </w:rPr>
              <w:t>本项目</w:t>
            </w:r>
            <w:r>
              <w:rPr>
                <w:rFonts w:hint="eastAsia"/>
                <w:color w:val="auto"/>
                <w:lang w:val="en-US" w:eastAsia="zh-CN"/>
              </w:rPr>
              <w:t>运营期</w:t>
            </w:r>
            <w:r>
              <w:rPr>
                <w:rFonts w:hint="eastAsia"/>
                <w:color w:val="auto"/>
              </w:rPr>
              <w:t>沿线声及大气环境保护目标统计一览表</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256"/>
              <w:gridCol w:w="668"/>
              <w:gridCol w:w="531"/>
              <w:gridCol w:w="2275"/>
              <w:gridCol w:w="440"/>
              <w:gridCol w:w="484"/>
              <w:gridCol w:w="554"/>
              <w:gridCol w:w="843"/>
              <w:gridCol w:w="738"/>
              <w:gridCol w:w="464"/>
              <w:gridCol w:w="685"/>
              <w:gridCol w:w="1793"/>
              <w:gridCol w:w="2536"/>
              <w:gridCol w:w="2297"/>
            </w:tblGrid>
            <w:tr w14:paraId="5426C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23" w:hRule="atLeast"/>
              </w:trPr>
              <w:tc>
                <w:tcPr>
                  <w:tcW w:w="90" w:type="pct"/>
                  <w:vMerge w:val="restart"/>
                  <w:tcBorders>
                    <w:tl2br w:val="nil"/>
                    <w:tr2bl w:val="nil"/>
                  </w:tcBorders>
                  <w:vAlign w:val="center"/>
                </w:tcPr>
                <w:p w14:paraId="4EB13496">
                  <w:pPr>
                    <w:pStyle w:val="23"/>
                    <w:bidi w:val="0"/>
                    <w:rPr>
                      <w:color w:val="auto"/>
                    </w:rPr>
                  </w:pPr>
                  <w:bookmarkStart w:id="3" w:name="_Hlk124142334"/>
                  <w:r>
                    <w:rPr>
                      <w:color w:val="auto"/>
                    </w:rPr>
                    <w:t>序号</w:t>
                  </w:r>
                </w:p>
              </w:tc>
              <w:tc>
                <w:tcPr>
                  <w:tcW w:w="291" w:type="pct"/>
                  <w:vMerge w:val="restart"/>
                  <w:tcBorders>
                    <w:tl2br w:val="nil"/>
                    <w:tr2bl w:val="nil"/>
                  </w:tcBorders>
                  <w:vAlign w:val="center"/>
                </w:tcPr>
                <w:p w14:paraId="14F38D81">
                  <w:pPr>
                    <w:pStyle w:val="23"/>
                    <w:bidi w:val="0"/>
                    <w:rPr>
                      <w:color w:val="auto"/>
                    </w:rPr>
                  </w:pPr>
                  <w:r>
                    <w:rPr>
                      <w:color w:val="auto"/>
                    </w:rPr>
                    <w:t>声环境保护目标名称</w:t>
                  </w:r>
                </w:p>
              </w:tc>
              <w:tc>
                <w:tcPr>
                  <w:tcW w:w="214" w:type="pct"/>
                  <w:vMerge w:val="restart"/>
                  <w:tcBorders>
                    <w:tl2br w:val="nil"/>
                    <w:tr2bl w:val="nil"/>
                  </w:tcBorders>
                  <w:vAlign w:val="center"/>
                </w:tcPr>
                <w:p w14:paraId="7993996A">
                  <w:pPr>
                    <w:pStyle w:val="23"/>
                    <w:bidi w:val="0"/>
                    <w:rPr>
                      <w:color w:val="auto"/>
                    </w:rPr>
                  </w:pPr>
                  <w:r>
                    <w:rPr>
                      <w:color w:val="auto"/>
                    </w:rPr>
                    <w:t>所在路段</w:t>
                  </w:r>
                </w:p>
              </w:tc>
              <w:tc>
                <w:tcPr>
                  <w:tcW w:w="1614" w:type="pct"/>
                  <w:gridSpan w:val="6"/>
                  <w:tcBorders>
                    <w:tl2br w:val="nil"/>
                    <w:tr2bl w:val="nil"/>
                  </w:tcBorders>
                  <w:vAlign w:val="center"/>
                </w:tcPr>
                <w:p w14:paraId="2D28D701">
                  <w:pPr>
                    <w:pStyle w:val="23"/>
                    <w:bidi w:val="0"/>
                    <w:rPr>
                      <w:color w:val="auto"/>
                    </w:rPr>
                  </w:pPr>
                  <w:r>
                    <w:rPr>
                      <w:color w:val="auto"/>
                    </w:rPr>
                    <w:t>相对位置关系</w:t>
                  </w:r>
                </w:p>
              </w:tc>
              <w:tc>
                <w:tcPr>
                  <w:tcW w:w="458" w:type="pct"/>
                  <w:gridSpan w:val="2"/>
                  <w:tcBorders>
                    <w:tl2br w:val="nil"/>
                    <w:tr2bl w:val="nil"/>
                  </w:tcBorders>
                  <w:vAlign w:val="center"/>
                </w:tcPr>
                <w:p w14:paraId="38851F3E">
                  <w:pPr>
                    <w:pStyle w:val="23"/>
                    <w:bidi w:val="0"/>
                    <w:rPr>
                      <w:color w:val="auto"/>
                    </w:rPr>
                  </w:pPr>
                  <w:r>
                    <w:rPr>
                      <w:color w:val="auto"/>
                    </w:rPr>
                    <w:t>不同功能区户数</w:t>
                  </w:r>
                </w:p>
              </w:tc>
              <w:tc>
                <w:tcPr>
                  <w:tcW w:w="647" w:type="pct"/>
                  <w:vMerge w:val="restart"/>
                  <w:tcBorders>
                    <w:tl2br w:val="nil"/>
                    <w:tr2bl w:val="nil"/>
                  </w:tcBorders>
                  <w:vAlign w:val="center"/>
                </w:tcPr>
                <w:p w14:paraId="5BABA875">
                  <w:pPr>
                    <w:pStyle w:val="23"/>
                    <w:bidi w:val="0"/>
                    <w:rPr>
                      <w:color w:val="auto"/>
                    </w:rPr>
                  </w:pPr>
                  <w:r>
                    <w:rPr>
                      <w:rFonts w:hint="eastAsia"/>
                      <w:color w:val="auto"/>
                      <w:lang w:val="en-US" w:eastAsia="zh-CN"/>
                    </w:rPr>
                    <w:t>道路中心线两侧各200m范围</w:t>
                  </w:r>
                  <w:r>
                    <w:rPr>
                      <w:color w:val="auto"/>
                    </w:rPr>
                    <w:t>环境保护目标情况说明</w:t>
                  </w:r>
                </w:p>
              </w:tc>
              <w:tc>
                <w:tcPr>
                  <w:tcW w:w="862" w:type="pct"/>
                  <w:vMerge w:val="restart"/>
                  <w:tcBorders>
                    <w:tl2br w:val="nil"/>
                    <w:tr2bl w:val="nil"/>
                  </w:tcBorders>
                  <w:vAlign w:val="center"/>
                </w:tcPr>
                <w:p w14:paraId="598B8C65">
                  <w:pPr>
                    <w:pStyle w:val="23"/>
                    <w:bidi w:val="0"/>
                    <w:jc w:val="center"/>
                    <w:rPr>
                      <w:color w:val="auto"/>
                    </w:rPr>
                  </w:pPr>
                  <w:r>
                    <w:rPr>
                      <w:rFonts w:hint="eastAsia"/>
                      <w:color w:val="auto"/>
                    </w:rPr>
                    <w:t>卫星影像图</w:t>
                  </w:r>
                </w:p>
              </w:tc>
              <w:tc>
                <w:tcPr>
                  <w:tcW w:w="820" w:type="pct"/>
                  <w:vMerge w:val="restart"/>
                  <w:tcBorders>
                    <w:tl2br w:val="nil"/>
                    <w:tr2bl w:val="nil"/>
                  </w:tcBorders>
                  <w:vAlign w:val="center"/>
                </w:tcPr>
                <w:p w14:paraId="41BCC28F">
                  <w:pPr>
                    <w:pStyle w:val="23"/>
                    <w:bidi w:val="0"/>
                    <w:jc w:val="center"/>
                    <w:rPr>
                      <w:color w:val="auto"/>
                    </w:rPr>
                  </w:pPr>
                  <w:r>
                    <w:rPr>
                      <w:rFonts w:hint="eastAsia"/>
                      <w:color w:val="auto"/>
                    </w:rPr>
                    <w:t>实景照片或规划图</w:t>
                  </w:r>
                </w:p>
              </w:tc>
            </w:tr>
            <w:tr w14:paraId="4F6CA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1300" w:hRule="atLeast"/>
              </w:trPr>
              <w:tc>
                <w:tcPr>
                  <w:tcW w:w="90" w:type="pct"/>
                  <w:vMerge w:val="continue"/>
                  <w:tcBorders>
                    <w:tl2br w:val="nil"/>
                    <w:tr2bl w:val="nil"/>
                  </w:tcBorders>
                  <w:vAlign w:val="center"/>
                </w:tcPr>
                <w:p w14:paraId="479A956C">
                  <w:pPr>
                    <w:pStyle w:val="23"/>
                    <w:bidi w:val="0"/>
                    <w:rPr>
                      <w:color w:val="auto"/>
                    </w:rPr>
                  </w:pPr>
                </w:p>
              </w:tc>
              <w:tc>
                <w:tcPr>
                  <w:tcW w:w="291" w:type="pct"/>
                  <w:vMerge w:val="continue"/>
                  <w:tcBorders>
                    <w:tl2br w:val="nil"/>
                    <w:tr2bl w:val="nil"/>
                  </w:tcBorders>
                  <w:vAlign w:val="center"/>
                </w:tcPr>
                <w:p w14:paraId="34317618">
                  <w:pPr>
                    <w:pStyle w:val="23"/>
                    <w:bidi w:val="0"/>
                    <w:rPr>
                      <w:color w:val="auto"/>
                    </w:rPr>
                  </w:pPr>
                </w:p>
              </w:tc>
              <w:tc>
                <w:tcPr>
                  <w:tcW w:w="214" w:type="pct"/>
                  <w:vMerge w:val="continue"/>
                  <w:tcBorders>
                    <w:tl2br w:val="nil"/>
                    <w:tr2bl w:val="nil"/>
                  </w:tcBorders>
                  <w:vAlign w:val="center"/>
                </w:tcPr>
                <w:p w14:paraId="3C6D81D3">
                  <w:pPr>
                    <w:pStyle w:val="23"/>
                    <w:bidi w:val="0"/>
                    <w:rPr>
                      <w:color w:val="auto"/>
                    </w:rPr>
                  </w:pPr>
                </w:p>
              </w:tc>
              <w:tc>
                <w:tcPr>
                  <w:tcW w:w="405" w:type="pct"/>
                  <w:tcBorders>
                    <w:tl2br w:val="nil"/>
                    <w:tr2bl w:val="nil"/>
                  </w:tcBorders>
                  <w:vAlign w:val="center"/>
                </w:tcPr>
                <w:p w14:paraId="66D43B1D">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起止桩号</w:t>
                  </w:r>
                </w:p>
              </w:tc>
              <w:tc>
                <w:tcPr>
                  <w:tcW w:w="183" w:type="pct"/>
                  <w:tcBorders>
                    <w:tl2br w:val="nil"/>
                    <w:tr2bl w:val="nil"/>
                  </w:tcBorders>
                  <w:vAlign w:val="center"/>
                </w:tcPr>
                <w:p w14:paraId="5A738B19">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ascii="Times New Roman" w:hAnsi="Times New Roman" w:eastAsia="宋体" w:cstheme="minorBidi"/>
                      <w:color w:val="auto"/>
                      <w:kern w:val="2"/>
                      <w:sz w:val="21"/>
                      <w:szCs w:val="21"/>
                      <w:lang w:val="en-US" w:eastAsia="zh-CN" w:bidi="ar-SA"/>
                      <w14:ligatures w14:val="standardContextual"/>
                    </w:rPr>
                    <w:t>方位</w:t>
                  </w:r>
                </w:p>
              </w:tc>
              <w:tc>
                <w:tcPr>
                  <w:tcW w:w="198" w:type="pct"/>
                  <w:tcBorders>
                    <w:tl2br w:val="nil"/>
                    <w:tr2bl w:val="nil"/>
                  </w:tcBorders>
                  <w:vAlign w:val="center"/>
                </w:tcPr>
                <w:p w14:paraId="12559A5E">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线路形式</w:t>
                  </w:r>
                </w:p>
              </w:tc>
              <w:tc>
                <w:tcPr>
                  <w:tcW w:w="222" w:type="pct"/>
                  <w:tcBorders>
                    <w:tl2br w:val="nil"/>
                    <w:tr2bl w:val="nil"/>
                  </w:tcBorders>
                  <w:vAlign w:val="center"/>
                </w:tcPr>
                <w:p w14:paraId="46109CB1">
                  <w:pPr>
                    <w:pStyle w:val="23"/>
                    <w:bidi w:val="0"/>
                    <w:rPr>
                      <w:color w:val="auto"/>
                    </w:rPr>
                  </w:pPr>
                  <w:r>
                    <w:rPr>
                      <w:color w:val="auto"/>
                    </w:rPr>
                    <w:t>与路</w:t>
                  </w:r>
                </w:p>
                <w:p w14:paraId="2538D6FF">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面高差/m</w:t>
                  </w:r>
                </w:p>
              </w:tc>
              <w:tc>
                <w:tcPr>
                  <w:tcW w:w="321" w:type="pct"/>
                  <w:tcBorders>
                    <w:tl2br w:val="nil"/>
                    <w:tr2bl w:val="nil"/>
                  </w:tcBorders>
                  <w:vAlign w:val="center"/>
                </w:tcPr>
                <w:p w14:paraId="2887B1A3">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距道路边界（红线）距离/m</w:t>
                  </w:r>
                </w:p>
              </w:tc>
              <w:tc>
                <w:tcPr>
                  <w:tcW w:w="283" w:type="pct"/>
                  <w:tcBorders>
                    <w:tl2br w:val="nil"/>
                    <w:tr2bl w:val="nil"/>
                  </w:tcBorders>
                  <w:vAlign w:val="center"/>
                </w:tcPr>
                <w:p w14:paraId="754821EF">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距道路中心线距离/m</w:t>
                  </w:r>
                </w:p>
              </w:tc>
              <w:tc>
                <w:tcPr>
                  <w:tcW w:w="191" w:type="pct"/>
                  <w:tcBorders>
                    <w:tl2br w:val="nil"/>
                    <w:tr2bl w:val="nil"/>
                  </w:tcBorders>
                  <w:vAlign w:val="center"/>
                </w:tcPr>
                <w:p w14:paraId="31079B7A">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2类</w:t>
                  </w:r>
                </w:p>
              </w:tc>
              <w:tc>
                <w:tcPr>
                  <w:tcW w:w="267" w:type="pct"/>
                  <w:tcBorders>
                    <w:tl2br w:val="nil"/>
                    <w:tr2bl w:val="nil"/>
                  </w:tcBorders>
                  <w:vAlign w:val="center"/>
                </w:tcPr>
                <w:p w14:paraId="61ED81C4">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4a类</w:t>
                  </w:r>
                </w:p>
              </w:tc>
              <w:tc>
                <w:tcPr>
                  <w:tcW w:w="647" w:type="pct"/>
                  <w:vMerge w:val="continue"/>
                  <w:tcBorders>
                    <w:tl2br w:val="nil"/>
                    <w:tr2bl w:val="nil"/>
                  </w:tcBorders>
                  <w:vAlign w:val="center"/>
                </w:tcPr>
                <w:p w14:paraId="0786F177">
                  <w:pPr>
                    <w:pStyle w:val="23"/>
                    <w:bidi w:val="0"/>
                    <w:rPr>
                      <w:color w:val="auto"/>
                    </w:rPr>
                  </w:pPr>
                </w:p>
              </w:tc>
              <w:tc>
                <w:tcPr>
                  <w:tcW w:w="862" w:type="pct"/>
                  <w:vMerge w:val="continue"/>
                  <w:tcBorders>
                    <w:tl2br w:val="nil"/>
                    <w:tr2bl w:val="nil"/>
                  </w:tcBorders>
                  <w:vAlign w:val="center"/>
                </w:tcPr>
                <w:p w14:paraId="6AC31199">
                  <w:pPr>
                    <w:pStyle w:val="23"/>
                    <w:bidi w:val="0"/>
                    <w:jc w:val="center"/>
                    <w:rPr>
                      <w:color w:val="auto"/>
                    </w:rPr>
                  </w:pPr>
                </w:p>
              </w:tc>
              <w:tc>
                <w:tcPr>
                  <w:tcW w:w="820" w:type="pct"/>
                  <w:vMerge w:val="continue"/>
                  <w:tcBorders>
                    <w:tl2br w:val="nil"/>
                    <w:tr2bl w:val="nil"/>
                  </w:tcBorders>
                  <w:vAlign w:val="center"/>
                </w:tcPr>
                <w:p w14:paraId="22F136E1">
                  <w:pPr>
                    <w:pStyle w:val="23"/>
                    <w:bidi w:val="0"/>
                    <w:jc w:val="center"/>
                    <w:rPr>
                      <w:color w:val="auto"/>
                    </w:rPr>
                  </w:pPr>
                </w:p>
              </w:tc>
            </w:tr>
            <w:tr w14:paraId="47ED6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84" w:hRule="atLeast"/>
              </w:trPr>
              <w:tc>
                <w:tcPr>
                  <w:tcW w:w="90" w:type="pct"/>
                  <w:tcBorders>
                    <w:tl2br w:val="nil"/>
                    <w:tr2bl w:val="nil"/>
                  </w:tcBorders>
                  <w:vAlign w:val="center"/>
                </w:tcPr>
                <w:p w14:paraId="32C24FAF">
                  <w:pPr>
                    <w:pStyle w:val="23"/>
                    <w:bidi w:val="0"/>
                    <w:rPr>
                      <w:rFonts w:hint="eastAsia" w:eastAsia="宋体"/>
                      <w:color w:val="auto"/>
                      <w:lang w:eastAsia="zh-CN"/>
                    </w:rPr>
                  </w:pPr>
                  <w:r>
                    <w:rPr>
                      <w:rFonts w:hint="eastAsia"/>
                      <w:color w:val="auto"/>
                      <w:lang w:val="en-US" w:eastAsia="zh-CN"/>
                    </w:rPr>
                    <w:t>1</w:t>
                  </w:r>
                </w:p>
              </w:tc>
              <w:tc>
                <w:tcPr>
                  <w:tcW w:w="291" w:type="pct"/>
                  <w:tcBorders>
                    <w:tl2br w:val="nil"/>
                    <w:tr2bl w:val="nil"/>
                  </w:tcBorders>
                  <w:vAlign w:val="center"/>
                </w:tcPr>
                <w:p w14:paraId="5C7A1DF3">
                  <w:pPr>
                    <w:pStyle w:val="23"/>
                    <w:bidi w:val="0"/>
                    <w:rPr>
                      <w:rFonts w:hint="eastAsia" w:eastAsia="宋体"/>
                      <w:color w:val="auto"/>
                      <w:lang w:val="en-US" w:eastAsia="zh-CN"/>
                    </w:rPr>
                  </w:pPr>
                  <w:r>
                    <w:rPr>
                      <w:rFonts w:hint="eastAsia"/>
                      <w:color w:val="auto"/>
                      <w:lang w:val="en-US" w:eastAsia="zh-CN"/>
                    </w:rPr>
                    <w:t>4#党校（在建）</w:t>
                  </w:r>
                </w:p>
              </w:tc>
              <w:tc>
                <w:tcPr>
                  <w:tcW w:w="214" w:type="pct"/>
                  <w:tcBorders>
                    <w:tl2br w:val="nil"/>
                    <w:tr2bl w:val="nil"/>
                  </w:tcBorders>
                  <w:vAlign w:val="center"/>
                </w:tcPr>
                <w:p w14:paraId="26BE247F">
                  <w:pPr>
                    <w:pStyle w:val="23"/>
                    <w:bidi w:val="0"/>
                    <w:rPr>
                      <w:color w:val="auto"/>
                    </w:rPr>
                  </w:pPr>
                  <w:r>
                    <w:rPr>
                      <w:rFonts w:hint="eastAsia"/>
                      <w:color w:val="auto"/>
                      <w:lang w:val="en-US" w:eastAsia="zh-CN"/>
                    </w:rPr>
                    <w:t>连接道路</w:t>
                  </w:r>
                </w:p>
              </w:tc>
              <w:tc>
                <w:tcPr>
                  <w:tcW w:w="405" w:type="pct"/>
                  <w:tcBorders>
                    <w:tl2br w:val="nil"/>
                    <w:tr2bl w:val="nil"/>
                  </w:tcBorders>
                  <w:vAlign w:val="center"/>
                </w:tcPr>
                <w:p w14:paraId="3C850900">
                  <w:pPr>
                    <w:pStyle w:val="23"/>
                    <w:bidi w:val="0"/>
                    <w:rPr>
                      <w:rFonts w:hint="default"/>
                      <w:color w:val="auto"/>
                      <w:lang w:val="en-US"/>
                    </w:rPr>
                  </w:pPr>
                  <w:r>
                    <w:rPr>
                      <w:rFonts w:hint="eastAsia"/>
                      <w:color w:val="auto"/>
                      <w:lang w:val="en-US" w:eastAsia="zh-CN"/>
                    </w:rPr>
                    <w:t>K0+050.000~K0+170.000</w:t>
                  </w:r>
                </w:p>
              </w:tc>
              <w:tc>
                <w:tcPr>
                  <w:tcW w:w="183" w:type="pct"/>
                  <w:tcBorders>
                    <w:tl2br w:val="nil"/>
                    <w:tr2bl w:val="nil"/>
                  </w:tcBorders>
                  <w:vAlign w:val="center"/>
                </w:tcPr>
                <w:p w14:paraId="65A4126B">
                  <w:pPr>
                    <w:pStyle w:val="23"/>
                    <w:bidi w:val="0"/>
                    <w:rPr>
                      <w:rFonts w:hint="eastAsia" w:eastAsia="宋体"/>
                      <w:color w:val="auto"/>
                      <w:lang w:val="en-US" w:eastAsia="zh-CN"/>
                    </w:rPr>
                  </w:pPr>
                  <w:r>
                    <w:rPr>
                      <w:rFonts w:hint="eastAsia"/>
                      <w:color w:val="auto"/>
                      <w:lang w:val="en-US" w:eastAsia="zh-CN"/>
                    </w:rPr>
                    <w:t>左侧</w:t>
                  </w:r>
                </w:p>
              </w:tc>
              <w:tc>
                <w:tcPr>
                  <w:tcW w:w="198" w:type="pct"/>
                  <w:tcBorders>
                    <w:tl2br w:val="nil"/>
                    <w:tr2bl w:val="nil"/>
                  </w:tcBorders>
                  <w:vAlign w:val="center"/>
                </w:tcPr>
                <w:p w14:paraId="414B78B9">
                  <w:pPr>
                    <w:pStyle w:val="23"/>
                    <w:bidi w:val="0"/>
                    <w:rPr>
                      <w:color w:val="auto"/>
                    </w:rPr>
                  </w:pPr>
                  <w:r>
                    <w:rPr>
                      <w:rFonts w:hint="eastAsia"/>
                      <w:color w:val="auto"/>
                      <w:lang w:val="en-US" w:eastAsia="zh-CN"/>
                    </w:rPr>
                    <w:t>路基</w:t>
                  </w:r>
                </w:p>
              </w:tc>
              <w:tc>
                <w:tcPr>
                  <w:tcW w:w="222" w:type="pct"/>
                  <w:tcBorders>
                    <w:tl2br w:val="nil"/>
                    <w:tr2bl w:val="nil"/>
                  </w:tcBorders>
                  <w:vAlign w:val="center"/>
                </w:tcPr>
                <w:p w14:paraId="0B33B50E">
                  <w:pPr>
                    <w:pStyle w:val="23"/>
                    <w:bidi w:val="0"/>
                    <w:rPr>
                      <w:rFonts w:hint="eastAsia" w:eastAsia="宋体"/>
                      <w:color w:val="auto"/>
                      <w:lang w:val="en-US" w:eastAsia="zh-CN"/>
                    </w:rPr>
                  </w:pPr>
                  <w:r>
                    <w:rPr>
                      <w:rFonts w:hint="eastAsia"/>
                      <w:color w:val="auto"/>
                      <w:lang w:val="en-US" w:eastAsia="zh-CN"/>
                    </w:rPr>
                    <w:t>0</w:t>
                  </w:r>
                </w:p>
              </w:tc>
              <w:tc>
                <w:tcPr>
                  <w:tcW w:w="321" w:type="pct"/>
                  <w:tcBorders>
                    <w:tl2br w:val="nil"/>
                    <w:tr2bl w:val="nil"/>
                  </w:tcBorders>
                  <w:vAlign w:val="center"/>
                </w:tcPr>
                <w:p w14:paraId="07D27B8C">
                  <w:pPr>
                    <w:pStyle w:val="23"/>
                    <w:bidi w:val="0"/>
                    <w:rPr>
                      <w:rFonts w:hint="default" w:eastAsia="宋体"/>
                      <w:color w:val="auto"/>
                      <w:lang w:val="en-US" w:eastAsia="zh-CN"/>
                    </w:rPr>
                  </w:pPr>
                  <w:r>
                    <w:rPr>
                      <w:rFonts w:hint="eastAsia"/>
                      <w:color w:val="auto"/>
                      <w:lang w:val="en-US" w:eastAsia="zh-CN"/>
                    </w:rPr>
                    <w:t>84</w:t>
                  </w:r>
                </w:p>
              </w:tc>
              <w:tc>
                <w:tcPr>
                  <w:tcW w:w="283" w:type="pct"/>
                  <w:tcBorders>
                    <w:tl2br w:val="nil"/>
                    <w:tr2bl w:val="nil"/>
                  </w:tcBorders>
                  <w:vAlign w:val="center"/>
                </w:tcPr>
                <w:p w14:paraId="75E934EC">
                  <w:pPr>
                    <w:pStyle w:val="23"/>
                    <w:bidi w:val="0"/>
                    <w:rPr>
                      <w:rFonts w:hint="default" w:eastAsia="宋体"/>
                      <w:color w:val="auto"/>
                      <w:lang w:val="en-US" w:eastAsia="zh-CN"/>
                    </w:rPr>
                  </w:pPr>
                  <w:r>
                    <w:rPr>
                      <w:rFonts w:hint="eastAsia"/>
                      <w:color w:val="auto"/>
                      <w:lang w:val="en-US" w:eastAsia="zh-CN"/>
                    </w:rPr>
                    <w:t>90</w:t>
                  </w:r>
                </w:p>
              </w:tc>
              <w:tc>
                <w:tcPr>
                  <w:tcW w:w="191" w:type="pct"/>
                  <w:tcBorders>
                    <w:tl2br w:val="nil"/>
                    <w:tr2bl w:val="nil"/>
                  </w:tcBorders>
                  <w:vAlign w:val="center"/>
                </w:tcPr>
                <w:p w14:paraId="6C5FB4B0">
                  <w:pPr>
                    <w:pStyle w:val="23"/>
                    <w:bidi w:val="0"/>
                    <w:rPr>
                      <w:rFonts w:hint="eastAsia" w:eastAsia="宋体"/>
                      <w:color w:val="auto"/>
                      <w:lang w:val="en-US" w:eastAsia="zh-CN"/>
                    </w:rPr>
                  </w:pPr>
                  <w:r>
                    <w:rPr>
                      <w:rFonts w:hint="eastAsia"/>
                      <w:color w:val="auto"/>
                      <w:lang w:val="en-US" w:eastAsia="zh-CN"/>
                    </w:rPr>
                    <w:t>/</w:t>
                  </w:r>
                </w:p>
              </w:tc>
              <w:tc>
                <w:tcPr>
                  <w:tcW w:w="267" w:type="pct"/>
                  <w:tcBorders>
                    <w:tl2br w:val="nil"/>
                    <w:tr2bl w:val="nil"/>
                  </w:tcBorders>
                  <w:vAlign w:val="center"/>
                </w:tcPr>
                <w:p w14:paraId="1E57098D">
                  <w:pPr>
                    <w:pStyle w:val="23"/>
                    <w:bidi w:val="0"/>
                    <w:rPr>
                      <w:rFonts w:hint="eastAsia" w:eastAsia="宋体"/>
                      <w:color w:val="auto"/>
                      <w:lang w:val="en-US" w:eastAsia="zh-CN"/>
                    </w:rPr>
                  </w:pPr>
                  <w:r>
                    <w:rPr>
                      <w:rFonts w:hint="eastAsia"/>
                      <w:color w:val="auto"/>
                      <w:lang w:val="en-US" w:eastAsia="zh-CN"/>
                    </w:rPr>
                    <w:t>/</w:t>
                  </w:r>
                </w:p>
              </w:tc>
              <w:tc>
                <w:tcPr>
                  <w:tcW w:w="647" w:type="pct"/>
                  <w:tcBorders>
                    <w:tl2br w:val="nil"/>
                    <w:tr2bl w:val="nil"/>
                  </w:tcBorders>
                  <w:vAlign w:val="center"/>
                </w:tcPr>
                <w:p w14:paraId="3C349806">
                  <w:pPr>
                    <w:pStyle w:val="23"/>
                    <w:bidi w:val="0"/>
                    <w:jc w:val="both"/>
                    <w:rPr>
                      <w:rFonts w:hint="default" w:eastAsia="宋体"/>
                      <w:color w:val="auto"/>
                      <w:lang w:val="en-US" w:eastAsia="zh-CN"/>
                    </w:rPr>
                  </w:pPr>
                  <w:r>
                    <w:rPr>
                      <w:rFonts w:hint="eastAsia"/>
                      <w:color w:val="auto"/>
                      <w:lang w:val="en-US" w:eastAsia="zh-CN"/>
                    </w:rPr>
                    <w:t>行政办公，6F，正对道路，办公楼与北侧城市次干路万胜路距离约43m，为2类声功能区。大气环境为二类区。</w:t>
                  </w:r>
                </w:p>
              </w:tc>
              <w:tc>
                <w:tcPr>
                  <w:tcW w:w="862" w:type="pct"/>
                  <w:tcBorders>
                    <w:tl2br w:val="nil"/>
                    <w:tr2bl w:val="nil"/>
                  </w:tcBorders>
                  <w:vAlign w:val="center"/>
                </w:tcPr>
                <w:p w14:paraId="428FBC81">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olor w:val="auto"/>
                    </w:rPr>
                  </w:pPr>
                  <w:r>
                    <w:rPr>
                      <w:rFonts w:hint="eastAsia" w:ascii="Times New Roman" w:hAnsi="Times New Roman" w:eastAsia="宋体"/>
                      <w:color w:val="auto"/>
                      <w:lang w:val="en-US" w:eastAsia="zh-CN"/>
                    </w:rPr>
                    <w:drawing>
                      <wp:inline distT="0" distB="0" distL="114300" distR="114300">
                        <wp:extent cx="1489075" cy="831850"/>
                        <wp:effectExtent l="0" t="0" r="15875" b="635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21"/>
                                <a:stretch>
                                  <a:fillRect/>
                                </a:stretch>
                              </pic:blipFill>
                              <pic:spPr>
                                <a:xfrm>
                                  <a:off x="0" y="0"/>
                                  <a:ext cx="1489075" cy="831850"/>
                                </a:xfrm>
                                <a:prstGeom prst="rect">
                                  <a:avLst/>
                                </a:prstGeom>
                                <a:noFill/>
                                <a:ln>
                                  <a:noFill/>
                                </a:ln>
                              </pic:spPr>
                            </pic:pic>
                          </a:graphicData>
                        </a:graphic>
                      </wp:inline>
                    </w:drawing>
                  </w:r>
                </w:p>
              </w:tc>
              <w:tc>
                <w:tcPr>
                  <w:tcW w:w="820" w:type="pct"/>
                  <w:tcBorders>
                    <w:tl2br w:val="nil"/>
                    <w:tr2bl w:val="nil"/>
                  </w:tcBorders>
                  <w:vAlign w:val="center"/>
                </w:tcPr>
                <w:p w14:paraId="3F3CC31A">
                  <w:pPr>
                    <w:pStyle w:val="23"/>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olor w:val="auto"/>
                    </w:rPr>
                  </w:pPr>
                  <w:r>
                    <w:rPr>
                      <w:rFonts w:hint="eastAsia" w:ascii="Times New Roman" w:hAnsi="Times New Roman" w:eastAsia="宋体"/>
                      <w:color w:val="auto"/>
                      <w:lang w:val="en-US" w:eastAsia="zh-CN"/>
                    </w:rPr>
                    <w:drawing>
                      <wp:inline distT="0" distB="0" distL="114300" distR="114300">
                        <wp:extent cx="1417320" cy="1043940"/>
                        <wp:effectExtent l="0" t="0" r="11430" b="381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2"/>
                                <a:stretch>
                                  <a:fillRect/>
                                </a:stretch>
                              </pic:blipFill>
                              <pic:spPr>
                                <a:xfrm>
                                  <a:off x="0" y="0"/>
                                  <a:ext cx="1417320" cy="1043940"/>
                                </a:xfrm>
                                <a:prstGeom prst="rect">
                                  <a:avLst/>
                                </a:prstGeom>
                                <a:noFill/>
                                <a:ln>
                                  <a:noFill/>
                                </a:ln>
                              </pic:spPr>
                            </pic:pic>
                          </a:graphicData>
                        </a:graphic>
                      </wp:inline>
                    </w:drawing>
                  </w:r>
                  <w:r>
                    <w:rPr>
                      <w:rFonts w:ascii="Times New Roman" w:hAnsi="Times New Roman" w:eastAsia="宋体"/>
                      <w:color w:val="auto"/>
                    </w:rPr>
                    <mc:AlternateContent>
                      <mc:Choice Requires="wps">
                        <w:drawing>
                          <wp:anchor distT="0" distB="0" distL="114300" distR="114300" simplePos="0" relativeHeight="251660288" behindDoc="0" locked="0" layoutInCell="1" allowOverlap="1">
                            <wp:simplePos x="0" y="0"/>
                            <wp:positionH relativeFrom="column">
                              <wp:posOffset>1282700</wp:posOffset>
                            </wp:positionH>
                            <wp:positionV relativeFrom="paragraph">
                              <wp:posOffset>271145</wp:posOffset>
                            </wp:positionV>
                            <wp:extent cx="401955" cy="25590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01955" cy="255905"/>
                                    </a:xfrm>
                                    <a:prstGeom prst="rect">
                                      <a:avLst/>
                                    </a:prstGeom>
                                    <a:noFill/>
                                    <a:ln w="6350">
                                      <a:noFill/>
                                    </a:ln>
                                  </wps:spPr>
                                  <wps:txbx>
                                    <w:txbxContent>
                                      <w:p w14:paraId="4903B351">
                                        <w:pPr>
                                          <w:ind w:firstLine="480"/>
                                        </w:pPr>
                                        <w: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pt;margin-top:21.35pt;height:20.15pt;width:31.65pt;z-index:251660288;mso-width-relative:page;mso-height-relative:page;" filled="f" stroked="f" coordsize="21600,21600" o:gfxdata="UEsDBAoAAAAAAIdO4kAAAAAAAAAAAAAAAAAEAAAAZHJzL1BLAwQUAAAACACHTuJA+4JdvNoAAAAJ&#10;AQAADwAAAGRycy9kb3ducmV2LnhtbE2Py07DMBRE90j8g3WR2FG7Li1RmpsKRaqQECxaumHnxLdJ&#10;VD9C7D7g6zGrshzNaOZMsbpYw040ht47hOlEACPXeN27FmH3sX7IgIWonFbGO0L4pgCr8vamULn2&#10;Z7eh0za2LJW4kCuELsYh5zw0HVkVJn4gl7y9H62KSY4t16M6p3JruBRiwa3qXVro1EBVR81he7QI&#10;r9X6XW1qabMfU7287Z+Hr93nHPH+biqWwCJd4jUMf/gJHcrEVPuj04EZBClk+hIRHuUTsBSQi/kM&#10;WI2QzQTwsuD/H5S/UEsDBBQAAAAIAIdO4kBsOuEcPAIAAGcEAAAOAAAAZHJzL2Uyb0RvYy54bWyt&#10;VMGO0zAQvSPxD5bvNGlpdmnVdFW2KkJasSsVxNl1nCaS7TG226R8APwBJy7c+a5+B2Mn7VYLhz1w&#10;ccczkzd+b2Y6u2mVJHthXQ06p8NBSonQHIpab3P66ePq1RtKnGe6YBK0yOlBOHozf/li1pipGEEF&#10;shCWIIh208bktPLeTJPE8Uoo5gZghMZgCVYxj1e7TQrLGkRXMhml6VXSgC2MBS6cQ++yC9Ie0T4H&#10;EMqy5mIJfKeE9h2qFZJ5pOSq2jg6j68tS8H9fVk64YnMKTL18cQiaG/CmcxnbLq1zFQ175/AnvOE&#10;J5wUqzUWPUMtmWdkZ+u/oFTNLTgo/YCDSjoiURFkMUyfaLOumBGRC0rtzFl09/9g+Yf9gyV1kdPR&#10;NSWaKez48cf348/fx1/fCPpQoMa4KeatDWb69i20ODYnv0Nn4N2WVoVfZEQwjvIezvKK1hOOznE6&#10;nGQZJRxDoyybpFlASR4/Ntb5dwIUCUZOLXYvisr2d853qaeUUEvDqpYydlBq0uT06nWWxg/OEQSX&#10;GmsECt1Tg+XbTdvz2kBxQFoWuslwhq9qLH7HnH9gFkcBmeCy+Hs8SglYBHqLkgrs13/5Qz52CKOU&#10;NDhaOXVfdswKSuR7jb2bDMfjMIvxMs6uR3ixl5HNZUTv1C3g9A5xLQ2PZsj38mSWFtRn3KlFqIoh&#10;pjnWzqk/mbe+G3jcSS4Wi5iE02eYv9NrwwN0J+di56Gso9JBpk6bXj2cv9irflfCgF/eY9bj/8P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uCXbzaAAAACQEAAA8AAAAAAAAAAQAgAAAAIgAAAGRy&#10;cy9kb3ducmV2LnhtbFBLAQIUABQAAAAIAIdO4kBsOuEcPAIAAGcEAAAOAAAAAAAAAAEAIAAAACkB&#10;AABkcnMvZTJvRG9jLnhtbFBLBQYAAAAABgAGAFkBAADXBQAAAAA=&#10;">
                            <v:fill on="f" focussize="0,0"/>
                            <v:stroke on="f" weight="0.5pt"/>
                            <v:imagedata o:title=""/>
                            <o:lock v:ext="edit" aspectratio="f"/>
                            <v:textbox>
                              <w:txbxContent>
                                <w:p w14:paraId="4903B351">
                                  <w:pPr>
                                    <w:ind w:firstLine="480"/>
                                  </w:pPr>
                                  <w:r>
                                    <w:t>2#</w:t>
                                  </w:r>
                                </w:p>
                              </w:txbxContent>
                            </v:textbox>
                          </v:shape>
                        </w:pict>
                      </mc:Fallback>
                    </mc:AlternateContent>
                  </w:r>
                </w:p>
              </w:tc>
            </w:tr>
            <w:tr w14:paraId="17531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84" w:hRule="atLeast"/>
              </w:trPr>
              <w:tc>
                <w:tcPr>
                  <w:tcW w:w="90" w:type="pct"/>
                  <w:tcBorders>
                    <w:tl2br w:val="nil"/>
                    <w:tr2bl w:val="nil"/>
                  </w:tcBorders>
                  <w:vAlign w:val="center"/>
                </w:tcPr>
                <w:p w14:paraId="205A88C3">
                  <w:pPr>
                    <w:pStyle w:val="23"/>
                    <w:bidi w:val="0"/>
                    <w:rPr>
                      <w:rFonts w:hint="eastAsia" w:eastAsia="宋体"/>
                      <w:color w:val="auto"/>
                      <w:lang w:val="en-US" w:eastAsia="zh-CN"/>
                    </w:rPr>
                  </w:pPr>
                  <w:r>
                    <w:rPr>
                      <w:rFonts w:hint="eastAsia"/>
                      <w:color w:val="auto"/>
                      <w:lang w:val="en-US" w:eastAsia="zh-CN"/>
                    </w:rPr>
                    <w:t>2</w:t>
                  </w:r>
                </w:p>
              </w:tc>
              <w:tc>
                <w:tcPr>
                  <w:tcW w:w="291" w:type="pct"/>
                  <w:tcBorders>
                    <w:tl2br w:val="nil"/>
                    <w:tr2bl w:val="nil"/>
                  </w:tcBorders>
                  <w:vAlign w:val="center"/>
                </w:tcPr>
                <w:p w14:paraId="582E5713">
                  <w:pPr>
                    <w:pStyle w:val="23"/>
                    <w:bidi w:val="0"/>
                    <w:rPr>
                      <w:rFonts w:hint="default" w:eastAsia="宋体"/>
                      <w:color w:val="auto"/>
                      <w:lang w:val="en-US" w:eastAsia="zh-CN"/>
                    </w:rPr>
                  </w:pPr>
                  <w:r>
                    <w:rPr>
                      <w:rFonts w:hint="eastAsia"/>
                      <w:color w:val="auto"/>
                      <w:lang w:val="en-US" w:eastAsia="zh-CN"/>
                    </w:rPr>
                    <w:t>5#规划行政办公用地</w:t>
                  </w:r>
                </w:p>
              </w:tc>
              <w:tc>
                <w:tcPr>
                  <w:tcW w:w="214" w:type="pct"/>
                  <w:tcBorders>
                    <w:tl2br w:val="nil"/>
                    <w:tr2bl w:val="nil"/>
                  </w:tcBorders>
                  <w:vAlign w:val="center"/>
                </w:tcPr>
                <w:p w14:paraId="30D6791E">
                  <w:pPr>
                    <w:pStyle w:val="23"/>
                    <w:bidi w:val="0"/>
                    <w:rPr>
                      <w:rFonts w:hint="default"/>
                      <w:color w:val="auto"/>
                      <w:lang w:val="en-US"/>
                    </w:rPr>
                  </w:pPr>
                  <w:r>
                    <w:rPr>
                      <w:rFonts w:hint="eastAsia"/>
                      <w:color w:val="auto"/>
                      <w:lang w:val="en-US" w:eastAsia="zh-CN"/>
                    </w:rPr>
                    <w:t>连接道路起点</w:t>
                  </w:r>
                </w:p>
              </w:tc>
              <w:tc>
                <w:tcPr>
                  <w:tcW w:w="405" w:type="pct"/>
                  <w:tcBorders>
                    <w:tl2br w:val="nil"/>
                    <w:tr2bl w:val="nil"/>
                  </w:tcBorders>
                  <w:vAlign w:val="center"/>
                </w:tcPr>
                <w:p w14:paraId="7F6EB603">
                  <w:pPr>
                    <w:pStyle w:val="23"/>
                    <w:bidi w:val="0"/>
                    <w:rPr>
                      <w:color w:val="auto"/>
                    </w:rPr>
                  </w:pPr>
                  <w:r>
                    <w:rPr>
                      <w:rFonts w:hint="eastAsia"/>
                      <w:color w:val="auto"/>
                      <w:lang w:val="en-US" w:eastAsia="zh-CN"/>
                    </w:rPr>
                    <w:t>K0+000.000</w:t>
                  </w:r>
                </w:p>
              </w:tc>
              <w:tc>
                <w:tcPr>
                  <w:tcW w:w="183" w:type="pct"/>
                  <w:tcBorders>
                    <w:tl2br w:val="nil"/>
                    <w:tr2bl w:val="nil"/>
                  </w:tcBorders>
                  <w:vAlign w:val="center"/>
                </w:tcPr>
                <w:p w14:paraId="2D404B59">
                  <w:pPr>
                    <w:pStyle w:val="23"/>
                    <w:bidi w:val="0"/>
                    <w:rPr>
                      <w:rFonts w:hint="eastAsia" w:eastAsia="宋体"/>
                      <w:color w:val="auto"/>
                      <w:lang w:val="en-US" w:eastAsia="zh-CN"/>
                    </w:rPr>
                  </w:pPr>
                  <w:r>
                    <w:rPr>
                      <w:rFonts w:hint="eastAsia"/>
                      <w:color w:val="auto"/>
                      <w:lang w:val="en-US" w:eastAsia="zh-CN"/>
                    </w:rPr>
                    <w:t>左侧</w:t>
                  </w:r>
                </w:p>
              </w:tc>
              <w:tc>
                <w:tcPr>
                  <w:tcW w:w="198" w:type="pct"/>
                  <w:tcBorders>
                    <w:tl2br w:val="nil"/>
                    <w:tr2bl w:val="nil"/>
                  </w:tcBorders>
                  <w:vAlign w:val="center"/>
                </w:tcPr>
                <w:p w14:paraId="5CDDA1E4">
                  <w:pPr>
                    <w:pStyle w:val="23"/>
                    <w:bidi w:val="0"/>
                    <w:rPr>
                      <w:color w:val="auto"/>
                    </w:rPr>
                  </w:pPr>
                  <w:r>
                    <w:rPr>
                      <w:rFonts w:hint="eastAsia"/>
                      <w:color w:val="auto"/>
                      <w:lang w:val="en-US" w:eastAsia="zh-CN"/>
                    </w:rPr>
                    <w:t>路基</w:t>
                  </w:r>
                </w:p>
              </w:tc>
              <w:tc>
                <w:tcPr>
                  <w:tcW w:w="222" w:type="pct"/>
                  <w:tcBorders>
                    <w:tl2br w:val="nil"/>
                    <w:tr2bl w:val="nil"/>
                  </w:tcBorders>
                  <w:vAlign w:val="center"/>
                </w:tcPr>
                <w:p w14:paraId="7CC801E1">
                  <w:pPr>
                    <w:pStyle w:val="23"/>
                    <w:bidi w:val="0"/>
                    <w:rPr>
                      <w:rFonts w:hint="default" w:eastAsia="宋体"/>
                      <w:color w:val="auto"/>
                      <w:lang w:val="en-US" w:eastAsia="zh-CN"/>
                    </w:rPr>
                  </w:pPr>
                  <w:r>
                    <w:rPr>
                      <w:rFonts w:hint="eastAsia"/>
                      <w:color w:val="auto"/>
                      <w:lang w:val="en-US" w:eastAsia="zh-CN"/>
                    </w:rPr>
                    <w:t>+1</w:t>
                  </w:r>
                </w:p>
              </w:tc>
              <w:tc>
                <w:tcPr>
                  <w:tcW w:w="321" w:type="pct"/>
                  <w:tcBorders>
                    <w:tl2br w:val="nil"/>
                    <w:tr2bl w:val="nil"/>
                  </w:tcBorders>
                  <w:vAlign w:val="center"/>
                </w:tcPr>
                <w:p w14:paraId="449D1943">
                  <w:pPr>
                    <w:pStyle w:val="23"/>
                    <w:bidi w:val="0"/>
                    <w:rPr>
                      <w:rFonts w:hint="default" w:eastAsia="宋体"/>
                      <w:color w:val="auto"/>
                      <w:lang w:val="en-US" w:eastAsia="zh-CN"/>
                    </w:rPr>
                  </w:pPr>
                  <w:r>
                    <w:rPr>
                      <w:rFonts w:hint="eastAsia"/>
                      <w:color w:val="auto"/>
                      <w:lang w:val="en-US" w:eastAsia="zh-CN"/>
                    </w:rPr>
                    <w:t>53</w:t>
                  </w:r>
                </w:p>
              </w:tc>
              <w:tc>
                <w:tcPr>
                  <w:tcW w:w="283" w:type="pct"/>
                  <w:tcBorders>
                    <w:tl2br w:val="nil"/>
                    <w:tr2bl w:val="nil"/>
                  </w:tcBorders>
                  <w:vAlign w:val="center"/>
                </w:tcPr>
                <w:p w14:paraId="4F4349D2">
                  <w:pPr>
                    <w:pStyle w:val="23"/>
                    <w:bidi w:val="0"/>
                    <w:rPr>
                      <w:rFonts w:hint="default" w:eastAsia="宋体"/>
                      <w:color w:val="auto"/>
                      <w:lang w:val="en-US" w:eastAsia="zh-CN"/>
                    </w:rPr>
                  </w:pPr>
                  <w:r>
                    <w:rPr>
                      <w:rFonts w:hint="eastAsia"/>
                      <w:color w:val="auto"/>
                      <w:lang w:val="en-US" w:eastAsia="zh-CN"/>
                    </w:rPr>
                    <w:t>67</w:t>
                  </w:r>
                </w:p>
              </w:tc>
              <w:tc>
                <w:tcPr>
                  <w:tcW w:w="191" w:type="pct"/>
                  <w:tcBorders>
                    <w:tl2br w:val="nil"/>
                    <w:tr2bl w:val="nil"/>
                  </w:tcBorders>
                  <w:vAlign w:val="center"/>
                </w:tcPr>
                <w:p w14:paraId="0B7C03B4">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w:t>
                  </w:r>
                </w:p>
              </w:tc>
              <w:tc>
                <w:tcPr>
                  <w:tcW w:w="267" w:type="pct"/>
                  <w:tcBorders>
                    <w:tl2br w:val="nil"/>
                    <w:tr2bl w:val="nil"/>
                  </w:tcBorders>
                  <w:vAlign w:val="center"/>
                </w:tcPr>
                <w:p w14:paraId="77AA3FBC">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w:t>
                  </w:r>
                </w:p>
              </w:tc>
              <w:tc>
                <w:tcPr>
                  <w:tcW w:w="647" w:type="pct"/>
                  <w:tcBorders>
                    <w:tl2br w:val="nil"/>
                    <w:tr2bl w:val="nil"/>
                  </w:tcBorders>
                  <w:vAlign w:val="center"/>
                </w:tcPr>
                <w:p w14:paraId="23677D9D">
                  <w:pPr>
                    <w:pStyle w:val="23"/>
                    <w:bidi w:val="0"/>
                    <w:jc w:val="both"/>
                    <w:rPr>
                      <w:color w:val="auto"/>
                    </w:rPr>
                  </w:pPr>
                  <w:r>
                    <w:rPr>
                      <w:rFonts w:hint="eastAsia"/>
                      <w:color w:val="auto"/>
                      <w:lang w:val="en-US" w:eastAsia="zh-CN"/>
                    </w:rPr>
                    <w:t>规划行政办公，南侧临城市次干路万胜路，临路一侧为4a类，其余为2类声环境功能区。大气环境为二类区。</w:t>
                  </w:r>
                </w:p>
              </w:tc>
              <w:tc>
                <w:tcPr>
                  <w:tcW w:w="862" w:type="pct"/>
                  <w:tcBorders>
                    <w:tl2br w:val="nil"/>
                    <w:tr2bl w:val="nil"/>
                  </w:tcBorders>
                  <w:vAlign w:val="center"/>
                </w:tcPr>
                <w:p w14:paraId="77AEE614">
                  <w:pPr>
                    <w:pStyle w:val="23"/>
                    <w:keepNext w:val="0"/>
                    <w:keepLines w:val="0"/>
                    <w:pageBreakBefore w:val="0"/>
                    <w:widowControl w:val="0"/>
                    <w:kinsoku/>
                    <w:wordWrap/>
                    <w:overflowPunct/>
                    <w:topLinePunct w:val="0"/>
                    <w:autoSpaceDE/>
                    <w:autoSpaceDN/>
                    <w:bidi w:val="0"/>
                    <w:adjustRightInd/>
                    <w:snapToGrid/>
                    <w:spacing w:line="240" w:lineRule="atLeast"/>
                    <w:textAlignment w:val="auto"/>
                    <w:rPr>
                      <w:color w:val="auto"/>
                    </w:rPr>
                  </w:pPr>
                  <w:r>
                    <w:rPr>
                      <w:color w:val="auto"/>
                    </w:rPr>
                    <w:drawing>
                      <wp:inline distT="0" distB="0" distL="114300" distR="114300">
                        <wp:extent cx="1490345" cy="991870"/>
                        <wp:effectExtent l="0" t="0" r="14605" b="177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3"/>
                                <a:stretch>
                                  <a:fillRect/>
                                </a:stretch>
                              </pic:blipFill>
                              <pic:spPr>
                                <a:xfrm>
                                  <a:off x="0" y="0"/>
                                  <a:ext cx="1490345" cy="991870"/>
                                </a:xfrm>
                                <a:prstGeom prst="rect">
                                  <a:avLst/>
                                </a:prstGeom>
                                <a:noFill/>
                                <a:ln>
                                  <a:noFill/>
                                </a:ln>
                              </pic:spPr>
                            </pic:pic>
                          </a:graphicData>
                        </a:graphic>
                      </wp:inline>
                    </w:drawing>
                  </w:r>
                </w:p>
              </w:tc>
              <w:tc>
                <w:tcPr>
                  <w:tcW w:w="820" w:type="pct"/>
                  <w:tcBorders>
                    <w:tl2br w:val="nil"/>
                    <w:tr2bl w:val="nil"/>
                  </w:tcBorders>
                  <w:vAlign w:val="center"/>
                </w:tcPr>
                <w:p w14:paraId="707641F5">
                  <w:pPr>
                    <w:pStyle w:val="23"/>
                    <w:keepNext w:val="0"/>
                    <w:keepLines w:val="0"/>
                    <w:pageBreakBefore w:val="0"/>
                    <w:widowControl w:val="0"/>
                    <w:kinsoku/>
                    <w:wordWrap/>
                    <w:overflowPunct/>
                    <w:topLinePunct w:val="0"/>
                    <w:autoSpaceDE/>
                    <w:autoSpaceDN/>
                    <w:bidi w:val="0"/>
                    <w:adjustRightInd/>
                    <w:snapToGrid/>
                    <w:spacing w:line="240" w:lineRule="atLeast"/>
                    <w:textAlignment w:val="auto"/>
                    <w:rPr>
                      <w:color w:val="auto"/>
                    </w:rPr>
                  </w:pPr>
                  <w:r>
                    <w:rPr>
                      <w:color w:val="auto"/>
                    </w:rPr>
                    <w:drawing>
                      <wp:inline distT="0" distB="0" distL="114300" distR="114300">
                        <wp:extent cx="1417955" cy="1086485"/>
                        <wp:effectExtent l="0" t="0" r="10795" b="1841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4"/>
                                <a:stretch>
                                  <a:fillRect/>
                                </a:stretch>
                              </pic:blipFill>
                              <pic:spPr>
                                <a:xfrm>
                                  <a:off x="0" y="0"/>
                                  <a:ext cx="1417955" cy="1086485"/>
                                </a:xfrm>
                                <a:prstGeom prst="rect">
                                  <a:avLst/>
                                </a:prstGeom>
                                <a:noFill/>
                                <a:ln>
                                  <a:noFill/>
                                </a:ln>
                              </pic:spPr>
                            </pic:pic>
                          </a:graphicData>
                        </a:graphic>
                      </wp:inline>
                    </w:drawing>
                  </w:r>
                </w:p>
              </w:tc>
            </w:tr>
            <w:tr w14:paraId="5FF76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84" w:hRule="atLeast"/>
              </w:trPr>
              <w:tc>
                <w:tcPr>
                  <w:tcW w:w="90" w:type="pct"/>
                  <w:vMerge w:val="restart"/>
                  <w:tcBorders>
                    <w:tl2br w:val="nil"/>
                    <w:tr2bl w:val="nil"/>
                  </w:tcBorders>
                  <w:vAlign w:val="center"/>
                </w:tcPr>
                <w:p w14:paraId="290D214C">
                  <w:pPr>
                    <w:pStyle w:val="23"/>
                    <w:bidi w:val="0"/>
                    <w:rPr>
                      <w:rFonts w:hint="default"/>
                      <w:color w:val="auto"/>
                      <w:lang w:val="en-US" w:eastAsia="zh-CN"/>
                    </w:rPr>
                  </w:pPr>
                  <w:r>
                    <w:rPr>
                      <w:rFonts w:hint="eastAsia"/>
                      <w:color w:val="auto"/>
                      <w:lang w:val="en-US" w:eastAsia="zh-CN"/>
                    </w:rPr>
                    <w:t>3</w:t>
                  </w:r>
                </w:p>
              </w:tc>
              <w:tc>
                <w:tcPr>
                  <w:tcW w:w="291" w:type="pct"/>
                  <w:vMerge w:val="restart"/>
                  <w:tcBorders>
                    <w:tl2br w:val="nil"/>
                    <w:tr2bl w:val="nil"/>
                  </w:tcBorders>
                  <w:vAlign w:val="center"/>
                </w:tcPr>
                <w:p w14:paraId="3796A7FC">
                  <w:pPr>
                    <w:pStyle w:val="23"/>
                    <w:bidi w:val="0"/>
                    <w:rPr>
                      <w:rFonts w:hint="default"/>
                      <w:color w:val="auto"/>
                      <w:lang w:val="en-US" w:eastAsia="zh-CN"/>
                    </w:rPr>
                  </w:pPr>
                  <w:r>
                    <w:rPr>
                      <w:rFonts w:hint="eastAsia"/>
                      <w:color w:val="auto"/>
                      <w:lang w:val="en-US" w:eastAsia="zh-CN"/>
                    </w:rPr>
                    <w:t>6#西宸御府</w:t>
                  </w:r>
                </w:p>
              </w:tc>
              <w:tc>
                <w:tcPr>
                  <w:tcW w:w="214" w:type="pct"/>
                  <w:tcBorders>
                    <w:tl2br w:val="nil"/>
                    <w:tr2bl w:val="nil"/>
                  </w:tcBorders>
                  <w:vAlign w:val="center"/>
                </w:tcPr>
                <w:p w14:paraId="115F3760">
                  <w:pPr>
                    <w:pStyle w:val="23"/>
                    <w:bidi w:val="0"/>
                    <w:rPr>
                      <w:rFonts w:hint="default"/>
                      <w:color w:val="auto"/>
                      <w:lang w:val="en-US" w:eastAsia="zh-CN"/>
                    </w:rPr>
                  </w:pPr>
                  <w:r>
                    <w:rPr>
                      <w:rFonts w:hint="eastAsia"/>
                      <w:color w:val="auto"/>
                      <w:lang w:val="en-US" w:eastAsia="zh-CN"/>
                    </w:rPr>
                    <w:t>1号桥</w:t>
                  </w:r>
                </w:p>
              </w:tc>
              <w:tc>
                <w:tcPr>
                  <w:tcW w:w="405" w:type="pct"/>
                  <w:tcBorders>
                    <w:tl2br w:val="nil"/>
                    <w:tr2bl w:val="nil"/>
                  </w:tcBorders>
                  <w:vAlign w:val="center"/>
                </w:tcPr>
                <w:p w14:paraId="66095DAA">
                  <w:pPr>
                    <w:pStyle w:val="23"/>
                    <w:bidi w:val="0"/>
                    <w:rPr>
                      <w:rFonts w:hint="default"/>
                      <w:color w:val="auto"/>
                      <w:lang w:val="en-US" w:eastAsia="zh-CN"/>
                    </w:rPr>
                  </w:pPr>
                  <w:r>
                    <w:rPr>
                      <w:rFonts w:hint="eastAsia"/>
                      <w:color w:val="auto"/>
                      <w:lang w:val="en-US" w:eastAsia="zh-CN"/>
                    </w:rPr>
                    <w:t>K0+035.684~K0+052.009</w:t>
                  </w:r>
                </w:p>
              </w:tc>
              <w:tc>
                <w:tcPr>
                  <w:tcW w:w="183" w:type="pct"/>
                  <w:tcBorders>
                    <w:tl2br w:val="nil"/>
                    <w:tr2bl w:val="nil"/>
                  </w:tcBorders>
                  <w:vAlign w:val="center"/>
                </w:tcPr>
                <w:p w14:paraId="545F77FD">
                  <w:pPr>
                    <w:pStyle w:val="23"/>
                    <w:bidi w:val="0"/>
                    <w:rPr>
                      <w:rFonts w:hint="default"/>
                      <w:color w:val="auto"/>
                      <w:lang w:val="en-US" w:eastAsia="zh-CN"/>
                    </w:rPr>
                  </w:pPr>
                  <w:r>
                    <w:rPr>
                      <w:rFonts w:hint="eastAsia"/>
                      <w:color w:val="auto"/>
                      <w:lang w:val="en-US" w:eastAsia="zh-CN"/>
                    </w:rPr>
                    <w:t>左侧</w:t>
                  </w:r>
                </w:p>
              </w:tc>
              <w:tc>
                <w:tcPr>
                  <w:tcW w:w="198" w:type="pct"/>
                  <w:tcBorders>
                    <w:tl2br w:val="nil"/>
                    <w:tr2bl w:val="nil"/>
                  </w:tcBorders>
                  <w:vAlign w:val="center"/>
                </w:tcPr>
                <w:p w14:paraId="6D43B5A6">
                  <w:pPr>
                    <w:pStyle w:val="23"/>
                    <w:bidi w:val="0"/>
                    <w:rPr>
                      <w:rFonts w:hint="default"/>
                      <w:color w:val="auto"/>
                      <w:lang w:val="en-US" w:eastAsia="zh-CN"/>
                    </w:rPr>
                  </w:pPr>
                  <w:r>
                    <w:rPr>
                      <w:rFonts w:hint="eastAsia"/>
                      <w:color w:val="auto"/>
                      <w:lang w:val="en-US" w:eastAsia="zh-CN"/>
                    </w:rPr>
                    <w:t>桥梁、路基</w:t>
                  </w:r>
                </w:p>
              </w:tc>
              <w:tc>
                <w:tcPr>
                  <w:tcW w:w="222" w:type="pct"/>
                  <w:tcBorders>
                    <w:tl2br w:val="nil"/>
                    <w:tr2bl w:val="nil"/>
                  </w:tcBorders>
                  <w:vAlign w:val="center"/>
                </w:tcPr>
                <w:p w14:paraId="0987BF1E">
                  <w:pPr>
                    <w:pStyle w:val="23"/>
                    <w:bidi w:val="0"/>
                    <w:rPr>
                      <w:rFonts w:hint="default"/>
                      <w:color w:val="auto"/>
                      <w:lang w:val="en-US" w:eastAsia="zh-CN"/>
                    </w:rPr>
                  </w:pPr>
                  <w:r>
                    <w:rPr>
                      <w:rFonts w:hint="eastAsia"/>
                      <w:color w:val="auto"/>
                      <w:lang w:val="en-US" w:eastAsia="zh-CN"/>
                    </w:rPr>
                    <w:t>+11</w:t>
                  </w:r>
                </w:p>
              </w:tc>
              <w:tc>
                <w:tcPr>
                  <w:tcW w:w="321" w:type="pct"/>
                  <w:tcBorders>
                    <w:tl2br w:val="nil"/>
                    <w:tr2bl w:val="nil"/>
                  </w:tcBorders>
                  <w:vAlign w:val="center"/>
                </w:tcPr>
                <w:p w14:paraId="44B9A069">
                  <w:pPr>
                    <w:pStyle w:val="23"/>
                    <w:bidi w:val="0"/>
                    <w:rPr>
                      <w:rFonts w:hint="default"/>
                      <w:color w:val="auto"/>
                      <w:lang w:val="en-US" w:eastAsia="zh-CN"/>
                    </w:rPr>
                  </w:pPr>
                  <w:r>
                    <w:rPr>
                      <w:rFonts w:hint="eastAsia"/>
                      <w:color w:val="auto"/>
                      <w:lang w:val="en-US" w:eastAsia="zh-CN"/>
                    </w:rPr>
                    <w:t>101</w:t>
                  </w:r>
                </w:p>
              </w:tc>
              <w:tc>
                <w:tcPr>
                  <w:tcW w:w="283" w:type="pct"/>
                  <w:tcBorders>
                    <w:tl2br w:val="nil"/>
                    <w:tr2bl w:val="nil"/>
                  </w:tcBorders>
                  <w:vAlign w:val="center"/>
                </w:tcPr>
                <w:p w14:paraId="20A86D6F">
                  <w:pPr>
                    <w:pStyle w:val="23"/>
                    <w:bidi w:val="0"/>
                    <w:rPr>
                      <w:rFonts w:hint="default"/>
                      <w:color w:val="auto"/>
                      <w:lang w:val="en-US" w:eastAsia="zh-CN"/>
                    </w:rPr>
                  </w:pPr>
                  <w:r>
                    <w:rPr>
                      <w:rFonts w:hint="eastAsia"/>
                      <w:color w:val="auto"/>
                      <w:lang w:val="en-US" w:eastAsia="zh-CN"/>
                    </w:rPr>
                    <w:t>138</w:t>
                  </w:r>
                </w:p>
              </w:tc>
              <w:tc>
                <w:tcPr>
                  <w:tcW w:w="191" w:type="pct"/>
                  <w:tcBorders>
                    <w:tl2br w:val="nil"/>
                    <w:tr2bl w:val="nil"/>
                  </w:tcBorders>
                  <w:vAlign w:val="center"/>
                </w:tcPr>
                <w:p w14:paraId="1BCB550B">
                  <w:pPr>
                    <w:pStyle w:val="23"/>
                    <w:bidi w:val="0"/>
                    <w:rPr>
                      <w:rFonts w:hint="default"/>
                      <w:color w:val="auto"/>
                      <w:lang w:val="en-US" w:eastAsia="zh-CN"/>
                    </w:rPr>
                  </w:pPr>
                  <w:r>
                    <w:rPr>
                      <w:rFonts w:hint="eastAsia"/>
                      <w:color w:val="auto"/>
                      <w:lang w:val="en-US" w:eastAsia="zh-CN"/>
                    </w:rPr>
                    <w:t>52</w:t>
                  </w:r>
                </w:p>
              </w:tc>
              <w:tc>
                <w:tcPr>
                  <w:tcW w:w="267" w:type="pct"/>
                  <w:tcBorders>
                    <w:tl2br w:val="nil"/>
                    <w:tr2bl w:val="nil"/>
                  </w:tcBorders>
                  <w:vAlign w:val="center"/>
                </w:tcPr>
                <w:p w14:paraId="62F4DF09">
                  <w:pPr>
                    <w:pStyle w:val="23"/>
                    <w:bidi w:val="0"/>
                    <w:rPr>
                      <w:rFonts w:hint="default"/>
                      <w:color w:val="auto"/>
                      <w:lang w:val="en-US" w:eastAsia="zh-CN"/>
                    </w:rPr>
                  </w:pPr>
                  <w:r>
                    <w:rPr>
                      <w:rFonts w:hint="eastAsia"/>
                      <w:color w:val="auto"/>
                      <w:lang w:val="en-US" w:eastAsia="zh-CN"/>
                    </w:rPr>
                    <w:t>/</w:t>
                  </w:r>
                </w:p>
              </w:tc>
              <w:tc>
                <w:tcPr>
                  <w:tcW w:w="647" w:type="pct"/>
                  <w:tcBorders>
                    <w:tl2br w:val="nil"/>
                    <w:tr2bl w:val="nil"/>
                  </w:tcBorders>
                  <w:vAlign w:val="center"/>
                </w:tcPr>
                <w:p w14:paraId="32C18FA6">
                  <w:pPr>
                    <w:pStyle w:val="23"/>
                    <w:bidi w:val="0"/>
                    <w:jc w:val="both"/>
                    <w:rPr>
                      <w:rFonts w:hint="default"/>
                      <w:color w:val="auto"/>
                      <w:lang w:val="en-US" w:eastAsia="zh-CN"/>
                    </w:rPr>
                  </w:pPr>
                  <w:r>
                    <w:rPr>
                      <w:rFonts w:hint="eastAsia"/>
                      <w:color w:val="auto"/>
                      <w:lang w:val="en-US" w:eastAsia="zh-CN"/>
                    </w:rPr>
                    <w:t>5#楼（西侧住户），26F框架结构住宅，约52户，侧对道路，与北侧城市次干路万胜路距离约32m，为2类声环境功能区。大气环境为二类区。</w:t>
                  </w:r>
                </w:p>
              </w:tc>
              <w:tc>
                <w:tcPr>
                  <w:tcW w:w="862" w:type="pct"/>
                  <w:vMerge w:val="restart"/>
                  <w:tcBorders>
                    <w:tl2br w:val="nil"/>
                    <w:tr2bl w:val="nil"/>
                  </w:tcBorders>
                  <w:vAlign w:val="center"/>
                </w:tcPr>
                <w:p w14:paraId="189022D4">
                  <w:pPr>
                    <w:pStyle w:val="23"/>
                    <w:keepNext w:val="0"/>
                    <w:keepLines w:val="0"/>
                    <w:pageBreakBefore w:val="0"/>
                    <w:widowControl w:val="0"/>
                    <w:kinsoku/>
                    <w:wordWrap/>
                    <w:overflowPunct/>
                    <w:topLinePunct w:val="0"/>
                    <w:autoSpaceDE/>
                    <w:autoSpaceDN/>
                    <w:bidi w:val="0"/>
                    <w:adjustRightInd/>
                    <w:snapToGrid/>
                    <w:spacing w:line="240" w:lineRule="atLeast"/>
                    <w:textAlignment w:val="auto"/>
                    <w:rPr>
                      <w:color w:val="auto"/>
                    </w:rPr>
                  </w:pPr>
                  <w:r>
                    <w:rPr>
                      <w:color w:val="auto"/>
                    </w:rPr>
                    <w:drawing>
                      <wp:inline distT="0" distB="0" distL="114300" distR="114300">
                        <wp:extent cx="1569720" cy="1231900"/>
                        <wp:effectExtent l="0" t="0" r="1143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1569720" cy="1231900"/>
                                </a:xfrm>
                                <a:prstGeom prst="rect">
                                  <a:avLst/>
                                </a:prstGeom>
                                <a:noFill/>
                                <a:ln>
                                  <a:noFill/>
                                </a:ln>
                              </pic:spPr>
                            </pic:pic>
                          </a:graphicData>
                        </a:graphic>
                      </wp:inline>
                    </w:drawing>
                  </w:r>
                </w:p>
              </w:tc>
              <w:tc>
                <w:tcPr>
                  <w:tcW w:w="820" w:type="pct"/>
                  <w:vMerge w:val="restart"/>
                  <w:tcBorders>
                    <w:tl2br w:val="nil"/>
                    <w:tr2bl w:val="nil"/>
                  </w:tcBorders>
                  <w:vAlign w:val="center"/>
                </w:tcPr>
                <w:p w14:paraId="332BA677">
                  <w:pPr>
                    <w:pStyle w:val="23"/>
                    <w:keepNext w:val="0"/>
                    <w:keepLines w:val="0"/>
                    <w:pageBreakBefore w:val="0"/>
                    <w:widowControl w:val="0"/>
                    <w:kinsoku/>
                    <w:wordWrap/>
                    <w:overflowPunct/>
                    <w:topLinePunct w:val="0"/>
                    <w:autoSpaceDE/>
                    <w:autoSpaceDN/>
                    <w:bidi w:val="0"/>
                    <w:adjustRightInd/>
                    <w:snapToGrid/>
                    <w:spacing w:line="240" w:lineRule="atLeast"/>
                    <w:textAlignment w:val="auto"/>
                    <w:rPr>
                      <w:color w:val="auto"/>
                    </w:rPr>
                  </w:pPr>
                  <w:r>
                    <w:rPr>
                      <w:color w:val="auto"/>
                    </w:rPr>
                    <w:drawing>
                      <wp:inline distT="0" distB="0" distL="114300" distR="114300">
                        <wp:extent cx="1419225" cy="1337945"/>
                        <wp:effectExtent l="0" t="0" r="9525" b="1460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6"/>
                                <a:stretch>
                                  <a:fillRect/>
                                </a:stretch>
                              </pic:blipFill>
                              <pic:spPr>
                                <a:xfrm>
                                  <a:off x="0" y="0"/>
                                  <a:ext cx="1419225" cy="1337945"/>
                                </a:xfrm>
                                <a:prstGeom prst="rect">
                                  <a:avLst/>
                                </a:prstGeom>
                                <a:noFill/>
                                <a:ln>
                                  <a:noFill/>
                                </a:ln>
                              </pic:spPr>
                            </pic:pic>
                          </a:graphicData>
                        </a:graphic>
                      </wp:inline>
                    </w:drawing>
                  </w:r>
                </w:p>
              </w:tc>
            </w:tr>
            <w:tr w14:paraId="1B27C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84" w:hRule="atLeast"/>
              </w:trPr>
              <w:tc>
                <w:tcPr>
                  <w:tcW w:w="90" w:type="pct"/>
                  <w:vMerge w:val="continue"/>
                  <w:tcBorders>
                    <w:tl2br w:val="nil"/>
                    <w:tr2bl w:val="nil"/>
                  </w:tcBorders>
                  <w:vAlign w:val="center"/>
                </w:tcPr>
                <w:p w14:paraId="06E23CC8">
                  <w:pPr>
                    <w:pStyle w:val="23"/>
                    <w:bidi w:val="0"/>
                    <w:rPr>
                      <w:rFonts w:hint="default"/>
                      <w:color w:val="auto"/>
                      <w:lang w:val="en-US" w:eastAsia="zh-CN"/>
                    </w:rPr>
                  </w:pPr>
                </w:p>
              </w:tc>
              <w:tc>
                <w:tcPr>
                  <w:tcW w:w="291" w:type="pct"/>
                  <w:vMerge w:val="continue"/>
                  <w:tcBorders>
                    <w:tl2br w:val="nil"/>
                    <w:tr2bl w:val="nil"/>
                  </w:tcBorders>
                  <w:vAlign w:val="center"/>
                </w:tcPr>
                <w:p w14:paraId="4A1D360F">
                  <w:pPr>
                    <w:pStyle w:val="23"/>
                    <w:bidi w:val="0"/>
                    <w:rPr>
                      <w:rFonts w:hint="default"/>
                      <w:color w:val="auto"/>
                      <w:lang w:val="en-US" w:eastAsia="zh-CN"/>
                    </w:rPr>
                  </w:pPr>
                </w:p>
              </w:tc>
              <w:tc>
                <w:tcPr>
                  <w:tcW w:w="214" w:type="pct"/>
                  <w:tcBorders>
                    <w:tl2br w:val="nil"/>
                    <w:tr2bl w:val="nil"/>
                  </w:tcBorders>
                  <w:vAlign w:val="center"/>
                </w:tcPr>
                <w:p w14:paraId="6A706252">
                  <w:pPr>
                    <w:pStyle w:val="23"/>
                    <w:bidi w:val="0"/>
                    <w:rPr>
                      <w:rFonts w:hint="default"/>
                      <w:color w:val="auto"/>
                      <w:lang w:val="en-US" w:eastAsia="zh-CN"/>
                    </w:rPr>
                  </w:pPr>
                  <w:r>
                    <w:rPr>
                      <w:rFonts w:hint="eastAsia"/>
                      <w:color w:val="auto"/>
                      <w:lang w:val="en-US" w:eastAsia="zh-CN"/>
                    </w:rPr>
                    <w:t>连接道路</w:t>
                  </w:r>
                </w:p>
              </w:tc>
              <w:tc>
                <w:tcPr>
                  <w:tcW w:w="405" w:type="pct"/>
                  <w:tcBorders>
                    <w:tl2br w:val="nil"/>
                    <w:tr2bl w:val="nil"/>
                  </w:tcBorders>
                  <w:vAlign w:val="center"/>
                </w:tcPr>
                <w:p w14:paraId="44482006">
                  <w:pPr>
                    <w:pStyle w:val="23"/>
                    <w:bidi w:val="0"/>
                    <w:rPr>
                      <w:rFonts w:hint="default"/>
                      <w:color w:val="auto"/>
                      <w:lang w:val="en-US" w:eastAsia="zh-CN"/>
                    </w:rPr>
                  </w:pPr>
                  <w:r>
                    <w:rPr>
                      <w:rFonts w:hint="eastAsia"/>
                      <w:color w:val="auto"/>
                      <w:lang w:val="en-US" w:eastAsia="zh-CN"/>
                    </w:rPr>
                    <w:t>K0+000.000~K0+100.000</w:t>
                  </w:r>
                </w:p>
              </w:tc>
              <w:tc>
                <w:tcPr>
                  <w:tcW w:w="183" w:type="pct"/>
                  <w:tcBorders>
                    <w:tl2br w:val="nil"/>
                    <w:tr2bl w:val="nil"/>
                  </w:tcBorders>
                  <w:vAlign w:val="center"/>
                </w:tcPr>
                <w:p w14:paraId="09531963">
                  <w:pPr>
                    <w:pStyle w:val="23"/>
                    <w:bidi w:val="0"/>
                    <w:rPr>
                      <w:rFonts w:hint="default"/>
                      <w:color w:val="auto"/>
                      <w:lang w:val="en-US" w:eastAsia="zh-CN"/>
                    </w:rPr>
                  </w:pPr>
                  <w:r>
                    <w:rPr>
                      <w:rFonts w:hint="eastAsia"/>
                      <w:color w:val="auto"/>
                      <w:lang w:val="en-US" w:eastAsia="zh-CN"/>
                    </w:rPr>
                    <w:t>右侧</w:t>
                  </w:r>
                </w:p>
              </w:tc>
              <w:tc>
                <w:tcPr>
                  <w:tcW w:w="198" w:type="pct"/>
                  <w:tcBorders>
                    <w:tl2br w:val="nil"/>
                    <w:tr2bl w:val="nil"/>
                  </w:tcBorders>
                  <w:vAlign w:val="center"/>
                </w:tcPr>
                <w:p w14:paraId="17686966">
                  <w:pPr>
                    <w:pStyle w:val="23"/>
                    <w:bidi w:val="0"/>
                    <w:rPr>
                      <w:rFonts w:hint="eastAsia"/>
                      <w:color w:val="auto"/>
                      <w:lang w:val="en-US" w:eastAsia="zh-CN"/>
                    </w:rPr>
                  </w:pPr>
                  <w:r>
                    <w:rPr>
                      <w:rFonts w:hint="eastAsia"/>
                      <w:color w:val="auto"/>
                      <w:lang w:val="en-US" w:eastAsia="zh-CN"/>
                    </w:rPr>
                    <w:t>路基</w:t>
                  </w:r>
                </w:p>
              </w:tc>
              <w:tc>
                <w:tcPr>
                  <w:tcW w:w="222" w:type="pct"/>
                  <w:tcBorders>
                    <w:tl2br w:val="nil"/>
                    <w:tr2bl w:val="nil"/>
                  </w:tcBorders>
                  <w:vAlign w:val="center"/>
                </w:tcPr>
                <w:p w14:paraId="3A7701F1">
                  <w:pPr>
                    <w:pStyle w:val="23"/>
                    <w:bidi w:val="0"/>
                    <w:rPr>
                      <w:rFonts w:hint="default"/>
                      <w:color w:val="auto"/>
                      <w:lang w:val="en-US" w:eastAsia="zh-CN"/>
                    </w:rPr>
                  </w:pPr>
                  <w:r>
                    <w:rPr>
                      <w:rFonts w:hint="eastAsia"/>
                      <w:color w:val="auto"/>
                      <w:lang w:val="en-US" w:eastAsia="zh-CN"/>
                    </w:rPr>
                    <w:t>+1</w:t>
                  </w:r>
                </w:p>
              </w:tc>
              <w:tc>
                <w:tcPr>
                  <w:tcW w:w="321" w:type="pct"/>
                  <w:tcBorders>
                    <w:tl2br w:val="nil"/>
                    <w:tr2bl w:val="nil"/>
                  </w:tcBorders>
                  <w:vAlign w:val="center"/>
                </w:tcPr>
                <w:p w14:paraId="0C765CE7">
                  <w:pPr>
                    <w:pStyle w:val="23"/>
                    <w:bidi w:val="0"/>
                    <w:rPr>
                      <w:rFonts w:hint="default"/>
                      <w:color w:val="auto"/>
                      <w:lang w:val="en-US" w:eastAsia="zh-CN"/>
                    </w:rPr>
                  </w:pPr>
                  <w:r>
                    <w:rPr>
                      <w:rFonts w:hint="eastAsia"/>
                      <w:color w:val="auto"/>
                      <w:lang w:val="en-US" w:eastAsia="zh-CN"/>
                    </w:rPr>
                    <w:t>57~196</w:t>
                  </w:r>
                </w:p>
              </w:tc>
              <w:tc>
                <w:tcPr>
                  <w:tcW w:w="283" w:type="pct"/>
                  <w:tcBorders>
                    <w:tl2br w:val="nil"/>
                    <w:tr2bl w:val="nil"/>
                  </w:tcBorders>
                  <w:vAlign w:val="center"/>
                </w:tcPr>
                <w:p w14:paraId="498430CB">
                  <w:pPr>
                    <w:pStyle w:val="23"/>
                    <w:bidi w:val="0"/>
                    <w:rPr>
                      <w:rFonts w:hint="default"/>
                      <w:color w:val="auto"/>
                      <w:lang w:val="en-US" w:eastAsia="zh-CN"/>
                    </w:rPr>
                  </w:pPr>
                  <w:r>
                    <w:rPr>
                      <w:rFonts w:hint="eastAsia"/>
                      <w:color w:val="auto"/>
                      <w:lang w:val="en-US" w:eastAsia="zh-CN"/>
                    </w:rPr>
                    <w:t>61~200</w:t>
                  </w:r>
                </w:p>
              </w:tc>
              <w:tc>
                <w:tcPr>
                  <w:tcW w:w="191" w:type="pct"/>
                  <w:tcBorders>
                    <w:tl2br w:val="nil"/>
                    <w:tr2bl w:val="nil"/>
                  </w:tcBorders>
                  <w:vAlign w:val="center"/>
                </w:tcPr>
                <w:p w14:paraId="3B64B730">
                  <w:pPr>
                    <w:pStyle w:val="23"/>
                    <w:bidi w:val="0"/>
                    <w:rPr>
                      <w:rFonts w:hint="default"/>
                      <w:color w:val="auto"/>
                      <w:lang w:val="en-US" w:eastAsia="zh-CN"/>
                    </w:rPr>
                  </w:pPr>
                  <w:r>
                    <w:rPr>
                      <w:rFonts w:hint="eastAsia"/>
                      <w:color w:val="auto"/>
                      <w:lang w:val="en-US" w:eastAsia="zh-CN"/>
                    </w:rPr>
                    <w:t>220</w:t>
                  </w:r>
                </w:p>
              </w:tc>
              <w:tc>
                <w:tcPr>
                  <w:tcW w:w="267" w:type="pct"/>
                  <w:tcBorders>
                    <w:tl2br w:val="nil"/>
                    <w:tr2bl w:val="nil"/>
                  </w:tcBorders>
                  <w:vAlign w:val="center"/>
                </w:tcPr>
                <w:p w14:paraId="26CE78F9">
                  <w:pPr>
                    <w:pStyle w:val="23"/>
                    <w:bidi w:val="0"/>
                    <w:rPr>
                      <w:rFonts w:hint="default"/>
                      <w:color w:val="auto"/>
                      <w:lang w:val="en-US" w:eastAsia="zh-CN"/>
                    </w:rPr>
                  </w:pPr>
                  <w:r>
                    <w:rPr>
                      <w:rFonts w:hint="eastAsia"/>
                      <w:color w:val="auto"/>
                      <w:lang w:val="en-US" w:eastAsia="zh-CN"/>
                    </w:rPr>
                    <w:t>/</w:t>
                  </w:r>
                </w:p>
              </w:tc>
              <w:tc>
                <w:tcPr>
                  <w:tcW w:w="647" w:type="pct"/>
                  <w:tcBorders>
                    <w:tl2br w:val="nil"/>
                    <w:tr2bl w:val="nil"/>
                  </w:tcBorders>
                  <w:vAlign w:val="center"/>
                </w:tcPr>
                <w:p w14:paraId="543284F7">
                  <w:pPr>
                    <w:pStyle w:val="23"/>
                    <w:bidi w:val="0"/>
                    <w:jc w:val="both"/>
                    <w:rPr>
                      <w:color w:val="auto"/>
                    </w:rPr>
                  </w:pPr>
                  <w:r>
                    <w:rPr>
                      <w:rFonts w:hint="eastAsia"/>
                      <w:color w:val="auto"/>
                      <w:lang w:val="en-US" w:eastAsia="zh-CN"/>
                    </w:rPr>
                    <w:t>1#楼（南侧住户）、2#~3#楼、4#楼（东侧住户），均为16~26F框架结构住宅，约220户，正对道路，北侧临城市次干路万胜路、南侧为在建的万达广场，临万胜路最近距离约31m，为2类声环境功能区</w:t>
                  </w:r>
                  <w:r>
                    <w:rPr>
                      <w:rFonts w:hint="eastAsia"/>
                      <w:color w:val="auto"/>
                    </w:rPr>
                    <w:t>。</w:t>
                  </w:r>
                  <w:r>
                    <w:rPr>
                      <w:rFonts w:hint="eastAsia"/>
                      <w:color w:val="auto"/>
                      <w:lang w:val="en-US" w:eastAsia="zh-CN"/>
                    </w:rPr>
                    <w:t>大气环境为二类区。</w:t>
                  </w:r>
                </w:p>
              </w:tc>
              <w:tc>
                <w:tcPr>
                  <w:tcW w:w="862" w:type="pct"/>
                  <w:vMerge w:val="continue"/>
                  <w:tcBorders>
                    <w:tl2br w:val="nil"/>
                    <w:tr2bl w:val="nil"/>
                  </w:tcBorders>
                  <w:vAlign w:val="center"/>
                </w:tcPr>
                <w:p w14:paraId="00C03E62">
                  <w:pPr>
                    <w:pStyle w:val="23"/>
                    <w:keepNext w:val="0"/>
                    <w:keepLines w:val="0"/>
                    <w:pageBreakBefore w:val="0"/>
                    <w:widowControl w:val="0"/>
                    <w:kinsoku/>
                    <w:wordWrap/>
                    <w:overflowPunct/>
                    <w:topLinePunct w:val="0"/>
                    <w:autoSpaceDE/>
                    <w:autoSpaceDN/>
                    <w:bidi w:val="0"/>
                    <w:adjustRightInd/>
                    <w:snapToGrid/>
                    <w:spacing w:line="240" w:lineRule="atLeast"/>
                    <w:textAlignment w:val="auto"/>
                    <w:rPr>
                      <w:color w:val="auto"/>
                    </w:rPr>
                  </w:pPr>
                </w:p>
              </w:tc>
              <w:tc>
                <w:tcPr>
                  <w:tcW w:w="820" w:type="pct"/>
                  <w:vMerge w:val="continue"/>
                  <w:tcBorders>
                    <w:tl2br w:val="nil"/>
                    <w:tr2bl w:val="nil"/>
                  </w:tcBorders>
                  <w:vAlign w:val="center"/>
                </w:tcPr>
                <w:p w14:paraId="68EE2376">
                  <w:pPr>
                    <w:pStyle w:val="23"/>
                    <w:keepNext w:val="0"/>
                    <w:keepLines w:val="0"/>
                    <w:pageBreakBefore w:val="0"/>
                    <w:widowControl w:val="0"/>
                    <w:kinsoku/>
                    <w:wordWrap/>
                    <w:overflowPunct/>
                    <w:topLinePunct w:val="0"/>
                    <w:autoSpaceDE/>
                    <w:autoSpaceDN/>
                    <w:bidi w:val="0"/>
                    <w:adjustRightInd/>
                    <w:snapToGrid/>
                    <w:spacing w:line="240" w:lineRule="atLeast"/>
                    <w:textAlignment w:val="auto"/>
                    <w:rPr>
                      <w:color w:val="auto"/>
                    </w:rPr>
                  </w:pPr>
                </w:p>
              </w:tc>
            </w:tr>
            <w:bookmarkEnd w:id="3"/>
          </w:tbl>
          <w:p w14:paraId="585B3D8D">
            <w:pPr>
              <w:jc w:val="both"/>
              <w:rPr>
                <w:rFonts w:hint="eastAsia"/>
                <w:color w:val="auto"/>
                <w:vertAlign w:val="baseline"/>
              </w:rPr>
            </w:pPr>
          </w:p>
        </w:tc>
      </w:tr>
    </w:tbl>
    <w:p w14:paraId="1901A933">
      <w:pPr>
        <w:rPr>
          <w:rFonts w:hint="eastAsia"/>
          <w:color w:val="auto"/>
        </w:rPr>
        <w:sectPr>
          <w:pgSz w:w="16838" w:h="11906" w:orient="landscape"/>
          <w:pgMar w:top="1418" w:right="1134" w:bottom="1418"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19"/>
        <w:gridCol w:w="8567"/>
      </w:tblGrid>
      <w:tr w14:paraId="1297BB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c>
          <w:tcPr>
            <w:tcW w:w="719" w:type="dxa"/>
            <w:vAlign w:val="center"/>
          </w:tcPr>
          <w:p w14:paraId="69205958">
            <w:pPr>
              <w:rPr>
                <w:rFonts w:hint="eastAsia"/>
                <w:color w:val="auto"/>
              </w:rPr>
            </w:pPr>
            <w:r>
              <w:rPr>
                <w:rFonts w:hint="eastAsia"/>
                <w:color w:val="auto"/>
              </w:rPr>
              <w:t>评价</w:t>
            </w:r>
          </w:p>
          <w:p w14:paraId="5BC40D38">
            <w:pPr>
              <w:rPr>
                <w:rFonts w:hint="eastAsia"/>
                <w:color w:val="auto"/>
              </w:rPr>
            </w:pPr>
            <w:r>
              <w:rPr>
                <w:rFonts w:hint="eastAsia"/>
                <w:color w:val="auto"/>
              </w:rPr>
              <w:t>标准</w:t>
            </w:r>
          </w:p>
        </w:tc>
        <w:tc>
          <w:tcPr>
            <w:tcW w:w="8567" w:type="dxa"/>
            <w:vAlign w:val="center"/>
          </w:tcPr>
          <w:p w14:paraId="699D410F">
            <w:pPr>
              <w:pStyle w:val="3"/>
              <w:bidi w:val="0"/>
              <w:rPr>
                <w:rFonts w:hint="eastAsia"/>
                <w:color w:val="auto"/>
              </w:rPr>
            </w:pPr>
            <w:r>
              <w:rPr>
                <w:rFonts w:hint="eastAsia"/>
                <w:color w:val="auto"/>
              </w:rPr>
              <w:t>环境质量标准</w:t>
            </w:r>
          </w:p>
          <w:p w14:paraId="17DDAEF7">
            <w:pPr>
              <w:pStyle w:val="4"/>
              <w:bidi w:val="0"/>
              <w:rPr>
                <w:rFonts w:hint="eastAsia"/>
                <w:color w:val="auto"/>
              </w:rPr>
            </w:pPr>
            <w:r>
              <w:rPr>
                <w:rFonts w:hint="eastAsia"/>
                <w:color w:val="auto"/>
              </w:rPr>
              <w:t>环境空气质量标准</w:t>
            </w:r>
          </w:p>
          <w:p w14:paraId="403DE5AF">
            <w:pPr>
              <w:pStyle w:val="21"/>
              <w:bidi w:val="0"/>
              <w:rPr>
                <w:rFonts w:hint="eastAsia"/>
                <w:color w:val="auto"/>
              </w:rPr>
            </w:pPr>
            <w:r>
              <w:rPr>
                <w:rFonts w:hint="eastAsia"/>
                <w:color w:val="auto"/>
              </w:rPr>
              <w:t>根据《关于印发重庆市环境空气质量功能区划分规定的通知》（渝府发〔2016〕19号），项目所在区域属于二类功能区，执行《环境空气质量标准》（GB</w:t>
            </w:r>
            <w:r>
              <w:rPr>
                <w:rFonts w:hint="eastAsia"/>
                <w:color w:val="auto"/>
                <w:lang w:val="en-US" w:eastAsia="zh-CN"/>
              </w:rPr>
              <w:t xml:space="preserve"> </w:t>
            </w:r>
            <w:r>
              <w:rPr>
                <w:rFonts w:hint="eastAsia"/>
                <w:color w:val="auto"/>
              </w:rPr>
              <w:t>3095-2012）中的二级标准</w:t>
            </w:r>
            <w:r>
              <w:rPr>
                <w:rFonts w:hint="eastAsia"/>
                <w:color w:val="auto"/>
                <w:lang w:eastAsia="zh-CN"/>
              </w:rPr>
              <w:t>，</w:t>
            </w:r>
            <w:r>
              <w:rPr>
                <w:rFonts w:hint="eastAsia"/>
                <w:color w:val="auto"/>
                <w:lang w:val="en-US" w:eastAsia="zh-CN"/>
              </w:rPr>
              <w:t>具体见下表</w:t>
            </w:r>
            <w:r>
              <w:rPr>
                <w:rFonts w:hint="eastAsia"/>
                <w:color w:val="auto"/>
              </w:rPr>
              <w:t>。</w:t>
            </w:r>
          </w:p>
          <w:p w14:paraId="75EC528E">
            <w:pPr>
              <w:pStyle w:val="6"/>
              <w:bidi w:val="0"/>
              <w:rPr>
                <w:rFonts w:hint="eastAsia"/>
                <w:color w:val="auto"/>
              </w:rPr>
            </w:pPr>
            <w:r>
              <w:rPr>
                <w:rFonts w:hint="eastAsia"/>
                <w:color w:val="auto"/>
              </w:rPr>
              <w:t>环境空气质量标准</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395"/>
              <w:gridCol w:w="3264"/>
              <w:gridCol w:w="2692"/>
            </w:tblGrid>
            <w:tr w14:paraId="64E299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4" w:hRule="atLeast"/>
                <w:jc w:val="center"/>
              </w:trPr>
              <w:tc>
                <w:tcPr>
                  <w:tcW w:w="1434" w:type="pct"/>
                  <w:vMerge w:val="restart"/>
                  <w:vAlign w:val="center"/>
                </w:tcPr>
                <w:p w14:paraId="6167750E">
                  <w:pPr>
                    <w:pStyle w:val="23"/>
                    <w:bidi w:val="0"/>
                    <w:rPr>
                      <w:color w:val="auto"/>
                    </w:rPr>
                  </w:pPr>
                  <w:r>
                    <w:rPr>
                      <w:color w:val="auto"/>
                    </w:rPr>
                    <w:t>污染物</w:t>
                  </w:r>
                </w:p>
              </w:tc>
              <w:tc>
                <w:tcPr>
                  <w:tcW w:w="3566" w:type="pct"/>
                  <w:gridSpan w:val="2"/>
                  <w:vAlign w:val="center"/>
                </w:tcPr>
                <w:p w14:paraId="7FC037C6">
                  <w:pPr>
                    <w:pStyle w:val="23"/>
                    <w:bidi w:val="0"/>
                    <w:rPr>
                      <w:color w:val="auto"/>
                    </w:rPr>
                  </w:pPr>
                  <w:r>
                    <w:rPr>
                      <w:color w:val="auto"/>
                    </w:rPr>
                    <w:t>浓度限值（μg/m</w:t>
                  </w:r>
                  <w:r>
                    <w:rPr>
                      <w:color w:val="auto"/>
                      <w:vertAlign w:val="superscript"/>
                    </w:rPr>
                    <w:t>3</w:t>
                  </w:r>
                  <w:r>
                    <w:rPr>
                      <w:color w:val="auto"/>
                    </w:rPr>
                    <w:t>）</w:t>
                  </w:r>
                </w:p>
              </w:tc>
            </w:tr>
            <w:tr w14:paraId="3F8065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continue"/>
                  <w:vAlign w:val="center"/>
                </w:tcPr>
                <w:p w14:paraId="1F6C1A6B">
                  <w:pPr>
                    <w:pStyle w:val="23"/>
                    <w:bidi w:val="0"/>
                    <w:rPr>
                      <w:color w:val="auto"/>
                    </w:rPr>
                  </w:pPr>
                </w:p>
              </w:tc>
              <w:tc>
                <w:tcPr>
                  <w:tcW w:w="1954" w:type="pct"/>
                  <w:vAlign w:val="center"/>
                </w:tcPr>
                <w:p w14:paraId="16961E0F">
                  <w:pPr>
                    <w:pStyle w:val="23"/>
                    <w:bidi w:val="0"/>
                    <w:rPr>
                      <w:color w:val="auto"/>
                    </w:rPr>
                  </w:pPr>
                  <w:r>
                    <w:rPr>
                      <w:color w:val="auto"/>
                    </w:rPr>
                    <w:t>取值时间</w:t>
                  </w:r>
                </w:p>
              </w:tc>
              <w:tc>
                <w:tcPr>
                  <w:tcW w:w="1612" w:type="pct"/>
                  <w:vAlign w:val="center"/>
                </w:tcPr>
                <w:p w14:paraId="05A13A09">
                  <w:pPr>
                    <w:pStyle w:val="23"/>
                    <w:bidi w:val="0"/>
                    <w:rPr>
                      <w:color w:val="auto"/>
                    </w:rPr>
                  </w:pPr>
                  <w:r>
                    <w:rPr>
                      <w:rFonts w:hint="eastAsia"/>
                      <w:color w:val="auto"/>
                    </w:rPr>
                    <w:t>二级</w:t>
                  </w:r>
                  <w:r>
                    <w:rPr>
                      <w:color w:val="auto"/>
                    </w:rPr>
                    <w:t>标准值</w:t>
                  </w:r>
                </w:p>
              </w:tc>
            </w:tr>
            <w:tr w14:paraId="2BFCB7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restart"/>
                  <w:vAlign w:val="center"/>
                </w:tcPr>
                <w:p w14:paraId="4A3F8307">
                  <w:pPr>
                    <w:pStyle w:val="23"/>
                    <w:bidi w:val="0"/>
                    <w:rPr>
                      <w:color w:val="auto"/>
                    </w:rPr>
                  </w:pPr>
                  <w:r>
                    <w:rPr>
                      <w:color w:val="auto"/>
                    </w:rPr>
                    <w:t>SO</w:t>
                  </w:r>
                  <w:r>
                    <w:rPr>
                      <w:color w:val="auto"/>
                      <w:vertAlign w:val="subscript"/>
                    </w:rPr>
                    <w:t>2</w:t>
                  </w:r>
                </w:p>
              </w:tc>
              <w:tc>
                <w:tcPr>
                  <w:tcW w:w="1954" w:type="pct"/>
                  <w:vAlign w:val="center"/>
                </w:tcPr>
                <w:p w14:paraId="7D5AE31E">
                  <w:pPr>
                    <w:pStyle w:val="23"/>
                    <w:bidi w:val="0"/>
                    <w:rPr>
                      <w:color w:val="auto"/>
                    </w:rPr>
                  </w:pPr>
                  <w:r>
                    <w:rPr>
                      <w:color w:val="auto"/>
                    </w:rPr>
                    <w:t>年平均</w:t>
                  </w:r>
                </w:p>
              </w:tc>
              <w:tc>
                <w:tcPr>
                  <w:tcW w:w="1612" w:type="pct"/>
                  <w:vAlign w:val="center"/>
                </w:tcPr>
                <w:p w14:paraId="21E8787A">
                  <w:pPr>
                    <w:pStyle w:val="23"/>
                    <w:bidi w:val="0"/>
                    <w:rPr>
                      <w:color w:val="auto"/>
                    </w:rPr>
                  </w:pPr>
                  <w:r>
                    <w:rPr>
                      <w:color w:val="auto"/>
                    </w:rPr>
                    <w:t>60</w:t>
                  </w:r>
                </w:p>
              </w:tc>
            </w:tr>
            <w:tr w14:paraId="152D73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continue"/>
                  <w:vAlign w:val="center"/>
                </w:tcPr>
                <w:p w14:paraId="7CC6323A">
                  <w:pPr>
                    <w:pStyle w:val="23"/>
                    <w:bidi w:val="0"/>
                    <w:rPr>
                      <w:color w:val="auto"/>
                    </w:rPr>
                  </w:pPr>
                </w:p>
              </w:tc>
              <w:tc>
                <w:tcPr>
                  <w:tcW w:w="1954" w:type="pct"/>
                  <w:vAlign w:val="center"/>
                </w:tcPr>
                <w:p w14:paraId="6493D2FC">
                  <w:pPr>
                    <w:pStyle w:val="23"/>
                    <w:bidi w:val="0"/>
                    <w:rPr>
                      <w:color w:val="auto"/>
                    </w:rPr>
                  </w:pPr>
                  <w:r>
                    <w:rPr>
                      <w:color w:val="auto"/>
                    </w:rPr>
                    <w:t>24小时平均</w:t>
                  </w:r>
                </w:p>
              </w:tc>
              <w:tc>
                <w:tcPr>
                  <w:tcW w:w="1612" w:type="pct"/>
                  <w:vAlign w:val="center"/>
                </w:tcPr>
                <w:p w14:paraId="1D1A0D33">
                  <w:pPr>
                    <w:pStyle w:val="23"/>
                    <w:bidi w:val="0"/>
                    <w:rPr>
                      <w:color w:val="auto"/>
                    </w:rPr>
                  </w:pPr>
                  <w:r>
                    <w:rPr>
                      <w:color w:val="auto"/>
                    </w:rPr>
                    <w:t>150</w:t>
                  </w:r>
                </w:p>
              </w:tc>
            </w:tr>
            <w:tr w14:paraId="3822F8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continue"/>
                  <w:vAlign w:val="center"/>
                </w:tcPr>
                <w:p w14:paraId="6EA3F539">
                  <w:pPr>
                    <w:pStyle w:val="23"/>
                    <w:bidi w:val="0"/>
                    <w:rPr>
                      <w:color w:val="auto"/>
                    </w:rPr>
                  </w:pPr>
                </w:p>
              </w:tc>
              <w:tc>
                <w:tcPr>
                  <w:tcW w:w="1954" w:type="pct"/>
                  <w:vAlign w:val="center"/>
                </w:tcPr>
                <w:p w14:paraId="592ACB31">
                  <w:pPr>
                    <w:pStyle w:val="23"/>
                    <w:bidi w:val="0"/>
                    <w:rPr>
                      <w:color w:val="auto"/>
                    </w:rPr>
                  </w:pPr>
                  <w:r>
                    <w:rPr>
                      <w:color w:val="auto"/>
                    </w:rPr>
                    <w:t>1小时平均</w:t>
                  </w:r>
                </w:p>
              </w:tc>
              <w:tc>
                <w:tcPr>
                  <w:tcW w:w="1612" w:type="pct"/>
                  <w:vAlign w:val="center"/>
                </w:tcPr>
                <w:p w14:paraId="106C1EF3">
                  <w:pPr>
                    <w:pStyle w:val="23"/>
                    <w:bidi w:val="0"/>
                    <w:rPr>
                      <w:color w:val="auto"/>
                    </w:rPr>
                  </w:pPr>
                  <w:r>
                    <w:rPr>
                      <w:color w:val="auto"/>
                    </w:rPr>
                    <w:t>500</w:t>
                  </w:r>
                </w:p>
              </w:tc>
            </w:tr>
            <w:tr w14:paraId="163806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restart"/>
                  <w:vAlign w:val="center"/>
                </w:tcPr>
                <w:p w14:paraId="5B5184E8">
                  <w:pPr>
                    <w:pStyle w:val="23"/>
                    <w:bidi w:val="0"/>
                    <w:rPr>
                      <w:color w:val="auto"/>
                    </w:rPr>
                  </w:pPr>
                  <w:r>
                    <w:rPr>
                      <w:color w:val="auto"/>
                    </w:rPr>
                    <w:t>NO</w:t>
                  </w:r>
                  <w:r>
                    <w:rPr>
                      <w:color w:val="auto"/>
                      <w:vertAlign w:val="subscript"/>
                    </w:rPr>
                    <w:t>2</w:t>
                  </w:r>
                </w:p>
              </w:tc>
              <w:tc>
                <w:tcPr>
                  <w:tcW w:w="1954" w:type="pct"/>
                  <w:vAlign w:val="center"/>
                </w:tcPr>
                <w:p w14:paraId="6A925026">
                  <w:pPr>
                    <w:pStyle w:val="23"/>
                    <w:bidi w:val="0"/>
                    <w:rPr>
                      <w:color w:val="auto"/>
                    </w:rPr>
                  </w:pPr>
                  <w:r>
                    <w:rPr>
                      <w:color w:val="auto"/>
                    </w:rPr>
                    <w:t>年平均</w:t>
                  </w:r>
                </w:p>
              </w:tc>
              <w:tc>
                <w:tcPr>
                  <w:tcW w:w="1612" w:type="pct"/>
                  <w:vAlign w:val="center"/>
                </w:tcPr>
                <w:p w14:paraId="2B82379E">
                  <w:pPr>
                    <w:pStyle w:val="23"/>
                    <w:bidi w:val="0"/>
                    <w:rPr>
                      <w:color w:val="auto"/>
                    </w:rPr>
                  </w:pPr>
                  <w:r>
                    <w:rPr>
                      <w:color w:val="auto"/>
                    </w:rPr>
                    <w:t>40</w:t>
                  </w:r>
                </w:p>
              </w:tc>
            </w:tr>
            <w:tr w14:paraId="72795B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continue"/>
                  <w:vAlign w:val="center"/>
                </w:tcPr>
                <w:p w14:paraId="487338A4">
                  <w:pPr>
                    <w:pStyle w:val="23"/>
                    <w:bidi w:val="0"/>
                    <w:rPr>
                      <w:color w:val="auto"/>
                    </w:rPr>
                  </w:pPr>
                </w:p>
              </w:tc>
              <w:tc>
                <w:tcPr>
                  <w:tcW w:w="1954" w:type="pct"/>
                  <w:vAlign w:val="center"/>
                </w:tcPr>
                <w:p w14:paraId="5FF77B99">
                  <w:pPr>
                    <w:pStyle w:val="23"/>
                    <w:bidi w:val="0"/>
                    <w:rPr>
                      <w:color w:val="auto"/>
                    </w:rPr>
                  </w:pPr>
                  <w:r>
                    <w:rPr>
                      <w:color w:val="auto"/>
                    </w:rPr>
                    <w:t>24小时平均</w:t>
                  </w:r>
                </w:p>
              </w:tc>
              <w:tc>
                <w:tcPr>
                  <w:tcW w:w="1612" w:type="pct"/>
                  <w:vAlign w:val="center"/>
                </w:tcPr>
                <w:p w14:paraId="1883919A">
                  <w:pPr>
                    <w:pStyle w:val="23"/>
                    <w:bidi w:val="0"/>
                    <w:rPr>
                      <w:color w:val="auto"/>
                    </w:rPr>
                  </w:pPr>
                  <w:r>
                    <w:rPr>
                      <w:color w:val="auto"/>
                    </w:rPr>
                    <w:t>80</w:t>
                  </w:r>
                </w:p>
              </w:tc>
            </w:tr>
            <w:tr w14:paraId="599C6D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continue"/>
                  <w:vAlign w:val="center"/>
                </w:tcPr>
                <w:p w14:paraId="100054C9">
                  <w:pPr>
                    <w:pStyle w:val="23"/>
                    <w:bidi w:val="0"/>
                    <w:rPr>
                      <w:color w:val="auto"/>
                    </w:rPr>
                  </w:pPr>
                </w:p>
              </w:tc>
              <w:tc>
                <w:tcPr>
                  <w:tcW w:w="1954" w:type="pct"/>
                  <w:vAlign w:val="center"/>
                </w:tcPr>
                <w:p w14:paraId="1CC1A63B">
                  <w:pPr>
                    <w:pStyle w:val="23"/>
                    <w:bidi w:val="0"/>
                    <w:rPr>
                      <w:color w:val="auto"/>
                    </w:rPr>
                  </w:pPr>
                  <w:r>
                    <w:rPr>
                      <w:color w:val="auto"/>
                    </w:rPr>
                    <w:t>1小时平均</w:t>
                  </w:r>
                </w:p>
              </w:tc>
              <w:tc>
                <w:tcPr>
                  <w:tcW w:w="1612" w:type="pct"/>
                  <w:vAlign w:val="center"/>
                </w:tcPr>
                <w:p w14:paraId="6A17B526">
                  <w:pPr>
                    <w:pStyle w:val="23"/>
                    <w:bidi w:val="0"/>
                    <w:rPr>
                      <w:color w:val="auto"/>
                    </w:rPr>
                  </w:pPr>
                  <w:r>
                    <w:rPr>
                      <w:color w:val="auto"/>
                    </w:rPr>
                    <w:t>200</w:t>
                  </w:r>
                </w:p>
              </w:tc>
            </w:tr>
            <w:tr w14:paraId="11F7CB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restart"/>
                  <w:vAlign w:val="center"/>
                </w:tcPr>
                <w:p w14:paraId="3A7AA36E">
                  <w:pPr>
                    <w:pStyle w:val="23"/>
                    <w:bidi w:val="0"/>
                    <w:rPr>
                      <w:color w:val="auto"/>
                    </w:rPr>
                  </w:pPr>
                  <w:r>
                    <w:rPr>
                      <w:color w:val="auto"/>
                    </w:rPr>
                    <w:t>PM</w:t>
                  </w:r>
                  <w:r>
                    <w:rPr>
                      <w:color w:val="auto"/>
                      <w:vertAlign w:val="subscript"/>
                    </w:rPr>
                    <w:t>10</w:t>
                  </w:r>
                </w:p>
              </w:tc>
              <w:tc>
                <w:tcPr>
                  <w:tcW w:w="1954" w:type="pct"/>
                  <w:vAlign w:val="center"/>
                </w:tcPr>
                <w:p w14:paraId="4A4C4BD0">
                  <w:pPr>
                    <w:pStyle w:val="23"/>
                    <w:bidi w:val="0"/>
                    <w:rPr>
                      <w:color w:val="auto"/>
                    </w:rPr>
                  </w:pPr>
                  <w:r>
                    <w:rPr>
                      <w:color w:val="auto"/>
                    </w:rPr>
                    <w:t>年平均</w:t>
                  </w:r>
                </w:p>
              </w:tc>
              <w:tc>
                <w:tcPr>
                  <w:tcW w:w="1612" w:type="pct"/>
                  <w:vAlign w:val="center"/>
                </w:tcPr>
                <w:p w14:paraId="3F1A4E54">
                  <w:pPr>
                    <w:pStyle w:val="23"/>
                    <w:bidi w:val="0"/>
                    <w:rPr>
                      <w:color w:val="auto"/>
                    </w:rPr>
                  </w:pPr>
                  <w:r>
                    <w:rPr>
                      <w:color w:val="auto"/>
                    </w:rPr>
                    <w:t>70</w:t>
                  </w:r>
                </w:p>
              </w:tc>
            </w:tr>
            <w:tr w14:paraId="7A5D59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continue"/>
                  <w:vAlign w:val="center"/>
                </w:tcPr>
                <w:p w14:paraId="07EFB2D6">
                  <w:pPr>
                    <w:pStyle w:val="23"/>
                    <w:bidi w:val="0"/>
                    <w:rPr>
                      <w:color w:val="auto"/>
                    </w:rPr>
                  </w:pPr>
                </w:p>
              </w:tc>
              <w:tc>
                <w:tcPr>
                  <w:tcW w:w="1954" w:type="pct"/>
                  <w:vAlign w:val="center"/>
                </w:tcPr>
                <w:p w14:paraId="32DA65A4">
                  <w:pPr>
                    <w:pStyle w:val="23"/>
                    <w:bidi w:val="0"/>
                    <w:rPr>
                      <w:color w:val="auto"/>
                    </w:rPr>
                  </w:pPr>
                  <w:r>
                    <w:rPr>
                      <w:color w:val="auto"/>
                    </w:rPr>
                    <w:t>24小时平均</w:t>
                  </w:r>
                </w:p>
              </w:tc>
              <w:tc>
                <w:tcPr>
                  <w:tcW w:w="1612" w:type="pct"/>
                  <w:vAlign w:val="center"/>
                </w:tcPr>
                <w:p w14:paraId="7CC9AB7A">
                  <w:pPr>
                    <w:pStyle w:val="23"/>
                    <w:bidi w:val="0"/>
                    <w:rPr>
                      <w:color w:val="auto"/>
                    </w:rPr>
                  </w:pPr>
                  <w:r>
                    <w:rPr>
                      <w:color w:val="auto"/>
                    </w:rPr>
                    <w:t>150</w:t>
                  </w:r>
                </w:p>
              </w:tc>
            </w:tr>
            <w:tr w14:paraId="1C2452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restart"/>
                  <w:vAlign w:val="center"/>
                </w:tcPr>
                <w:p w14:paraId="2B87D2CC">
                  <w:pPr>
                    <w:pStyle w:val="23"/>
                    <w:bidi w:val="0"/>
                    <w:rPr>
                      <w:color w:val="auto"/>
                    </w:rPr>
                  </w:pPr>
                  <w:r>
                    <w:rPr>
                      <w:color w:val="auto"/>
                    </w:rPr>
                    <w:t>PM</w:t>
                  </w:r>
                  <w:r>
                    <w:rPr>
                      <w:color w:val="auto"/>
                      <w:vertAlign w:val="subscript"/>
                    </w:rPr>
                    <w:t>2.5</w:t>
                  </w:r>
                </w:p>
              </w:tc>
              <w:tc>
                <w:tcPr>
                  <w:tcW w:w="1954" w:type="pct"/>
                  <w:vAlign w:val="center"/>
                </w:tcPr>
                <w:p w14:paraId="53546F06">
                  <w:pPr>
                    <w:pStyle w:val="23"/>
                    <w:bidi w:val="0"/>
                    <w:rPr>
                      <w:color w:val="auto"/>
                    </w:rPr>
                  </w:pPr>
                  <w:r>
                    <w:rPr>
                      <w:color w:val="auto"/>
                    </w:rPr>
                    <w:t>年平均</w:t>
                  </w:r>
                </w:p>
              </w:tc>
              <w:tc>
                <w:tcPr>
                  <w:tcW w:w="1612" w:type="pct"/>
                  <w:vAlign w:val="center"/>
                </w:tcPr>
                <w:p w14:paraId="1C115E54">
                  <w:pPr>
                    <w:pStyle w:val="23"/>
                    <w:bidi w:val="0"/>
                    <w:rPr>
                      <w:color w:val="auto"/>
                    </w:rPr>
                  </w:pPr>
                  <w:r>
                    <w:rPr>
                      <w:color w:val="auto"/>
                    </w:rPr>
                    <w:t>35</w:t>
                  </w:r>
                </w:p>
              </w:tc>
            </w:tr>
            <w:tr w14:paraId="35DB60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continue"/>
                  <w:vAlign w:val="center"/>
                </w:tcPr>
                <w:p w14:paraId="244182AA">
                  <w:pPr>
                    <w:pStyle w:val="23"/>
                    <w:bidi w:val="0"/>
                    <w:rPr>
                      <w:color w:val="auto"/>
                    </w:rPr>
                  </w:pPr>
                </w:p>
              </w:tc>
              <w:tc>
                <w:tcPr>
                  <w:tcW w:w="1954" w:type="pct"/>
                  <w:vAlign w:val="center"/>
                </w:tcPr>
                <w:p w14:paraId="2A14C211">
                  <w:pPr>
                    <w:pStyle w:val="23"/>
                    <w:bidi w:val="0"/>
                    <w:rPr>
                      <w:color w:val="auto"/>
                    </w:rPr>
                  </w:pPr>
                  <w:r>
                    <w:rPr>
                      <w:color w:val="auto"/>
                    </w:rPr>
                    <w:t>24小时平均</w:t>
                  </w:r>
                </w:p>
              </w:tc>
              <w:tc>
                <w:tcPr>
                  <w:tcW w:w="1612" w:type="pct"/>
                  <w:vAlign w:val="center"/>
                </w:tcPr>
                <w:p w14:paraId="6FC77722">
                  <w:pPr>
                    <w:pStyle w:val="23"/>
                    <w:bidi w:val="0"/>
                    <w:rPr>
                      <w:color w:val="auto"/>
                    </w:rPr>
                  </w:pPr>
                  <w:r>
                    <w:rPr>
                      <w:color w:val="auto"/>
                    </w:rPr>
                    <w:t>75</w:t>
                  </w:r>
                </w:p>
              </w:tc>
            </w:tr>
            <w:tr w14:paraId="75004C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restart"/>
                  <w:vAlign w:val="center"/>
                </w:tcPr>
                <w:p w14:paraId="59E005A9">
                  <w:pPr>
                    <w:pStyle w:val="23"/>
                    <w:bidi w:val="0"/>
                    <w:rPr>
                      <w:color w:val="auto"/>
                    </w:rPr>
                  </w:pPr>
                  <w:r>
                    <w:rPr>
                      <w:color w:val="auto"/>
                    </w:rPr>
                    <w:t>CO</w:t>
                  </w:r>
                </w:p>
              </w:tc>
              <w:tc>
                <w:tcPr>
                  <w:tcW w:w="1954" w:type="pct"/>
                  <w:vAlign w:val="center"/>
                </w:tcPr>
                <w:p w14:paraId="56CBCA8D">
                  <w:pPr>
                    <w:pStyle w:val="23"/>
                    <w:bidi w:val="0"/>
                    <w:rPr>
                      <w:color w:val="auto"/>
                    </w:rPr>
                  </w:pPr>
                  <w:r>
                    <w:rPr>
                      <w:color w:val="auto"/>
                    </w:rPr>
                    <w:t>24小时平均</w:t>
                  </w:r>
                </w:p>
              </w:tc>
              <w:tc>
                <w:tcPr>
                  <w:tcW w:w="1612" w:type="pct"/>
                  <w:vAlign w:val="center"/>
                </w:tcPr>
                <w:p w14:paraId="1737555E">
                  <w:pPr>
                    <w:pStyle w:val="23"/>
                    <w:bidi w:val="0"/>
                    <w:rPr>
                      <w:color w:val="auto"/>
                    </w:rPr>
                  </w:pPr>
                  <w:r>
                    <w:rPr>
                      <w:color w:val="auto"/>
                    </w:rPr>
                    <w:t>4mg/m</w:t>
                  </w:r>
                  <w:r>
                    <w:rPr>
                      <w:color w:val="auto"/>
                      <w:vertAlign w:val="superscript"/>
                    </w:rPr>
                    <w:t>3</w:t>
                  </w:r>
                </w:p>
              </w:tc>
            </w:tr>
            <w:tr w14:paraId="234655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continue"/>
                  <w:vAlign w:val="center"/>
                </w:tcPr>
                <w:p w14:paraId="155D6868">
                  <w:pPr>
                    <w:pStyle w:val="23"/>
                    <w:bidi w:val="0"/>
                    <w:rPr>
                      <w:color w:val="auto"/>
                    </w:rPr>
                  </w:pPr>
                </w:p>
              </w:tc>
              <w:tc>
                <w:tcPr>
                  <w:tcW w:w="1954" w:type="pct"/>
                  <w:vAlign w:val="center"/>
                </w:tcPr>
                <w:p w14:paraId="50612BD8">
                  <w:pPr>
                    <w:pStyle w:val="23"/>
                    <w:bidi w:val="0"/>
                    <w:rPr>
                      <w:color w:val="auto"/>
                    </w:rPr>
                  </w:pPr>
                  <w:r>
                    <w:rPr>
                      <w:color w:val="auto"/>
                    </w:rPr>
                    <w:t>1小时平均</w:t>
                  </w:r>
                </w:p>
              </w:tc>
              <w:tc>
                <w:tcPr>
                  <w:tcW w:w="1612" w:type="pct"/>
                  <w:vAlign w:val="center"/>
                </w:tcPr>
                <w:p w14:paraId="5E06542E">
                  <w:pPr>
                    <w:pStyle w:val="23"/>
                    <w:bidi w:val="0"/>
                    <w:rPr>
                      <w:color w:val="auto"/>
                    </w:rPr>
                  </w:pPr>
                  <w:r>
                    <w:rPr>
                      <w:color w:val="auto"/>
                    </w:rPr>
                    <w:t>10mg/m</w:t>
                  </w:r>
                  <w:r>
                    <w:rPr>
                      <w:color w:val="auto"/>
                      <w:vertAlign w:val="superscript"/>
                    </w:rPr>
                    <w:t>3</w:t>
                  </w:r>
                </w:p>
              </w:tc>
            </w:tr>
            <w:tr w14:paraId="6517E0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restart"/>
                  <w:vAlign w:val="center"/>
                </w:tcPr>
                <w:p w14:paraId="66EE10BD">
                  <w:pPr>
                    <w:pStyle w:val="23"/>
                    <w:bidi w:val="0"/>
                    <w:rPr>
                      <w:color w:val="auto"/>
                    </w:rPr>
                  </w:pPr>
                  <w:r>
                    <w:rPr>
                      <w:color w:val="auto"/>
                    </w:rPr>
                    <w:t>O</w:t>
                  </w:r>
                  <w:r>
                    <w:rPr>
                      <w:color w:val="auto"/>
                      <w:vertAlign w:val="subscript"/>
                    </w:rPr>
                    <w:t>3</w:t>
                  </w:r>
                </w:p>
              </w:tc>
              <w:tc>
                <w:tcPr>
                  <w:tcW w:w="1954" w:type="pct"/>
                  <w:vAlign w:val="center"/>
                </w:tcPr>
                <w:p w14:paraId="18B07BA2">
                  <w:pPr>
                    <w:pStyle w:val="23"/>
                    <w:bidi w:val="0"/>
                    <w:rPr>
                      <w:color w:val="auto"/>
                    </w:rPr>
                  </w:pPr>
                  <w:r>
                    <w:rPr>
                      <w:color w:val="auto"/>
                    </w:rPr>
                    <w:t>日最大8小时平均</w:t>
                  </w:r>
                </w:p>
              </w:tc>
              <w:tc>
                <w:tcPr>
                  <w:tcW w:w="1612" w:type="pct"/>
                  <w:vAlign w:val="center"/>
                </w:tcPr>
                <w:p w14:paraId="3A75B79C">
                  <w:pPr>
                    <w:pStyle w:val="23"/>
                    <w:bidi w:val="0"/>
                    <w:rPr>
                      <w:color w:val="auto"/>
                    </w:rPr>
                  </w:pPr>
                  <w:r>
                    <w:rPr>
                      <w:color w:val="auto"/>
                    </w:rPr>
                    <w:t>160</w:t>
                  </w:r>
                </w:p>
              </w:tc>
            </w:tr>
            <w:tr w14:paraId="528B45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34" w:type="pct"/>
                  <w:vMerge w:val="continue"/>
                  <w:vAlign w:val="center"/>
                </w:tcPr>
                <w:p w14:paraId="746B73AE">
                  <w:pPr>
                    <w:pStyle w:val="23"/>
                    <w:bidi w:val="0"/>
                    <w:rPr>
                      <w:color w:val="auto"/>
                    </w:rPr>
                  </w:pPr>
                </w:p>
              </w:tc>
              <w:tc>
                <w:tcPr>
                  <w:tcW w:w="1954" w:type="pct"/>
                  <w:vAlign w:val="center"/>
                </w:tcPr>
                <w:p w14:paraId="388E7939">
                  <w:pPr>
                    <w:pStyle w:val="23"/>
                    <w:bidi w:val="0"/>
                    <w:rPr>
                      <w:color w:val="auto"/>
                    </w:rPr>
                  </w:pPr>
                  <w:r>
                    <w:rPr>
                      <w:color w:val="auto"/>
                    </w:rPr>
                    <w:t>1小时平均</w:t>
                  </w:r>
                </w:p>
              </w:tc>
              <w:tc>
                <w:tcPr>
                  <w:tcW w:w="1612" w:type="pct"/>
                  <w:vAlign w:val="center"/>
                </w:tcPr>
                <w:p w14:paraId="2667F6E3">
                  <w:pPr>
                    <w:pStyle w:val="23"/>
                    <w:bidi w:val="0"/>
                    <w:rPr>
                      <w:color w:val="auto"/>
                    </w:rPr>
                  </w:pPr>
                  <w:r>
                    <w:rPr>
                      <w:color w:val="auto"/>
                    </w:rPr>
                    <w:t>200</w:t>
                  </w:r>
                </w:p>
              </w:tc>
            </w:tr>
          </w:tbl>
          <w:p w14:paraId="1211DFCE">
            <w:pPr>
              <w:pStyle w:val="4"/>
              <w:bidi w:val="0"/>
              <w:rPr>
                <w:rFonts w:hint="eastAsia"/>
                <w:color w:val="auto"/>
              </w:rPr>
            </w:pPr>
            <w:r>
              <w:rPr>
                <w:rFonts w:hint="eastAsia"/>
                <w:color w:val="auto"/>
              </w:rPr>
              <w:t>地表水环境质量标准</w:t>
            </w:r>
          </w:p>
          <w:p w14:paraId="1DDDB2CF">
            <w:pPr>
              <w:pStyle w:val="21"/>
              <w:bidi w:val="0"/>
              <w:rPr>
                <w:rFonts w:hint="eastAsia"/>
                <w:color w:val="auto"/>
              </w:rPr>
            </w:pPr>
            <w:r>
              <w:rPr>
                <w:rFonts w:hint="eastAsia"/>
                <w:color w:val="auto"/>
              </w:rPr>
              <w:t>根据《重庆市人民政府批转重庆市地表水环境功能类别调整方案的通知》（渝府发〔2012〕4号</w:t>
            </w:r>
            <w:r>
              <w:rPr>
                <w:rFonts w:hint="eastAsia"/>
                <w:color w:val="auto"/>
                <w:lang w:eastAsia="zh-CN"/>
              </w:rPr>
              <w:t>）</w:t>
            </w:r>
            <w:r>
              <w:rPr>
                <w:rFonts w:hint="eastAsia"/>
                <w:color w:val="auto"/>
              </w:rPr>
              <w:t>，</w:t>
            </w:r>
            <w:r>
              <w:rPr>
                <w:rFonts w:hint="eastAsia"/>
                <w:color w:val="auto"/>
                <w:lang w:val="en-US" w:eastAsia="zh-CN"/>
              </w:rPr>
              <w:t>甘溪沟无水域功能，朱衣河全河段属于Ⅲ类水域，执行《地表水环境质量标准》(GB 3838-2002）Ⅲ类水域标准，具体见下表</w:t>
            </w:r>
            <w:r>
              <w:rPr>
                <w:rFonts w:hint="eastAsia"/>
                <w:color w:val="auto"/>
              </w:rPr>
              <w:t>。</w:t>
            </w:r>
          </w:p>
          <w:p w14:paraId="48774750">
            <w:pPr>
              <w:pStyle w:val="6"/>
              <w:bidi w:val="0"/>
              <w:rPr>
                <w:rFonts w:hint="eastAsia"/>
                <w:color w:val="auto"/>
              </w:rPr>
            </w:pPr>
            <w:r>
              <w:rPr>
                <w:rFonts w:hint="eastAsia"/>
                <w:color w:val="auto"/>
                <w:lang w:val="en-US" w:eastAsia="zh-CN"/>
              </w:rPr>
              <w:t>地表水环境质量标准     单位：mg/L（pH无量纲）</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307"/>
              <w:gridCol w:w="1151"/>
              <w:gridCol w:w="761"/>
              <w:gridCol w:w="729"/>
              <w:gridCol w:w="757"/>
              <w:gridCol w:w="787"/>
              <w:gridCol w:w="859"/>
            </w:tblGrid>
            <w:tr w14:paraId="69780A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85" w:type="pct"/>
                  <w:vAlign w:val="center"/>
                </w:tcPr>
                <w:p w14:paraId="59BECFFA">
                  <w:pPr>
                    <w:pStyle w:val="23"/>
                    <w:bidi w:val="0"/>
                    <w:rPr>
                      <w:color w:val="auto"/>
                    </w:rPr>
                  </w:pPr>
                  <w:r>
                    <w:rPr>
                      <w:color w:val="auto"/>
                    </w:rPr>
                    <w:t>项目</w:t>
                  </w:r>
                </w:p>
              </w:tc>
              <w:tc>
                <w:tcPr>
                  <w:tcW w:w="695" w:type="pct"/>
                  <w:vAlign w:val="center"/>
                </w:tcPr>
                <w:p w14:paraId="25B3BF53">
                  <w:pPr>
                    <w:pStyle w:val="23"/>
                    <w:bidi w:val="0"/>
                    <w:rPr>
                      <w:color w:val="auto"/>
                    </w:rPr>
                  </w:pPr>
                  <w:r>
                    <w:rPr>
                      <w:color w:val="auto"/>
                    </w:rPr>
                    <w:t>pH</w:t>
                  </w:r>
                </w:p>
              </w:tc>
              <w:tc>
                <w:tcPr>
                  <w:tcW w:w="462" w:type="pct"/>
                  <w:vAlign w:val="center"/>
                </w:tcPr>
                <w:p w14:paraId="4F2A41E7">
                  <w:pPr>
                    <w:pStyle w:val="23"/>
                    <w:bidi w:val="0"/>
                    <w:rPr>
                      <w:color w:val="auto"/>
                    </w:rPr>
                  </w:pPr>
                  <w:r>
                    <w:rPr>
                      <w:color w:val="auto"/>
                    </w:rPr>
                    <w:t>COD</w:t>
                  </w:r>
                </w:p>
              </w:tc>
              <w:tc>
                <w:tcPr>
                  <w:tcW w:w="398" w:type="pct"/>
                  <w:vAlign w:val="center"/>
                </w:tcPr>
                <w:p w14:paraId="2A4B3A90">
                  <w:pPr>
                    <w:pStyle w:val="23"/>
                    <w:bidi w:val="0"/>
                    <w:rPr>
                      <w:color w:val="auto"/>
                    </w:rPr>
                  </w:pPr>
                  <w:r>
                    <w:rPr>
                      <w:color w:val="auto"/>
                    </w:rPr>
                    <w:t>BOD</w:t>
                  </w:r>
                  <w:r>
                    <w:rPr>
                      <w:color w:val="auto"/>
                      <w:vertAlign w:val="subscript"/>
                    </w:rPr>
                    <w:t>5</w:t>
                  </w:r>
                </w:p>
              </w:tc>
              <w:tc>
                <w:tcPr>
                  <w:tcW w:w="459" w:type="pct"/>
                  <w:vAlign w:val="center"/>
                </w:tcPr>
                <w:p w14:paraId="4D73B000">
                  <w:pPr>
                    <w:pStyle w:val="23"/>
                    <w:bidi w:val="0"/>
                    <w:rPr>
                      <w:color w:val="auto"/>
                    </w:rPr>
                  </w:pPr>
                  <w:r>
                    <w:rPr>
                      <w:color w:val="auto"/>
                    </w:rPr>
                    <w:t>氨氮</w:t>
                  </w:r>
                </w:p>
              </w:tc>
              <w:tc>
                <w:tcPr>
                  <w:tcW w:w="477" w:type="pct"/>
                  <w:vAlign w:val="center"/>
                </w:tcPr>
                <w:p w14:paraId="64A0DD7B">
                  <w:pPr>
                    <w:pStyle w:val="23"/>
                    <w:bidi w:val="0"/>
                    <w:rPr>
                      <w:color w:val="auto"/>
                    </w:rPr>
                  </w:pPr>
                  <w:r>
                    <w:rPr>
                      <w:color w:val="auto"/>
                    </w:rPr>
                    <w:t>总磷</w:t>
                  </w:r>
                </w:p>
              </w:tc>
              <w:tc>
                <w:tcPr>
                  <w:tcW w:w="520" w:type="pct"/>
                  <w:vAlign w:val="center"/>
                </w:tcPr>
                <w:p w14:paraId="6CBFF3B4">
                  <w:pPr>
                    <w:pStyle w:val="23"/>
                    <w:bidi w:val="0"/>
                    <w:rPr>
                      <w:color w:val="auto"/>
                    </w:rPr>
                  </w:pPr>
                  <w:r>
                    <w:rPr>
                      <w:color w:val="auto"/>
                    </w:rPr>
                    <w:t>石油类</w:t>
                  </w:r>
                </w:p>
              </w:tc>
            </w:tr>
            <w:tr w14:paraId="56F9B8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85" w:type="pct"/>
                  <w:vAlign w:val="center"/>
                </w:tcPr>
                <w:p w14:paraId="17F3DC75">
                  <w:pPr>
                    <w:pStyle w:val="23"/>
                    <w:bidi w:val="0"/>
                    <w:rPr>
                      <w:color w:val="auto"/>
                    </w:rPr>
                  </w:pPr>
                  <w:r>
                    <w:rPr>
                      <w:color w:val="auto"/>
                    </w:rPr>
                    <w:t>III类标准值</w:t>
                  </w:r>
                </w:p>
              </w:tc>
              <w:tc>
                <w:tcPr>
                  <w:tcW w:w="695" w:type="pct"/>
                  <w:vAlign w:val="center"/>
                </w:tcPr>
                <w:p w14:paraId="6D30EC90">
                  <w:pPr>
                    <w:pStyle w:val="23"/>
                    <w:bidi w:val="0"/>
                    <w:rPr>
                      <w:color w:val="auto"/>
                    </w:rPr>
                  </w:pPr>
                  <w:r>
                    <w:rPr>
                      <w:color w:val="auto"/>
                    </w:rPr>
                    <w:t>6~9</w:t>
                  </w:r>
                </w:p>
              </w:tc>
              <w:tc>
                <w:tcPr>
                  <w:tcW w:w="462" w:type="pct"/>
                  <w:vAlign w:val="center"/>
                </w:tcPr>
                <w:p w14:paraId="748B695F">
                  <w:pPr>
                    <w:pStyle w:val="23"/>
                    <w:bidi w:val="0"/>
                    <w:rPr>
                      <w:color w:val="auto"/>
                    </w:rPr>
                  </w:pPr>
                  <w:r>
                    <w:rPr>
                      <w:color w:val="auto"/>
                    </w:rPr>
                    <w:t>20</w:t>
                  </w:r>
                </w:p>
              </w:tc>
              <w:tc>
                <w:tcPr>
                  <w:tcW w:w="398" w:type="pct"/>
                  <w:vAlign w:val="center"/>
                </w:tcPr>
                <w:p w14:paraId="59A787FE">
                  <w:pPr>
                    <w:pStyle w:val="23"/>
                    <w:bidi w:val="0"/>
                    <w:rPr>
                      <w:color w:val="auto"/>
                    </w:rPr>
                  </w:pPr>
                  <w:r>
                    <w:rPr>
                      <w:color w:val="auto"/>
                    </w:rPr>
                    <w:t>4</w:t>
                  </w:r>
                </w:p>
              </w:tc>
              <w:tc>
                <w:tcPr>
                  <w:tcW w:w="459" w:type="pct"/>
                  <w:vAlign w:val="center"/>
                </w:tcPr>
                <w:p w14:paraId="6FA682B2">
                  <w:pPr>
                    <w:pStyle w:val="23"/>
                    <w:bidi w:val="0"/>
                    <w:rPr>
                      <w:color w:val="auto"/>
                    </w:rPr>
                  </w:pPr>
                  <w:r>
                    <w:rPr>
                      <w:color w:val="auto"/>
                    </w:rPr>
                    <w:t>1</w:t>
                  </w:r>
                </w:p>
              </w:tc>
              <w:tc>
                <w:tcPr>
                  <w:tcW w:w="477" w:type="pct"/>
                  <w:vAlign w:val="center"/>
                </w:tcPr>
                <w:p w14:paraId="1E49B599">
                  <w:pPr>
                    <w:pStyle w:val="23"/>
                    <w:bidi w:val="0"/>
                    <w:rPr>
                      <w:color w:val="auto"/>
                    </w:rPr>
                  </w:pPr>
                  <w:r>
                    <w:rPr>
                      <w:color w:val="auto"/>
                    </w:rPr>
                    <w:t>0.2</w:t>
                  </w:r>
                </w:p>
              </w:tc>
              <w:tc>
                <w:tcPr>
                  <w:tcW w:w="520" w:type="pct"/>
                  <w:vAlign w:val="center"/>
                </w:tcPr>
                <w:p w14:paraId="09B69878">
                  <w:pPr>
                    <w:pStyle w:val="23"/>
                    <w:bidi w:val="0"/>
                    <w:rPr>
                      <w:color w:val="auto"/>
                    </w:rPr>
                  </w:pPr>
                  <w:r>
                    <w:rPr>
                      <w:color w:val="auto"/>
                    </w:rPr>
                    <w:t>0.05</w:t>
                  </w:r>
                </w:p>
              </w:tc>
            </w:tr>
          </w:tbl>
          <w:p w14:paraId="03251C8E">
            <w:pPr>
              <w:pStyle w:val="4"/>
              <w:bidi w:val="0"/>
              <w:rPr>
                <w:rFonts w:hint="eastAsia"/>
                <w:color w:val="auto"/>
              </w:rPr>
            </w:pPr>
            <w:r>
              <w:rPr>
                <w:rFonts w:hint="eastAsia"/>
                <w:color w:val="auto"/>
              </w:rPr>
              <w:t>声环境质量标准</w:t>
            </w:r>
          </w:p>
          <w:p w14:paraId="75C4C8AF">
            <w:pPr>
              <w:pStyle w:val="21"/>
              <w:bidi w:val="0"/>
              <w:rPr>
                <w:rFonts w:hint="default"/>
                <w:color w:val="auto"/>
                <w:lang w:val="en-US" w:eastAsia="zh-CN"/>
              </w:rPr>
            </w:pPr>
            <w:r>
              <w:rPr>
                <w:rFonts w:hint="eastAsia"/>
                <w:color w:val="auto"/>
              </w:rPr>
              <w:t>根据</w:t>
            </w:r>
            <w:r>
              <w:rPr>
                <w:rFonts w:hint="eastAsia"/>
                <w:color w:val="auto"/>
                <w:lang w:val="en-US" w:eastAsia="zh-CN"/>
              </w:rPr>
              <w:t>《声环境功能区划分技术规范》（GB/T 15190-2014）、《重庆市声环境功能区划分技术规范实施细则（试行）》（渝环〔2015〕429号）、</w:t>
            </w:r>
            <w:r>
              <w:rPr>
                <w:rFonts w:hint="eastAsia"/>
                <w:color w:val="auto"/>
              </w:rPr>
              <w:t>《奉节县人民政府办公室关于印发奉节县“十四五”声环境功能区划分调整方案的通知》（奉节府办发〔2023〕42号）</w:t>
            </w:r>
            <w:r>
              <w:rPr>
                <w:rFonts w:hint="eastAsia"/>
                <w:color w:val="auto"/>
                <w:lang w:val="en-US" w:eastAsia="zh-CN"/>
              </w:rPr>
              <w:t>相关规定</w:t>
            </w:r>
            <w:r>
              <w:rPr>
                <w:rFonts w:hint="eastAsia"/>
                <w:color w:val="auto"/>
              </w:rPr>
              <w:t>，本项目</w:t>
            </w:r>
            <w:r>
              <w:rPr>
                <w:rFonts w:hint="eastAsia"/>
                <w:color w:val="auto"/>
                <w:lang w:val="en-US" w:eastAsia="zh-CN"/>
              </w:rPr>
              <w:t>所在夔门街道为</w:t>
            </w:r>
            <w:r>
              <w:rPr>
                <w:rFonts w:hint="eastAsia"/>
                <w:color w:val="auto"/>
              </w:rPr>
              <w:t>2类声环境功能区</w:t>
            </w:r>
            <w:r>
              <w:rPr>
                <w:rFonts w:hint="eastAsia"/>
                <w:color w:val="auto"/>
                <w:lang w:eastAsia="zh-CN"/>
              </w:rPr>
              <w:t>；4类功能区的划分主要以交通干线边界线外一定区域范围为划分的基本依据，</w:t>
            </w:r>
            <w:r>
              <w:rPr>
                <w:rFonts w:hint="eastAsia"/>
                <w:color w:val="auto"/>
                <w:lang w:val="en-US" w:eastAsia="zh-CN"/>
              </w:rPr>
              <w:t>本项目1号桥为城市次干路、2号桥为人行桥、连接道路为城市支路，项目周边夔州西路为城市主干路、万胜路和甘溪街为城市次干路，交通干线相邻区域4类功能区划分具体如下：</w:t>
            </w:r>
          </w:p>
          <w:p w14:paraId="09604E05">
            <w:pPr>
              <w:pStyle w:val="21"/>
              <w:bidi w:val="0"/>
              <w:rPr>
                <w:rFonts w:hint="default"/>
                <w:color w:val="auto"/>
                <w:lang w:val="en-US" w:eastAsia="zh-CN"/>
              </w:rPr>
            </w:pPr>
            <w:r>
              <w:rPr>
                <w:rFonts w:hint="eastAsia"/>
                <w:color w:val="auto"/>
                <w:lang w:val="en-US" w:eastAsia="zh-CN"/>
              </w:rPr>
              <w:t>城市主干路边界线外35m以内的区域为4a类声环境功能区，执行《声环境质量标准》（GB 3096-2008）中的4a类标准；距离道路边界线外35m以外的区域为2类声环境功能区，执行《声环境质量标准》（GB 3096-2008）中的2类标准。城市次干路边界线外30m以内的区域为4a类声环境功能区，执行《声环境质量标准》（GB 3096-2008）中的4a类标准；距离道路边界线外30m以外的区域为2类声环境功能区，执行《声环境质量标准》（GB 3096-2008）中的2类标准。</w:t>
            </w:r>
          </w:p>
          <w:p w14:paraId="0026BFE1">
            <w:pPr>
              <w:pStyle w:val="21"/>
              <w:bidi w:val="0"/>
              <w:rPr>
                <w:rFonts w:hint="eastAsia"/>
                <w:color w:val="auto"/>
              </w:rPr>
            </w:pPr>
            <w:r>
              <w:rPr>
                <w:rFonts w:hint="eastAsia"/>
                <w:color w:val="auto"/>
              </w:rPr>
              <w:t>临街建筑4类功能区的划分如下：</w:t>
            </w:r>
          </w:p>
          <w:p w14:paraId="4B633676">
            <w:pPr>
              <w:pStyle w:val="21"/>
              <w:bidi w:val="0"/>
              <w:rPr>
                <w:rFonts w:hint="eastAsia"/>
                <w:color w:val="auto"/>
              </w:rPr>
            </w:pPr>
            <w:r>
              <w:rPr>
                <w:rFonts w:hint="eastAsia"/>
                <w:color w:val="auto"/>
              </w:rPr>
              <w:t>（1）若临街建筑以低于三层楼房的建筑（含开阔地）为主，线路边界线外35</w:t>
            </w:r>
            <w:r>
              <w:rPr>
                <w:rFonts w:hint="eastAsia"/>
                <w:color w:val="auto"/>
                <w:lang w:val="en-US" w:eastAsia="zh-CN"/>
              </w:rPr>
              <w:t>m（城市主干路）/30m（城市次干路）以内</w:t>
            </w:r>
            <w:r>
              <w:rPr>
                <w:rFonts w:hint="eastAsia"/>
                <w:color w:val="auto"/>
              </w:rPr>
              <w:t>的区域为4a类声环境功能区。</w:t>
            </w:r>
          </w:p>
          <w:p w14:paraId="1F6FD94D">
            <w:pPr>
              <w:pStyle w:val="21"/>
              <w:bidi w:val="0"/>
              <w:rPr>
                <w:rFonts w:hint="eastAsia"/>
                <w:color w:val="auto"/>
              </w:rPr>
            </w:pPr>
            <w:r>
              <w:rPr>
                <w:rFonts w:hint="eastAsia"/>
                <w:color w:val="auto"/>
              </w:rPr>
              <w:t>（2）若划分距离范围内临路建筑以高于三层楼房以上（含三层）的建筑为主，第一排建筑面向线路一侧至线路边界线的区域及该建筑物的两侧一定纵深距离范围内受交通噪声直达声影响的区域为4a类声环境功能区。</w:t>
            </w:r>
          </w:p>
          <w:p w14:paraId="4927999D">
            <w:pPr>
              <w:pStyle w:val="21"/>
              <w:bidi w:val="0"/>
              <w:rPr>
                <w:rFonts w:hint="eastAsia"/>
                <w:color w:val="auto"/>
              </w:rPr>
            </w:pPr>
            <w:r>
              <w:rPr>
                <w:rFonts w:hint="eastAsia"/>
                <w:color w:val="auto"/>
              </w:rPr>
              <w:t>（3）对于第二排及以后的建筑，若其高于前排建筑或虽低于前排建筑但因楼座错落设置使部分楼体探出前排遮挡并受到线路交通噪声的直达声影响，则高出及探出部分的楼层面向线路一侧范围为4a类区。其余部分未受到交通噪声直达声影响的区域执行其相邻声环境功能区要求。</w:t>
            </w:r>
          </w:p>
          <w:p w14:paraId="7399F1B5">
            <w:pPr>
              <w:pStyle w:val="21"/>
              <w:bidi w:val="0"/>
              <w:rPr>
                <w:rFonts w:hint="default"/>
                <w:color w:val="auto"/>
                <w:lang w:val="en-US" w:eastAsia="zh-CN"/>
              </w:rPr>
            </w:pPr>
            <w:r>
              <w:rPr>
                <w:rFonts w:hint="eastAsia"/>
                <w:color w:val="auto"/>
                <w:lang w:val="en-US" w:eastAsia="zh-CN"/>
              </w:rPr>
              <w:t>本项目1号桥为城市次干路，路线边界线30m范围内无现状及规划的三层楼房以上（含三层）的建筑，故1号桥线路边界线30m内为4a类声环境功能区，线路边界线30m外为2类声环境功能区；连接道路为城市支路，为2类声环境功能区。</w:t>
            </w:r>
          </w:p>
          <w:p w14:paraId="2C57C98D">
            <w:pPr>
              <w:pStyle w:val="21"/>
              <w:bidi w:val="0"/>
              <w:rPr>
                <w:rFonts w:hint="eastAsia"/>
                <w:color w:val="auto"/>
              </w:rPr>
            </w:pPr>
            <w:r>
              <w:rPr>
                <w:rFonts w:hint="eastAsia"/>
                <w:color w:val="auto"/>
                <w:lang w:val="en-US" w:eastAsia="zh-CN"/>
              </w:rPr>
              <w:t>项目</w:t>
            </w:r>
            <w:r>
              <w:rPr>
                <w:rFonts w:hint="eastAsia"/>
                <w:color w:val="auto"/>
              </w:rPr>
              <w:t>声环境质量标准限值见</w:t>
            </w:r>
            <w:r>
              <w:rPr>
                <w:rFonts w:hint="eastAsia"/>
                <w:color w:val="auto"/>
                <w:lang w:val="en-US" w:eastAsia="zh-CN"/>
              </w:rPr>
              <w:t>下</w:t>
            </w:r>
            <w:r>
              <w:rPr>
                <w:rFonts w:hint="eastAsia"/>
                <w:color w:val="auto"/>
              </w:rPr>
              <w:t>表。</w:t>
            </w:r>
          </w:p>
          <w:p w14:paraId="3F9CC2D9">
            <w:pPr>
              <w:pStyle w:val="6"/>
              <w:bidi w:val="0"/>
              <w:rPr>
                <w:rFonts w:hint="eastAsia"/>
                <w:color w:val="auto"/>
              </w:rPr>
            </w:pPr>
            <w:r>
              <w:rPr>
                <w:rFonts w:hint="eastAsia"/>
                <w:color w:val="auto"/>
              </w:rPr>
              <w:t>声环境质量标准</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80"/>
              <w:gridCol w:w="2130"/>
              <w:gridCol w:w="2176"/>
              <w:gridCol w:w="870"/>
              <w:gridCol w:w="992"/>
            </w:tblGrid>
            <w:tr w14:paraId="71002C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305" w:type="pct"/>
                  <w:vAlign w:val="center"/>
                </w:tcPr>
                <w:p w14:paraId="13F7F005">
                  <w:pPr>
                    <w:pStyle w:val="23"/>
                    <w:bidi w:val="0"/>
                    <w:rPr>
                      <w:rFonts w:hint="eastAsia" w:eastAsia="宋体"/>
                      <w:color w:val="auto"/>
                      <w:lang w:val="en-US" w:eastAsia="zh-CN"/>
                    </w:rPr>
                  </w:pPr>
                  <w:r>
                    <w:rPr>
                      <w:rFonts w:hint="eastAsia"/>
                      <w:color w:val="auto"/>
                      <w:lang w:val="en-US" w:eastAsia="zh-CN"/>
                    </w:rPr>
                    <w:t>路线</w:t>
                  </w:r>
                </w:p>
              </w:tc>
              <w:tc>
                <w:tcPr>
                  <w:tcW w:w="1275" w:type="pct"/>
                  <w:vAlign w:val="center"/>
                </w:tcPr>
                <w:p w14:paraId="6FD4F4D1">
                  <w:pPr>
                    <w:pStyle w:val="23"/>
                    <w:bidi w:val="0"/>
                    <w:rPr>
                      <w:rFonts w:hint="eastAsia" w:eastAsia="宋体"/>
                      <w:color w:val="auto"/>
                      <w:lang w:eastAsia="zh-CN"/>
                    </w:rPr>
                  </w:pPr>
                  <w:r>
                    <w:rPr>
                      <w:rFonts w:hint="eastAsia"/>
                      <w:color w:val="auto"/>
                    </w:rPr>
                    <w:t>划分距离</w:t>
                  </w:r>
                  <w:r>
                    <w:rPr>
                      <w:rFonts w:hint="eastAsia"/>
                      <w:color w:val="auto"/>
                      <w:lang w:eastAsia="zh-CN"/>
                    </w:rPr>
                    <w:t>（</w:t>
                  </w:r>
                  <w:r>
                    <w:rPr>
                      <w:rFonts w:hint="eastAsia"/>
                      <w:color w:val="auto"/>
                      <w:lang w:val="en-US" w:eastAsia="zh-CN"/>
                    </w:rPr>
                    <w:t>m</w:t>
                  </w:r>
                  <w:r>
                    <w:rPr>
                      <w:rFonts w:hint="eastAsia"/>
                      <w:color w:val="auto"/>
                      <w:lang w:eastAsia="zh-CN"/>
                    </w:rPr>
                    <w:t>）</w:t>
                  </w:r>
                </w:p>
              </w:tc>
              <w:tc>
                <w:tcPr>
                  <w:tcW w:w="1303" w:type="pct"/>
                  <w:vAlign w:val="center"/>
                </w:tcPr>
                <w:p w14:paraId="5DB8C7C7">
                  <w:pPr>
                    <w:pStyle w:val="23"/>
                    <w:bidi w:val="0"/>
                    <w:rPr>
                      <w:rFonts w:hint="eastAsia"/>
                      <w:color w:val="auto"/>
                    </w:rPr>
                  </w:pPr>
                  <w:r>
                    <w:rPr>
                      <w:rFonts w:hint="eastAsia" w:ascii="Times New Roman" w:hAnsi="Times New Roman" w:eastAsia="宋体"/>
                      <w:color w:val="auto"/>
                    </w:rPr>
                    <w:t>建成后声环境功能区</w:t>
                  </w:r>
                </w:p>
              </w:tc>
              <w:tc>
                <w:tcPr>
                  <w:tcW w:w="521" w:type="pct"/>
                  <w:vAlign w:val="center"/>
                </w:tcPr>
                <w:p w14:paraId="58E7682A">
                  <w:pPr>
                    <w:pStyle w:val="23"/>
                    <w:bidi w:val="0"/>
                    <w:rPr>
                      <w:color w:val="auto"/>
                    </w:rPr>
                  </w:pPr>
                  <w:r>
                    <w:rPr>
                      <w:color w:val="auto"/>
                    </w:rPr>
                    <w:t>昼间dB（A）</w:t>
                  </w:r>
                </w:p>
              </w:tc>
              <w:tc>
                <w:tcPr>
                  <w:tcW w:w="594" w:type="pct"/>
                  <w:vAlign w:val="center"/>
                </w:tcPr>
                <w:p w14:paraId="5D428013">
                  <w:pPr>
                    <w:pStyle w:val="23"/>
                    <w:bidi w:val="0"/>
                    <w:rPr>
                      <w:color w:val="auto"/>
                    </w:rPr>
                  </w:pPr>
                  <w:r>
                    <w:rPr>
                      <w:color w:val="auto"/>
                    </w:rPr>
                    <w:t>夜间</w:t>
                  </w:r>
                </w:p>
                <w:p w14:paraId="64C6AE6F">
                  <w:pPr>
                    <w:pStyle w:val="23"/>
                    <w:bidi w:val="0"/>
                    <w:rPr>
                      <w:color w:val="auto"/>
                    </w:rPr>
                  </w:pPr>
                  <w:r>
                    <w:rPr>
                      <w:color w:val="auto"/>
                    </w:rPr>
                    <w:t>dB（A）</w:t>
                  </w:r>
                </w:p>
              </w:tc>
            </w:tr>
            <w:tr w14:paraId="73072A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305" w:type="pct"/>
                  <w:vMerge w:val="restart"/>
                  <w:vAlign w:val="center"/>
                </w:tcPr>
                <w:p w14:paraId="4C371BA1">
                  <w:pPr>
                    <w:pStyle w:val="23"/>
                    <w:bidi w:val="0"/>
                    <w:rPr>
                      <w:color w:val="auto"/>
                    </w:rPr>
                  </w:pPr>
                  <w:r>
                    <w:rPr>
                      <w:rFonts w:hint="eastAsia"/>
                      <w:color w:val="auto"/>
                      <w:lang w:val="en-US" w:eastAsia="zh-CN"/>
                    </w:rPr>
                    <w:t>1号桥（城市次干路）</w:t>
                  </w:r>
                </w:p>
              </w:tc>
              <w:tc>
                <w:tcPr>
                  <w:tcW w:w="1275" w:type="pct"/>
                  <w:vAlign w:val="center"/>
                </w:tcPr>
                <w:p w14:paraId="2F8B381C">
                  <w:pPr>
                    <w:pStyle w:val="23"/>
                    <w:bidi w:val="0"/>
                    <w:rPr>
                      <w:color w:val="auto"/>
                    </w:rPr>
                  </w:pPr>
                  <w:r>
                    <w:rPr>
                      <w:rFonts w:hint="eastAsia"/>
                      <w:color w:val="auto"/>
                      <w:lang w:val="en-US" w:eastAsia="zh-CN"/>
                    </w:rPr>
                    <w:t>线路边界线30m内</w:t>
                  </w:r>
                </w:p>
              </w:tc>
              <w:tc>
                <w:tcPr>
                  <w:tcW w:w="1303" w:type="pct"/>
                  <w:vAlign w:val="center"/>
                </w:tcPr>
                <w:p w14:paraId="520C320C">
                  <w:pPr>
                    <w:pStyle w:val="23"/>
                    <w:bidi w:val="0"/>
                    <w:rPr>
                      <w:rFonts w:hint="default" w:eastAsia="宋体"/>
                      <w:color w:val="auto"/>
                      <w:lang w:val="en-US" w:eastAsia="zh-CN"/>
                    </w:rPr>
                  </w:pPr>
                  <w:r>
                    <w:rPr>
                      <w:rFonts w:hint="eastAsia"/>
                      <w:color w:val="auto"/>
                      <w:lang w:val="en-US" w:eastAsia="zh-CN"/>
                    </w:rPr>
                    <w:t>4a类</w:t>
                  </w:r>
                </w:p>
              </w:tc>
              <w:tc>
                <w:tcPr>
                  <w:tcW w:w="521" w:type="pct"/>
                  <w:vAlign w:val="center"/>
                </w:tcPr>
                <w:p w14:paraId="64911D75">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70</w:t>
                  </w:r>
                </w:p>
              </w:tc>
              <w:tc>
                <w:tcPr>
                  <w:tcW w:w="594" w:type="pct"/>
                  <w:vAlign w:val="center"/>
                </w:tcPr>
                <w:p w14:paraId="75343831">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55</w:t>
                  </w:r>
                </w:p>
              </w:tc>
            </w:tr>
            <w:tr w14:paraId="613315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305" w:type="pct"/>
                  <w:vMerge w:val="continue"/>
                  <w:vAlign w:val="center"/>
                </w:tcPr>
                <w:p w14:paraId="2BB42212">
                  <w:pPr>
                    <w:pStyle w:val="23"/>
                    <w:bidi w:val="0"/>
                    <w:rPr>
                      <w:rFonts w:hint="eastAsia"/>
                      <w:color w:val="auto"/>
                      <w:lang w:val="en-US" w:eastAsia="zh-CN"/>
                    </w:rPr>
                  </w:pPr>
                </w:p>
              </w:tc>
              <w:tc>
                <w:tcPr>
                  <w:tcW w:w="1275" w:type="pct"/>
                  <w:vAlign w:val="center"/>
                </w:tcPr>
                <w:p w14:paraId="7FCABF9A">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线路边界线30m外</w:t>
                  </w:r>
                </w:p>
              </w:tc>
              <w:tc>
                <w:tcPr>
                  <w:tcW w:w="1303" w:type="pct"/>
                  <w:vAlign w:val="center"/>
                </w:tcPr>
                <w:p w14:paraId="5AB3518F">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2类</w:t>
                  </w:r>
                </w:p>
              </w:tc>
              <w:tc>
                <w:tcPr>
                  <w:tcW w:w="521" w:type="pct"/>
                  <w:vAlign w:val="center"/>
                </w:tcPr>
                <w:p w14:paraId="5D9598BC">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60</w:t>
                  </w:r>
                </w:p>
              </w:tc>
              <w:tc>
                <w:tcPr>
                  <w:tcW w:w="594" w:type="pct"/>
                  <w:vAlign w:val="center"/>
                </w:tcPr>
                <w:p w14:paraId="14F4B43D">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50</w:t>
                  </w:r>
                </w:p>
              </w:tc>
            </w:tr>
            <w:tr w14:paraId="7FDE7D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305" w:type="pct"/>
                  <w:vAlign w:val="center"/>
                </w:tcPr>
                <w:p w14:paraId="0A79FBB4">
                  <w:pPr>
                    <w:pStyle w:val="23"/>
                    <w:bidi w:val="0"/>
                    <w:rPr>
                      <w:color w:val="auto"/>
                    </w:rPr>
                  </w:pPr>
                  <w:r>
                    <w:rPr>
                      <w:rFonts w:hint="eastAsia"/>
                      <w:color w:val="auto"/>
                      <w:lang w:val="en-US" w:eastAsia="zh-CN"/>
                    </w:rPr>
                    <w:t>连接道路（城市支路）</w:t>
                  </w:r>
                </w:p>
              </w:tc>
              <w:tc>
                <w:tcPr>
                  <w:tcW w:w="1275" w:type="pct"/>
                  <w:vAlign w:val="center"/>
                </w:tcPr>
                <w:p w14:paraId="7E914659">
                  <w:pPr>
                    <w:pStyle w:val="23"/>
                    <w:bidi w:val="0"/>
                    <w:rPr>
                      <w:rFonts w:hint="default" w:eastAsia="宋体"/>
                      <w:color w:val="auto"/>
                      <w:lang w:val="en-US" w:eastAsia="zh-CN"/>
                    </w:rPr>
                  </w:pPr>
                  <w:r>
                    <w:rPr>
                      <w:rFonts w:hint="eastAsia"/>
                      <w:color w:val="auto"/>
                      <w:lang w:val="en-US" w:eastAsia="zh-CN"/>
                    </w:rPr>
                    <w:t>/</w:t>
                  </w:r>
                </w:p>
              </w:tc>
              <w:tc>
                <w:tcPr>
                  <w:tcW w:w="1303" w:type="pct"/>
                  <w:vAlign w:val="center"/>
                </w:tcPr>
                <w:p w14:paraId="14307C08">
                  <w:pPr>
                    <w:pStyle w:val="23"/>
                    <w:bidi w:val="0"/>
                    <w:rPr>
                      <w:rFonts w:hint="default" w:eastAsia="宋体"/>
                      <w:color w:val="auto"/>
                      <w:lang w:val="en-US" w:eastAsia="zh-CN"/>
                    </w:rPr>
                  </w:pPr>
                  <w:r>
                    <w:rPr>
                      <w:rFonts w:hint="eastAsia"/>
                      <w:color w:val="auto"/>
                      <w:lang w:val="en-US" w:eastAsia="zh-CN"/>
                    </w:rPr>
                    <w:t>2类</w:t>
                  </w:r>
                </w:p>
              </w:tc>
              <w:tc>
                <w:tcPr>
                  <w:tcW w:w="521" w:type="pct"/>
                  <w:vAlign w:val="center"/>
                </w:tcPr>
                <w:p w14:paraId="0258181A">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60</w:t>
                  </w:r>
                </w:p>
              </w:tc>
              <w:tc>
                <w:tcPr>
                  <w:tcW w:w="594" w:type="pct"/>
                  <w:vAlign w:val="center"/>
                </w:tcPr>
                <w:p w14:paraId="2CA198B8">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color w:val="auto"/>
                    </w:rPr>
                    <w:t>50</w:t>
                  </w:r>
                </w:p>
              </w:tc>
            </w:tr>
          </w:tbl>
          <w:p w14:paraId="45D65C27">
            <w:pPr>
              <w:pStyle w:val="3"/>
              <w:bidi w:val="0"/>
              <w:rPr>
                <w:rFonts w:hint="eastAsia"/>
                <w:color w:val="auto"/>
              </w:rPr>
            </w:pPr>
            <w:r>
              <w:rPr>
                <w:rFonts w:hint="eastAsia"/>
                <w:color w:val="auto"/>
              </w:rPr>
              <w:t>污染物排放标准</w:t>
            </w:r>
          </w:p>
          <w:p w14:paraId="2C026DC5">
            <w:pPr>
              <w:pStyle w:val="4"/>
              <w:bidi w:val="0"/>
              <w:rPr>
                <w:rFonts w:hint="eastAsia"/>
                <w:color w:val="auto"/>
              </w:rPr>
            </w:pPr>
            <w:r>
              <w:rPr>
                <w:rFonts w:hint="eastAsia"/>
                <w:color w:val="auto"/>
              </w:rPr>
              <w:t>废气</w:t>
            </w:r>
          </w:p>
          <w:p w14:paraId="4B9134C3">
            <w:pPr>
              <w:pStyle w:val="21"/>
              <w:bidi w:val="0"/>
              <w:rPr>
                <w:rFonts w:hint="eastAsia"/>
                <w:color w:val="auto"/>
              </w:rPr>
            </w:pPr>
            <w:r>
              <w:rPr>
                <w:rFonts w:hint="eastAsia"/>
                <w:color w:val="auto"/>
                <w:lang w:val="en-US" w:eastAsia="zh-CN"/>
              </w:rPr>
              <w:t>本项目</w:t>
            </w:r>
            <w:r>
              <w:rPr>
                <w:rFonts w:hint="eastAsia"/>
                <w:color w:val="auto"/>
              </w:rPr>
              <w:t>施工期扬尘和施工机械燃油废气执行重庆市《大气污染物综合排放标准》（DB</w:t>
            </w:r>
            <w:r>
              <w:rPr>
                <w:rFonts w:hint="eastAsia"/>
                <w:color w:val="auto"/>
                <w:lang w:val="en-US" w:eastAsia="zh-CN"/>
              </w:rPr>
              <w:t xml:space="preserve"> </w:t>
            </w:r>
            <w:r>
              <w:rPr>
                <w:rFonts w:hint="eastAsia"/>
                <w:color w:val="auto"/>
              </w:rPr>
              <w:t>50/418-2016）其他区域标准，沥青摊铺时不得有明显的无组织排放。</w:t>
            </w:r>
          </w:p>
          <w:p w14:paraId="2D421FA6">
            <w:pPr>
              <w:pStyle w:val="6"/>
              <w:bidi w:val="0"/>
              <w:rPr>
                <w:rFonts w:hint="eastAsia"/>
                <w:color w:val="auto"/>
              </w:rPr>
            </w:pPr>
            <w:r>
              <w:rPr>
                <w:rFonts w:hint="eastAsia"/>
                <w:color w:val="auto"/>
              </w:rPr>
              <w:t>大气污染物综合排放标准</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91"/>
              <w:gridCol w:w="1791"/>
              <w:gridCol w:w="2148"/>
              <w:gridCol w:w="2621"/>
            </w:tblGrid>
            <w:tr w14:paraId="78D99A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072" w:type="pct"/>
                  <w:vMerge w:val="restart"/>
                  <w:vAlign w:val="center"/>
                </w:tcPr>
                <w:p w14:paraId="02F2008F">
                  <w:pPr>
                    <w:pStyle w:val="23"/>
                    <w:bidi w:val="0"/>
                    <w:rPr>
                      <w:color w:val="auto"/>
                    </w:rPr>
                  </w:pPr>
                  <w:r>
                    <w:rPr>
                      <w:color w:val="auto"/>
                    </w:rPr>
                    <w:t>评价时段</w:t>
                  </w:r>
                </w:p>
              </w:tc>
              <w:tc>
                <w:tcPr>
                  <w:tcW w:w="1072" w:type="pct"/>
                  <w:vMerge w:val="restart"/>
                  <w:vAlign w:val="center"/>
                </w:tcPr>
                <w:p w14:paraId="183A4096">
                  <w:pPr>
                    <w:pStyle w:val="23"/>
                    <w:bidi w:val="0"/>
                    <w:rPr>
                      <w:color w:val="auto"/>
                    </w:rPr>
                  </w:pPr>
                  <w:r>
                    <w:rPr>
                      <w:color w:val="auto"/>
                    </w:rPr>
                    <w:t>污染物</w:t>
                  </w:r>
                </w:p>
              </w:tc>
              <w:tc>
                <w:tcPr>
                  <w:tcW w:w="2855" w:type="pct"/>
                  <w:gridSpan w:val="2"/>
                  <w:vAlign w:val="center"/>
                </w:tcPr>
                <w:p w14:paraId="6D099E9D">
                  <w:pPr>
                    <w:pStyle w:val="23"/>
                    <w:bidi w:val="0"/>
                    <w:rPr>
                      <w:color w:val="auto"/>
                    </w:rPr>
                  </w:pPr>
                  <w:r>
                    <w:rPr>
                      <w:color w:val="auto"/>
                    </w:rPr>
                    <w:t>无组织排放监控浓度（mg/m</w:t>
                  </w:r>
                  <w:r>
                    <w:rPr>
                      <w:color w:val="auto"/>
                      <w:vertAlign w:val="superscript"/>
                    </w:rPr>
                    <w:t>3</w:t>
                  </w:r>
                  <w:r>
                    <w:rPr>
                      <w:color w:val="auto"/>
                    </w:rPr>
                    <w:t>）</w:t>
                  </w:r>
                </w:p>
              </w:tc>
            </w:tr>
            <w:tr w14:paraId="582A05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072" w:type="pct"/>
                  <w:vMerge w:val="continue"/>
                  <w:vAlign w:val="center"/>
                </w:tcPr>
                <w:p w14:paraId="5C9BD53F">
                  <w:pPr>
                    <w:pStyle w:val="23"/>
                    <w:bidi w:val="0"/>
                    <w:rPr>
                      <w:color w:val="auto"/>
                    </w:rPr>
                  </w:pPr>
                </w:p>
              </w:tc>
              <w:tc>
                <w:tcPr>
                  <w:tcW w:w="1072" w:type="pct"/>
                  <w:vMerge w:val="continue"/>
                  <w:vAlign w:val="center"/>
                </w:tcPr>
                <w:p w14:paraId="2049D22E">
                  <w:pPr>
                    <w:pStyle w:val="23"/>
                    <w:bidi w:val="0"/>
                    <w:rPr>
                      <w:color w:val="auto"/>
                    </w:rPr>
                  </w:pPr>
                </w:p>
              </w:tc>
              <w:tc>
                <w:tcPr>
                  <w:tcW w:w="1286" w:type="pct"/>
                  <w:vAlign w:val="center"/>
                </w:tcPr>
                <w:p w14:paraId="699C6733">
                  <w:pPr>
                    <w:pStyle w:val="23"/>
                    <w:bidi w:val="0"/>
                    <w:rPr>
                      <w:color w:val="auto"/>
                    </w:rPr>
                  </w:pPr>
                  <w:r>
                    <w:rPr>
                      <w:color w:val="auto"/>
                    </w:rPr>
                    <w:t>监控点</w:t>
                  </w:r>
                </w:p>
              </w:tc>
              <w:tc>
                <w:tcPr>
                  <w:tcW w:w="1568" w:type="pct"/>
                  <w:vAlign w:val="center"/>
                </w:tcPr>
                <w:p w14:paraId="6E36A3FA">
                  <w:pPr>
                    <w:pStyle w:val="23"/>
                    <w:bidi w:val="0"/>
                    <w:rPr>
                      <w:color w:val="auto"/>
                    </w:rPr>
                  </w:pPr>
                  <w:r>
                    <w:rPr>
                      <w:color w:val="auto"/>
                    </w:rPr>
                    <w:t>浓度</w:t>
                  </w:r>
                </w:p>
              </w:tc>
            </w:tr>
            <w:tr w14:paraId="1D1B70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072" w:type="pct"/>
                  <w:vMerge w:val="restart"/>
                  <w:vAlign w:val="center"/>
                </w:tcPr>
                <w:p w14:paraId="234047CE">
                  <w:pPr>
                    <w:pStyle w:val="23"/>
                    <w:bidi w:val="0"/>
                    <w:rPr>
                      <w:color w:val="auto"/>
                    </w:rPr>
                  </w:pPr>
                  <w:r>
                    <w:rPr>
                      <w:color w:val="auto"/>
                    </w:rPr>
                    <w:t>施工期</w:t>
                  </w:r>
                </w:p>
              </w:tc>
              <w:tc>
                <w:tcPr>
                  <w:tcW w:w="1072" w:type="pct"/>
                  <w:vAlign w:val="center"/>
                </w:tcPr>
                <w:p w14:paraId="1D7EE1D6">
                  <w:pPr>
                    <w:pStyle w:val="23"/>
                    <w:bidi w:val="0"/>
                    <w:rPr>
                      <w:color w:val="auto"/>
                    </w:rPr>
                  </w:pPr>
                  <w:r>
                    <w:rPr>
                      <w:color w:val="auto"/>
                    </w:rPr>
                    <w:t>颗粒物</w:t>
                  </w:r>
                </w:p>
              </w:tc>
              <w:tc>
                <w:tcPr>
                  <w:tcW w:w="1286" w:type="pct"/>
                  <w:vMerge w:val="restart"/>
                  <w:vAlign w:val="center"/>
                </w:tcPr>
                <w:p w14:paraId="6234D5D8">
                  <w:pPr>
                    <w:pStyle w:val="23"/>
                    <w:bidi w:val="0"/>
                    <w:rPr>
                      <w:color w:val="auto"/>
                    </w:rPr>
                  </w:pPr>
                  <w:r>
                    <w:rPr>
                      <w:color w:val="auto"/>
                    </w:rPr>
                    <w:t>周界外浓度最高点</w:t>
                  </w:r>
                </w:p>
              </w:tc>
              <w:tc>
                <w:tcPr>
                  <w:tcW w:w="1568" w:type="pct"/>
                  <w:vAlign w:val="center"/>
                </w:tcPr>
                <w:p w14:paraId="264CEC94">
                  <w:pPr>
                    <w:pStyle w:val="23"/>
                    <w:bidi w:val="0"/>
                    <w:rPr>
                      <w:color w:val="auto"/>
                    </w:rPr>
                  </w:pPr>
                  <w:r>
                    <w:rPr>
                      <w:color w:val="auto"/>
                    </w:rPr>
                    <w:t>1.0</w:t>
                  </w:r>
                </w:p>
              </w:tc>
            </w:tr>
            <w:tr w14:paraId="508E46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072" w:type="pct"/>
                  <w:vMerge w:val="continue"/>
                  <w:vAlign w:val="center"/>
                </w:tcPr>
                <w:p w14:paraId="146EC202">
                  <w:pPr>
                    <w:pStyle w:val="23"/>
                    <w:bidi w:val="0"/>
                    <w:rPr>
                      <w:color w:val="auto"/>
                    </w:rPr>
                  </w:pPr>
                </w:p>
              </w:tc>
              <w:tc>
                <w:tcPr>
                  <w:tcW w:w="1072" w:type="pct"/>
                  <w:vAlign w:val="center"/>
                </w:tcPr>
                <w:p w14:paraId="106FD30F">
                  <w:pPr>
                    <w:pStyle w:val="23"/>
                    <w:bidi w:val="0"/>
                    <w:rPr>
                      <w:rFonts w:hint="eastAsia" w:eastAsia="宋体"/>
                      <w:color w:val="auto"/>
                      <w:lang w:eastAsia="zh-CN"/>
                    </w:rPr>
                  </w:pPr>
                  <w:r>
                    <w:rPr>
                      <w:rFonts w:hint="eastAsia"/>
                      <w:color w:val="auto"/>
                    </w:rPr>
                    <w:t>N</w:t>
                  </w:r>
                  <w:r>
                    <w:rPr>
                      <w:color w:val="auto"/>
                    </w:rPr>
                    <w:t>O</w:t>
                  </w:r>
                  <w:r>
                    <w:rPr>
                      <w:rFonts w:hint="eastAsia"/>
                      <w:color w:val="auto"/>
                      <w:lang w:val="en-US" w:eastAsia="zh-CN"/>
                    </w:rPr>
                    <w:t>x</w:t>
                  </w:r>
                </w:p>
              </w:tc>
              <w:tc>
                <w:tcPr>
                  <w:tcW w:w="1286" w:type="pct"/>
                  <w:vMerge w:val="continue"/>
                  <w:vAlign w:val="center"/>
                </w:tcPr>
                <w:p w14:paraId="267011D4">
                  <w:pPr>
                    <w:pStyle w:val="23"/>
                    <w:bidi w:val="0"/>
                    <w:rPr>
                      <w:color w:val="auto"/>
                    </w:rPr>
                  </w:pPr>
                </w:p>
              </w:tc>
              <w:tc>
                <w:tcPr>
                  <w:tcW w:w="1568" w:type="pct"/>
                  <w:vAlign w:val="center"/>
                </w:tcPr>
                <w:p w14:paraId="2D8D60D9">
                  <w:pPr>
                    <w:pStyle w:val="23"/>
                    <w:bidi w:val="0"/>
                    <w:rPr>
                      <w:color w:val="auto"/>
                    </w:rPr>
                  </w:pPr>
                  <w:r>
                    <w:rPr>
                      <w:color w:val="auto"/>
                    </w:rPr>
                    <w:t>0.12</w:t>
                  </w:r>
                </w:p>
              </w:tc>
            </w:tr>
          </w:tbl>
          <w:p w14:paraId="66B53F35">
            <w:pPr>
              <w:pStyle w:val="4"/>
              <w:bidi w:val="0"/>
              <w:ind w:left="0" w:firstLine="0"/>
              <w:rPr>
                <w:rFonts w:hint="eastAsia"/>
                <w:color w:val="auto"/>
                <w:lang w:val="en-US" w:eastAsia="zh-CN"/>
              </w:rPr>
            </w:pPr>
            <w:r>
              <w:rPr>
                <w:rFonts w:hint="eastAsia"/>
                <w:color w:val="auto"/>
                <w:lang w:val="en-US" w:eastAsia="zh-CN"/>
              </w:rPr>
              <w:t>废水</w:t>
            </w:r>
          </w:p>
          <w:p w14:paraId="30D6963B">
            <w:pPr>
              <w:pStyle w:val="21"/>
              <w:bidi w:val="0"/>
              <w:rPr>
                <w:rFonts w:hint="eastAsia"/>
                <w:color w:val="auto"/>
              </w:rPr>
            </w:pPr>
            <w:r>
              <w:rPr>
                <w:rFonts w:hint="eastAsia"/>
                <w:color w:val="auto"/>
              </w:rPr>
              <w:t>本项目不设置服务区、加油站、机修及收费站等配套设施，运营期无废水产生。施工期施工废水经隔油、沉淀处理后回用，不外排；施工人员生活污水经临时生化池</w:t>
            </w:r>
            <w:r>
              <w:rPr>
                <w:rFonts w:hint="eastAsia"/>
                <w:color w:val="auto"/>
                <w:lang w:val="en-US" w:eastAsia="zh-CN"/>
              </w:rPr>
              <w:t>收集</w:t>
            </w:r>
            <w:r>
              <w:rPr>
                <w:rFonts w:hint="eastAsia"/>
                <w:color w:val="auto"/>
              </w:rPr>
              <w:t>处理达《污水综合排放标准》（GB</w:t>
            </w:r>
            <w:r>
              <w:rPr>
                <w:rFonts w:hint="eastAsia"/>
                <w:color w:val="auto"/>
                <w:lang w:val="en-US" w:eastAsia="zh-CN"/>
              </w:rPr>
              <w:t xml:space="preserve"> </w:t>
            </w:r>
            <w:r>
              <w:rPr>
                <w:rFonts w:hint="eastAsia"/>
                <w:color w:val="auto"/>
              </w:rPr>
              <w:t>8978-1996）三级标准后接入市政污水管网进入奉节西部新区污水处理厂</w:t>
            </w:r>
            <w:r>
              <w:rPr>
                <w:rFonts w:hint="eastAsia"/>
                <w:color w:val="auto"/>
                <w:lang w:val="en-US" w:eastAsia="zh-CN"/>
              </w:rPr>
              <w:t>处理后排放</w:t>
            </w:r>
            <w:r>
              <w:rPr>
                <w:rFonts w:hint="eastAsia"/>
                <w:color w:val="auto"/>
              </w:rPr>
              <w:t>，奉节西部新区污水处理厂的出水水质标准</w:t>
            </w:r>
            <w:r>
              <w:rPr>
                <w:rFonts w:hint="eastAsia"/>
                <w:color w:val="auto"/>
                <w:lang w:val="en-US" w:eastAsia="zh-CN"/>
              </w:rPr>
              <w:t>执行</w:t>
            </w:r>
            <w:r>
              <w:rPr>
                <w:rFonts w:hint="eastAsia"/>
                <w:color w:val="auto"/>
              </w:rPr>
              <w:t>《城镇污水处理厂污染物排放标准》</w:t>
            </w:r>
            <w:r>
              <w:rPr>
                <w:rFonts w:hint="eastAsia"/>
                <w:color w:val="auto"/>
                <w:lang w:eastAsia="zh-CN"/>
              </w:rPr>
              <w:t>（</w:t>
            </w:r>
            <w:r>
              <w:rPr>
                <w:rFonts w:hint="eastAsia"/>
                <w:color w:val="auto"/>
              </w:rPr>
              <w:t>GB</w:t>
            </w:r>
            <w:r>
              <w:rPr>
                <w:rFonts w:hint="eastAsia"/>
                <w:color w:val="auto"/>
                <w:lang w:val="en-US" w:eastAsia="zh-CN"/>
              </w:rPr>
              <w:t xml:space="preserve"> </w:t>
            </w:r>
            <w:r>
              <w:rPr>
                <w:rFonts w:hint="eastAsia"/>
                <w:color w:val="auto"/>
              </w:rPr>
              <w:t>18918-2002）中一级A标准</w:t>
            </w:r>
            <w:r>
              <w:rPr>
                <w:rFonts w:hint="eastAsia"/>
                <w:color w:val="auto"/>
                <w:lang w:eastAsia="zh-CN"/>
              </w:rPr>
              <w:t>，</w:t>
            </w:r>
            <w:r>
              <w:rPr>
                <w:rFonts w:hint="eastAsia"/>
                <w:color w:val="auto"/>
                <w:lang w:val="en-US" w:eastAsia="zh-CN"/>
              </w:rPr>
              <w:t>具体见下表</w:t>
            </w:r>
            <w:r>
              <w:rPr>
                <w:rFonts w:hint="eastAsia"/>
                <w:color w:val="auto"/>
              </w:rPr>
              <w:t>。</w:t>
            </w:r>
          </w:p>
          <w:p w14:paraId="3DB2E8C6">
            <w:pPr>
              <w:pStyle w:val="6"/>
              <w:bidi w:val="0"/>
              <w:ind w:left="1843" w:firstLine="0"/>
              <w:rPr>
                <w:rFonts w:hint="eastAsia"/>
                <w:color w:val="auto"/>
              </w:rPr>
            </w:pPr>
            <w:r>
              <w:rPr>
                <w:rFonts w:hint="eastAsia"/>
                <w:color w:val="auto"/>
              </w:rPr>
              <w:t>水污染物排放标准</w:t>
            </w:r>
          </w:p>
          <w:tbl>
            <w:tblPr>
              <w:tblStyle w:val="16"/>
              <w:tblpPr w:leftFromText="180" w:rightFromText="180" w:vertAnchor="text" w:tblpXSpec="center" w:tblpY="1"/>
              <w:tblOverlap w:val="never"/>
              <w:tblW w:w="4995" w:type="pct"/>
              <w:tblInd w:w="1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023"/>
              <w:gridCol w:w="1023"/>
              <w:gridCol w:w="968"/>
              <w:gridCol w:w="901"/>
              <w:gridCol w:w="1275"/>
              <w:gridCol w:w="1153"/>
            </w:tblGrid>
            <w:tr w14:paraId="6AFC12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trPr>
              <w:tc>
                <w:tcPr>
                  <w:tcW w:w="1812" w:type="pct"/>
                  <w:tcBorders>
                    <w:tl2br w:val="nil"/>
                    <w:tr2bl w:val="nil"/>
                  </w:tcBorders>
                  <w:vAlign w:val="center"/>
                </w:tcPr>
                <w:p w14:paraId="14610E79">
                  <w:pPr>
                    <w:pStyle w:val="23"/>
                    <w:bidi w:val="0"/>
                    <w:rPr>
                      <w:color w:val="auto"/>
                    </w:rPr>
                  </w:pPr>
                  <w:r>
                    <w:rPr>
                      <w:color w:val="auto"/>
                    </w:rPr>
                    <w:t>执行标准</w:t>
                  </w:r>
                </w:p>
              </w:tc>
              <w:tc>
                <w:tcPr>
                  <w:tcW w:w="613" w:type="pct"/>
                  <w:tcBorders>
                    <w:tl2br w:val="nil"/>
                    <w:tr2bl w:val="nil"/>
                  </w:tcBorders>
                  <w:vAlign w:val="center"/>
                </w:tcPr>
                <w:p w14:paraId="73676C6A">
                  <w:pPr>
                    <w:pStyle w:val="23"/>
                    <w:bidi w:val="0"/>
                    <w:rPr>
                      <w:color w:val="auto"/>
                    </w:rPr>
                  </w:pPr>
                  <w:r>
                    <w:rPr>
                      <w:color w:val="auto"/>
                    </w:rPr>
                    <w:t>pH</w:t>
                  </w:r>
                </w:p>
              </w:tc>
              <w:tc>
                <w:tcPr>
                  <w:tcW w:w="580" w:type="pct"/>
                  <w:tcBorders>
                    <w:tl2br w:val="nil"/>
                    <w:tr2bl w:val="nil"/>
                  </w:tcBorders>
                  <w:vAlign w:val="center"/>
                </w:tcPr>
                <w:p w14:paraId="62BFCCFF">
                  <w:pPr>
                    <w:pStyle w:val="23"/>
                    <w:bidi w:val="0"/>
                    <w:rPr>
                      <w:color w:val="auto"/>
                    </w:rPr>
                  </w:pPr>
                  <w:r>
                    <w:rPr>
                      <w:color w:val="auto"/>
                    </w:rPr>
                    <w:t>COD</w:t>
                  </w:r>
                </w:p>
              </w:tc>
              <w:tc>
                <w:tcPr>
                  <w:tcW w:w="540" w:type="pct"/>
                  <w:tcBorders>
                    <w:tl2br w:val="nil"/>
                    <w:tr2bl w:val="nil"/>
                  </w:tcBorders>
                  <w:vAlign w:val="center"/>
                </w:tcPr>
                <w:p w14:paraId="4ACDF5FD">
                  <w:pPr>
                    <w:pStyle w:val="23"/>
                    <w:bidi w:val="0"/>
                    <w:rPr>
                      <w:color w:val="auto"/>
                    </w:rPr>
                  </w:pPr>
                  <w:r>
                    <w:rPr>
                      <w:color w:val="auto"/>
                    </w:rPr>
                    <w:t>SS</w:t>
                  </w:r>
                </w:p>
              </w:tc>
              <w:tc>
                <w:tcPr>
                  <w:tcW w:w="764" w:type="pct"/>
                  <w:tcBorders>
                    <w:tl2br w:val="nil"/>
                    <w:tr2bl w:val="nil"/>
                  </w:tcBorders>
                  <w:vAlign w:val="center"/>
                </w:tcPr>
                <w:p w14:paraId="0163E6C3">
                  <w:pPr>
                    <w:pStyle w:val="23"/>
                    <w:bidi w:val="0"/>
                    <w:rPr>
                      <w:rFonts w:hint="eastAsia" w:eastAsia="宋体"/>
                      <w:color w:val="auto"/>
                      <w:lang w:eastAsia="zh-CN"/>
                    </w:rPr>
                  </w:pPr>
                  <w:r>
                    <w:rPr>
                      <w:rFonts w:hint="eastAsia"/>
                      <w:color w:val="auto"/>
                      <w:lang w:val="en-US" w:eastAsia="zh-CN"/>
                    </w:rPr>
                    <w:t>氨氮</w:t>
                  </w:r>
                </w:p>
              </w:tc>
              <w:tc>
                <w:tcPr>
                  <w:tcW w:w="689" w:type="pct"/>
                  <w:tcBorders>
                    <w:tl2br w:val="nil"/>
                    <w:tr2bl w:val="nil"/>
                  </w:tcBorders>
                  <w:vAlign w:val="center"/>
                </w:tcPr>
                <w:p w14:paraId="2EE5D6B9">
                  <w:pPr>
                    <w:pStyle w:val="23"/>
                    <w:bidi w:val="0"/>
                    <w:rPr>
                      <w:color w:val="auto"/>
                    </w:rPr>
                  </w:pPr>
                  <w:r>
                    <w:rPr>
                      <w:color w:val="auto"/>
                    </w:rPr>
                    <w:t>石油类</w:t>
                  </w:r>
                </w:p>
              </w:tc>
            </w:tr>
            <w:tr w14:paraId="76AFDB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812" w:type="pct"/>
                  <w:tcBorders>
                    <w:tl2br w:val="nil"/>
                    <w:tr2bl w:val="nil"/>
                  </w:tcBorders>
                  <w:vAlign w:val="center"/>
                </w:tcPr>
                <w:p w14:paraId="0EB8B57C">
                  <w:pPr>
                    <w:pStyle w:val="23"/>
                    <w:bidi w:val="0"/>
                    <w:rPr>
                      <w:color w:val="auto"/>
                    </w:rPr>
                  </w:pPr>
                  <w:r>
                    <w:rPr>
                      <w:color w:val="auto"/>
                    </w:rPr>
                    <w:t>GB</w:t>
                  </w:r>
                  <w:r>
                    <w:rPr>
                      <w:rFonts w:hint="eastAsia"/>
                      <w:color w:val="auto"/>
                      <w:lang w:val="en-US" w:eastAsia="zh-CN"/>
                    </w:rPr>
                    <w:t xml:space="preserve"> </w:t>
                  </w:r>
                  <w:r>
                    <w:rPr>
                      <w:color w:val="auto"/>
                    </w:rPr>
                    <w:t>8979-1996三级标准</w:t>
                  </w:r>
                </w:p>
              </w:tc>
              <w:tc>
                <w:tcPr>
                  <w:tcW w:w="613" w:type="pct"/>
                  <w:tcBorders>
                    <w:tl2br w:val="nil"/>
                    <w:tr2bl w:val="nil"/>
                  </w:tcBorders>
                  <w:vAlign w:val="center"/>
                </w:tcPr>
                <w:p w14:paraId="2D016211">
                  <w:pPr>
                    <w:pStyle w:val="23"/>
                    <w:bidi w:val="0"/>
                    <w:rPr>
                      <w:color w:val="auto"/>
                    </w:rPr>
                  </w:pPr>
                  <w:r>
                    <w:rPr>
                      <w:color w:val="auto"/>
                    </w:rPr>
                    <w:t>6~9</w:t>
                  </w:r>
                </w:p>
              </w:tc>
              <w:tc>
                <w:tcPr>
                  <w:tcW w:w="580" w:type="pct"/>
                  <w:tcBorders>
                    <w:tl2br w:val="nil"/>
                    <w:tr2bl w:val="nil"/>
                  </w:tcBorders>
                  <w:vAlign w:val="center"/>
                </w:tcPr>
                <w:p w14:paraId="2755A355">
                  <w:pPr>
                    <w:pStyle w:val="23"/>
                    <w:bidi w:val="0"/>
                    <w:rPr>
                      <w:color w:val="auto"/>
                    </w:rPr>
                  </w:pPr>
                  <w:r>
                    <w:rPr>
                      <w:color w:val="auto"/>
                    </w:rPr>
                    <w:t>500</w:t>
                  </w:r>
                </w:p>
              </w:tc>
              <w:tc>
                <w:tcPr>
                  <w:tcW w:w="540" w:type="pct"/>
                  <w:tcBorders>
                    <w:tl2br w:val="nil"/>
                    <w:tr2bl w:val="nil"/>
                  </w:tcBorders>
                  <w:vAlign w:val="center"/>
                </w:tcPr>
                <w:p w14:paraId="6FA0551A">
                  <w:pPr>
                    <w:pStyle w:val="23"/>
                    <w:bidi w:val="0"/>
                    <w:rPr>
                      <w:color w:val="auto"/>
                    </w:rPr>
                  </w:pPr>
                  <w:r>
                    <w:rPr>
                      <w:color w:val="auto"/>
                    </w:rPr>
                    <w:t>400</w:t>
                  </w:r>
                </w:p>
              </w:tc>
              <w:tc>
                <w:tcPr>
                  <w:tcW w:w="764" w:type="pct"/>
                  <w:tcBorders>
                    <w:tl2br w:val="nil"/>
                    <w:tr2bl w:val="nil"/>
                  </w:tcBorders>
                  <w:vAlign w:val="center"/>
                </w:tcPr>
                <w:p w14:paraId="62F49C97">
                  <w:pPr>
                    <w:pStyle w:val="23"/>
                    <w:bidi w:val="0"/>
                    <w:rPr>
                      <w:color w:val="auto"/>
                    </w:rPr>
                  </w:pPr>
                  <w:r>
                    <w:rPr>
                      <w:color w:val="auto"/>
                    </w:rPr>
                    <w:t>45*</w:t>
                  </w:r>
                </w:p>
              </w:tc>
              <w:tc>
                <w:tcPr>
                  <w:tcW w:w="689" w:type="pct"/>
                  <w:tcBorders>
                    <w:tl2br w:val="nil"/>
                    <w:tr2bl w:val="nil"/>
                  </w:tcBorders>
                  <w:vAlign w:val="center"/>
                </w:tcPr>
                <w:p w14:paraId="65FC954B">
                  <w:pPr>
                    <w:pStyle w:val="23"/>
                    <w:bidi w:val="0"/>
                    <w:rPr>
                      <w:color w:val="auto"/>
                    </w:rPr>
                  </w:pPr>
                  <w:r>
                    <w:rPr>
                      <w:color w:val="auto"/>
                    </w:rPr>
                    <w:t>/</w:t>
                  </w:r>
                </w:p>
              </w:tc>
            </w:tr>
            <w:tr w14:paraId="495DCC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1812" w:type="pct"/>
                  <w:tcBorders>
                    <w:tl2br w:val="nil"/>
                    <w:tr2bl w:val="nil"/>
                  </w:tcBorders>
                  <w:vAlign w:val="center"/>
                </w:tcPr>
                <w:p w14:paraId="53CB0CF9">
                  <w:pPr>
                    <w:pStyle w:val="23"/>
                    <w:bidi w:val="0"/>
                    <w:rPr>
                      <w:color w:val="auto"/>
                    </w:rPr>
                  </w:pPr>
                  <w:r>
                    <w:rPr>
                      <w:color w:val="auto"/>
                    </w:rPr>
                    <w:t>GB</w:t>
                  </w:r>
                  <w:r>
                    <w:rPr>
                      <w:rFonts w:hint="eastAsia"/>
                      <w:color w:val="auto"/>
                      <w:lang w:val="en-US" w:eastAsia="zh-CN"/>
                    </w:rPr>
                    <w:t xml:space="preserve"> </w:t>
                  </w:r>
                  <w:r>
                    <w:rPr>
                      <w:color w:val="auto"/>
                    </w:rPr>
                    <w:t>18918-2002一级A标准</w:t>
                  </w:r>
                </w:p>
              </w:tc>
              <w:tc>
                <w:tcPr>
                  <w:tcW w:w="613" w:type="pct"/>
                  <w:tcBorders>
                    <w:tl2br w:val="nil"/>
                    <w:tr2bl w:val="nil"/>
                  </w:tcBorders>
                  <w:vAlign w:val="center"/>
                </w:tcPr>
                <w:p w14:paraId="6BB823B2">
                  <w:pPr>
                    <w:pStyle w:val="23"/>
                    <w:bidi w:val="0"/>
                    <w:rPr>
                      <w:color w:val="auto"/>
                    </w:rPr>
                  </w:pPr>
                  <w:r>
                    <w:rPr>
                      <w:color w:val="auto"/>
                    </w:rPr>
                    <w:t>6~9</w:t>
                  </w:r>
                </w:p>
              </w:tc>
              <w:tc>
                <w:tcPr>
                  <w:tcW w:w="580" w:type="pct"/>
                  <w:tcBorders>
                    <w:tl2br w:val="nil"/>
                    <w:tr2bl w:val="nil"/>
                  </w:tcBorders>
                  <w:vAlign w:val="center"/>
                </w:tcPr>
                <w:p w14:paraId="486A4DB7">
                  <w:pPr>
                    <w:pStyle w:val="23"/>
                    <w:bidi w:val="0"/>
                    <w:rPr>
                      <w:color w:val="auto"/>
                    </w:rPr>
                  </w:pPr>
                  <w:r>
                    <w:rPr>
                      <w:color w:val="auto"/>
                    </w:rPr>
                    <w:t>50</w:t>
                  </w:r>
                </w:p>
              </w:tc>
              <w:tc>
                <w:tcPr>
                  <w:tcW w:w="540" w:type="pct"/>
                  <w:tcBorders>
                    <w:tl2br w:val="nil"/>
                    <w:tr2bl w:val="nil"/>
                  </w:tcBorders>
                  <w:vAlign w:val="center"/>
                </w:tcPr>
                <w:p w14:paraId="7D476B98">
                  <w:pPr>
                    <w:pStyle w:val="23"/>
                    <w:bidi w:val="0"/>
                    <w:rPr>
                      <w:color w:val="auto"/>
                    </w:rPr>
                  </w:pPr>
                  <w:r>
                    <w:rPr>
                      <w:color w:val="auto"/>
                    </w:rPr>
                    <w:t>10</w:t>
                  </w:r>
                </w:p>
              </w:tc>
              <w:tc>
                <w:tcPr>
                  <w:tcW w:w="764" w:type="pct"/>
                  <w:tcBorders>
                    <w:tl2br w:val="nil"/>
                    <w:tr2bl w:val="nil"/>
                  </w:tcBorders>
                  <w:vAlign w:val="center"/>
                </w:tcPr>
                <w:p w14:paraId="61C9C16D">
                  <w:pPr>
                    <w:pStyle w:val="23"/>
                    <w:bidi w:val="0"/>
                    <w:rPr>
                      <w:color w:val="auto"/>
                    </w:rPr>
                  </w:pPr>
                  <w:r>
                    <w:rPr>
                      <w:color w:val="auto"/>
                    </w:rPr>
                    <w:t>5（8）</w:t>
                  </w:r>
                </w:p>
              </w:tc>
              <w:tc>
                <w:tcPr>
                  <w:tcW w:w="689" w:type="pct"/>
                  <w:tcBorders>
                    <w:tl2br w:val="nil"/>
                    <w:tr2bl w:val="nil"/>
                  </w:tcBorders>
                  <w:vAlign w:val="center"/>
                </w:tcPr>
                <w:p w14:paraId="117D1569">
                  <w:pPr>
                    <w:pStyle w:val="23"/>
                    <w:bidi w:val="0"/>
                    <w:rPr>
                      <w:color w:val="auto"/>
                    </w:rPr>
                  </w:pPr>
                  <w:r>
                    <w:rPr>
                      <w:color w:val="auto"/>
                    </w:rPr>
                    <w:t>1</w:t>
                  </w:r>
                </w:p>
              </w:tc>
            </w:tr>
            <w:tr w14:paraId="72A9B9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5000" w:type="pct"/>
                  <w:gridSpan w:val="6"/>
                  <w:tcBorders>
                    <w:tl2br w:val="nil"/>
                    <w:tr2bl w:val="nil"/>
                  </w:tcBorders>
                  <w:vAlign w:val="center"/>
                </w:tcPr>
                <w:p w14:paraId="28A4CB38">
                  <w:pPr>
                    <w:pStyle w:val="23"/>
                    <w:bidi w:val="0"/>
                    <w:jc w:val="both"/>
                    <w:rPr>
                      <w:rFonts w:hint="eastAsia" w:eastAsia="宋体"/>
                      <w:color w:val="auto"/>
                      <w:lang w:val="en-US" w:eastAsia="zh-CN"/>
                    </w:rPr>
                  </w:pPr>
                  <w:r>
                    <w:rPr>
                      <w:rFonts w:hint="eastAsia"/>
                      <w:color w:val="auto"/>
                      <w:lang w:val="en-US" w:eastAsia="zh-CN"/>
                    </w:rPr>
                    <w:t>备注：①括号外数值为水温＞12℃时的控制指标，括号内数值为水温＜12℃时的控制指标。②氨氮参照执行《污水排入城镇下水道水质标准》（GB/T 31962-2015）。</w:t>
                  </w:r>
                </w:p>
              </w:tc>
            </w:tr>
          </w:tbl>
          <w:p w14:paraId="2D58D19F">
            <w:pPr>
              <w:pStyle w:val="4"/>
              <w:bidi w:val="0"/>
              <w:rPr>
                <w:rFonts w:hint="eastAsia"/>
                <w:color w:val="auto"/>
                <w:lang w:val="en-US" w:eastAsia="zh-CN"/>
              </w:rPr>
            </w:pPr>
            <w:r>
              <w:rPr>
                <w:rFonts w:hint="eastAsia"/>
                <w:color w:val="auto"/>
                <w:lang w:val="en-US" w:eastAsia="zh-CN"/>
              </w:rPr>
              <w:t>噪声</w:t>
            </w:r>
          </w:p>
          <w:p w14:paraId="5E482106">
            <w:pPr>
              <w:pStyle w:val="21"/>
              <w:bidi w:val="0"/>
              <w:rPr>
                <w:rFonts w:hint="eastAsia"/>
                <w:color w:val="auto"/>
              </w:rPr>
            </w:pPr>
            <w:r>
              <w:rPr>
                <w:rFonts w:hint="eastAsia"/>
                <w:color w:val="auto"/>
              </w:rPr>
              <w:t>本项目施工期执行《建筑施工场界环境噪声排放标准》（GB</w:t>
            </w:r>
            <w:r>
              <w:rPr>
                <w:rFonts w:hint="eastAsia"/>
                <w:color w:val="auto"/>
                <w:lang w:val="en-US" w:eastAsia="zh-CN"/>
              </w:rPr>
              <w:t xml:space="preserve"> </w:t>
            </w:r>
            <w:r>
              <w:rPr>
                <w:rFonts w:hint="eastAsia"/>
                <w:color w:val="auto"/>
              </w:rPr>
              <w:t>12523-2011），</w:t>
            </w:r>
            <w:r>
              <w:rPr>
                <w:rFonts w:hint="eastAsia"/>
                <w:color w:val="auto"/>
                <w:lang w:val="en-US" w:eastAsia="zh-CN"/>
              </w:rPr>
              <w:t>具体见</w:t>
            </w:r>
            <w:r>
              <w:rPr>
                <w:rFonts w:hint="eastAsia"/>
                <w:color w:val="auto"/>
              </w:rPr>
              <w:t>下表。</w:t>
            </w:r>
          </w:p>
          <w:p w14:paraId="3FFAABE9">
            <w:pPr>
              <w:pStyle w:val="6"/>
              <w:bidi w:val="0"/>
              <w:rPr>
                <w:rFonts w:hint="eastAsia"/>
                <w:color w:val="auto"/>
              </w:rPr>
            </w:pPr>
            <w:r>
              <w:rPr>
                <w:rFonts w:hint="eastAsia"/>
                <w:color w:val="auto"/>
              </w:rPr>
              <w:t>建筑施工场界环境噪声排放</w:t>
            </w:r>
            <w:r>
              <w:rPr>
                <w:rFonts w:hint="eastAsia"/>
                <w:color w:val="auto"/>
                <w:lang w:val="en-US" w:eastAsia="zh-CN"/>
              </w:rPr>
              <w:t>标准</w:t>
            </w:r>
            <w:r>
              <w:rPr>
                <w:rFonts w:hint="eastAsia"/>
                <w:color w:val="auto"/>
              </w:rPr>
              <w:t xml:space="preserve">    单位：dB（A）</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413"/>
              <w:gridCol w:w="3938"/>
            </w:tblGrid>
            <w:tr w14:paraId="562A8A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2" w:type="pct"/>
                  <w:vAlign w:val="center"/>
                </w:tcPr>
                <w:p w14:paraId="31200D42">
                  <w:pPr>
                    <w:pStyle w:val="23"/>
                    <w:bidi w:val="0"/>
                    <w:rPr>
                      <w:color w:val="auto"/>
                    </w:rPr>
                  </w:pPr>
                  <w:r>
                    <w:rPr>
                      <w:color w:val="auto"/>
                    </w:rPr>
                    <w:t>昼间</w:t>
                  </w:r>
                </w:p>
              </w:tc>
              <w:tc>
                <w:tcPr>
                  <w:tcW w:w="2358" w:type="pct"/>
                  <w:vAlign w:val="center"/>
                </w:tcPr>
                <w:p w14:paraId="1F243B98">
                  <w:pPr>
                    <w:pStyle w:val="23"/>
                    <w:bidi w:val="0"/>
                    <w:rPr>
                      <w:color w:val="auto"/>
                    </w:rPr>
                  </w:pPr>
                  <w:r>
                    <w:rPr>
                      <w:color w:val="auto"/>
                    </w:rPr>
                    <w:t>夜间</w:t>
                  </w:r>
                </w:p>
              </w:tc>
            </w:tr>
            <w:tr w14:paraId="14FFAC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2" w:type="pct"/>
                  <w:vAlign w:val="center"/>
                </w:tcPr>
                <w:p w14:paraId="357F12C1">
                  <w:pPr>
                    <w:pStyle w:val="23"/>
                    <w:bidi w:val="0"/>
                    <w:rPr>
                      <w:color w:val="auto"/>
                    </w:rPr>
                  </w:pPr>
                  <w:r>
                    <w:rPr>
                      <w:color w:val="auto"/>
                    </w:rPr>
                    <w:t>70</w:t>
                  </w:r>
                </w:p>
              </w:tc>
              <w:tc>
                <w:tcPr>
                  <w:tcW w:w="2358" w:type="pct"/>
                  <w:vAlign w:val="center"/>
                </w:tcPr>
                <w:p w14:paraId="2C38D919">
                  <w:pPr>
                    <w:pStyle w:val="23"/>
                    <w:bidi w:val="0"/>
                    <w:rPr>
                      <w:color w:val="auto"/>
                    </w:rPr>
                  </w:pPr>
                  <w:r>
                    <w:rPr>
                      <w:color w:val="auto"/>
                    </w:rPr>
                    <w:t>55</w:t>
                  </w:r>
                </w:p>
              </w:tc>
            </w:tr>
          </w:tbl>
          <w:p w14:paraId="42115A77">
            <w:pPr>
              <w:jc w:val="both"/>
              <w:rPr>
                <w:rFonts w:hint="eastAsia"/>
                <w:color w:val="auto"/>
              </w:rPr>
            </w:pPr>
          </w:p>
        </w:tc>
      </w:tr>
      <w:tr w14:paraId="289FB2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19" w:type="dxa"/>
            <w:vAlign w:val="center"/>
          </w:tcPr>
          <w:p w14:paraId="134DDFF2">
            <w:pPr>
              <w:rPr>
                <w:rFonts w:hint="eastAsia"/>
                <w:color w:val="auto"/>
              </w:rPr>
            </w:pPr>
            <w:r>
              <w:rPr>
                <w:rFonts w:hint="eastAsia"/>
                <w:color w:val="auto"/>
              </w:rPr>
              <w:t>其他</w:t>
            </w:r>
          </w:p>
        </w:tc>
        <w:tc>
          <w:tcPr>
            <w:tcW w:w="8567" w:type="dxa"/>
            <w:vAlign w:val="center"/>
          </w:tcPr>
          <w:p w14:paraId="3147F0C2">
            <w:pPr>
              <w:pStyle w:val="21"/>
              <w:bidi w:val="0"/>
              <w:rPr>
                <w:rFonts w:hint="eastAsia"/>
                <w:color w:val="auto"/>
              </w:rPr>
            </w:pPr>
            <w:r>
              <w:rPr>
                <w:rFonts w:hint="eastAsia"/>
                <w:color w:val="auto"/>
              </w:rPr>
              <w:t>本项目为</w:t>
            </w:r>
            <w:r>
              <w:rPr>
                <w:rFonts w:hint="eastAsia"/>
                <w:color w:val="auto"/>
                <w:lang w:val="en-US" w:eastAsia="zh-CN"/>
              </w:rPr>
              <w:t>城市道路建设项目</w:t>
            </w:r>
            <w:r>
              <w:rPr>
                <w:rFonts w:hint="eastAsia"/>
                <w:color w:val="auto"/>
              </w:rPr>
              <w:t>，无总量控制指标。</w:t>
            </w:r>
          </w:p>
        </w:tc>
      </w:tr>
    </w:tbl>
    <w:p w14:paraId="7919D64A">
      <w:pPr>
        <w:rPr>
          <w:color w:val="auto"/>
        </w:rPr>
      </w:pPr>
      <w:r>
        <w:rPr>
          <w:rFonts w:hint="eastAsia"/>
          <w:color w:val="auto"/>
        </w:rPr>
        <w:br w:type="page"/>
      </w:r>
    </w:p>
    <w:p w14:paraId="6652F4F3">
      <w:pPr>
        <w:pStyle w:val="2"/>
        <w:spacing w:after="312"/>
        <w:rPr>
          <w:color w:val="auto"/>
        </w:rPr>
      </w:pPr>
      <w:r>
        <w:rPr>
          <w:rFonts w:hint="eastAsia"/>
          <w:color w:val="auto"/>
        </w:rPr>
        <w:t>生态环境影响分析</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57"/>
        <w:gridCol w:w="8493"/>
      </w:tblGrid>
      <w:tr w14:paraId="559553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7" w:type="dxa"/>
            <w:vAlign w:val="center"/>
          </w:tcPr>
          <w:p w14:paraId="367ED052">
            <w:pPr>
              <w:rPr>
                <w:color w:val="auto"/>
              </w:rPr>
            </w:pPr>
            <w:bookmarkStart w:id="4" w:name="_Hlk49796138"/>
            <w:r>
              <w:rPr>
                <w:rFonts w:hint="eastAsia"/>
                <w:color w:val="auto"/>
              </w:rPr>
              <w:t>施工期生态环境影响分析</w:t>
            </w:r>
            <w:bookmarkEnd w:id="4"/>
          </w:p>
        </w:tc>
        <w:tc>
          <w:tcPr>
            <w:tcW w:w="8493" w:type="dxa"/>
            <w:vAlign w:val="top"/>
          </w:tcPr>
          <w:p w14:paraId="1F65594D">
            <w:pPr>
              <w:pStyle w:val="3"/>
              <w:jc w:val="left"/>
              <w:rPr>
                <w:color w:val="auto"/>
              </w:rPr>
            </w:pPr>
            <w:r>
              <w:rPr>
                <w:rFonts w:hint="eastAsia"/>
                <w:color w:val="auto"/>
              </w:rPr>
              <w:t>施工期生态环境影响分析</w:t>
            </w:r>
          </w:p>
          <w:p w14:paraId="368ECB6B">
            <w:pPr>
              <w:pStyle w:val="4"/>
              <w:bidi w:val="0"/>
              <w:rPr>
                <w:color w:val="auto"/>
              </w:rPr>
            </w:pPr>
            <w:r>
              <w:rPr>
                <w:rFonts w:hint="eastAsia"/>
                <w:color w:val="auto"/>
              </w:rPr>
              <w:t>生态环境</w:t>
            </w:r>
            <w:r>
              <w:rPr>
                <w:color w:val="auto"/>
              </w:rPr>
              <w:t>影响分析</w:t>
            </w:r>
          </w:p>
          <w:p w14:paraId="1ED8FE9C">
            <w:pPr>
              <w:pStyle w:val="5"/>
              <w:bidi w:val="0"/>
              <w:rPr>
                <w:color w:val="auto"/>
              </w:rPr>
            </w:pPr>
            <w:r>
              <w:rPr>
                <w:rFonts w:hint="eastAsia"/>
                <w:color w:val="auto"/>
              </w:rPr>
              <w:t>工程占地对土地利用的影响</w:t>
            </w:r>
            <w:r>
              <w:rPr>
                <w:rFonts w:hint="eastAsia"/>
                <w:color w:val="auto"/>
                <w:lang w:val="en-US" w:eastAsia="zh-CN"/>
              </w:rPr>
              <w:t>分析</w:t>
            </w:r>
          </w:p>
          <w:p w14:paraId="5456C1BC">
            <w:pPr>
              <w:pStyle w:val="21"/>
              <w:bidi w:val="0"/>
              <w:rPr>
                <w:rFonts w:hint="default"/>
                <w:color w:val="auto"/>
                <w:lang w:val="en-US"/>
              </w:rPr>
            </w:pPr>
            <w:r>
              <w:rPr>
                <w:rFonts w:hint="eastAsia"/>
                <w:color w:val="auto"/>
              </w:rPr>
              <w:t>本项目占地包括永久占地和临时占地。永久占地</w:t>
            </w:r>
            <w:r>
              <w:rPr>
                <w:rFonts w:hint="eastAsia"/>
                <w:color w:val="auto"/>
                <w:lang w:val="en-US" w:eastAsia="zh-CN"/>
              </w:rPr>
              <w:t>5964.56m</w:t>
            </w:r>
            <w:r>
              <w:rPr>
                <w:rFonts w:hint="eastAsia"/>
                <w:color w:val="auto"/>
                <w:vertAlign w:val="superscript"/>
                <w:lang w:val="en-US" w:eastAsia="zh-CN"/>
              </w:rPr>
              <w:t>2</w:t>
            </w:r>
            <w:r>
              <w:rPr>
                <w:rFonts w:hint="eastAsia"/>
                <w:color w:val="auto"/>
                <w:lang w:val="en-US" w:eastAsia="zh-CN"/>
              </w:rPr>
              <w:t>，占地类型为公园绿地、交通运输用地、河流水面、商业用地；临时占地为施工场地，占地面积约1300m</w:t>
            </w:r>
            <w:r>
              <w:rPr>
                <w:rFonts w:hint="eastAsia"/>
                <w:color w:val="auto"/>
                <w:vertAlign w:val="superscript"/>
                <w:lang w:val="en-US" w:eastAsia="zh-CN"/>
              </w:rPr>
              <w:t>2</w:t>
            </w:r>
            <w:r>
              <w:rPr>
                <w:rFonts w:hint="eastAsia"/>
                <w:color w:val="auto"/>
                <w:lang w:val="en-US" w:eastAsia="zh-CN"/>
              </w:rPr>
              <w:t>，占地类型为商业用地。永久占地和临时占地面积均较小，且不占用耕地、林地等，对区域土地利用的影响较小。</w:t>
            </w:r>
          </w:p>
          <w:p w14:paraId="33BC6743">
            <w:pPr>
              <w:pStyle w:val="5"/>
              <w:bidi w:val="0"/>
              <w:rPr>
                <w:color w:val="auto"/>
              </w:rPr>
            </w:pPr>
            <w:r>
              <w:rPr>
                <w:rFonts w:hint="eastAsia"/>
                <w:color w:val="auto"/>
              </w:rPr>
              <w:t>对沿线植被的影响分析</w:t>
            </w:r>
          </w:p>
          <w:p w14:paraId="29C5EEB8">
            <w:pPr>
              <w:pStyle w:val="21"/>
              <w:bidi w:val="0"/>
              <w:rPr>
                <w:rFonts w:hint="default"/>
                <w:color w:val="auto"/>
                <w:lang w:val="en-US" w:eastAsia="zh-CN"/>
              </w:rPr>
            </w:pPr>
            <w:r>
              <w:rPr>
                <w:rFonts w:hint="eastAsia"/>
                <w:color w:val="auto"/>
              </w:rPr>
              <w:t>根据现场</w:t>
            </w:r>
            <w:r>
              <w:rPr>
                <w:rFonts w:hint="eastAsia"/>
                <w:color w:val="auto"/>
                <w:lang w:val="en-US" w:eastAsia="zh-CN"/>
              </w:rPr>
              <w:t>调查</w:t>
            </w:r>
            <w:r>
              <w:rPr>
                <w:rFonts w:hint="eastAsia"/>
                <w:color w:val="auto"/>
              </w:rPr>
              <w:t>，</w:t>
            </w:r>
            <w:r>
              <w:rPr>
                <w:rFonts w:hint="eastAsia"/>
                <w:color w:val="auto"/>
                <w:lang w:val="en-US" w:eastAsia="zh-CN"/>
              </w:rPr>
              <w:t>项目所在地植被类型为人工种植的乔木、灌木、草本植物及周边居民临时种植的农作物为主，均为当地常见的物种桂花、蓝花楹、海桐、鼠尾草、狗牙根等，项目用地及周边未发现珍稀濒危及国家、地方重点保护野生植物和古树名木分布</w:t>
            </w:r>
            <w:r>
              <w:rPr>
                <w:rFonts w:hint="eastAsia"/>
                <w:color w:val="auto"/>
                <w:lang w:eastAsia="zh-CN"/>
              </w:rPr>
              <w:t>，</w:t>
            </w:r>
            <w:r>
              <w:rPr>
                <w:rFonts w:hint="eastAsia"/>
                <w:color w:val="auto"/>
                <w:lang w:val="en-US" w:eastAsia="zh-CN"/>
              </w:rPr>
              <w:t>故项目建设</w:t>
            </w:r>
            <w:r>
              <w:rPr>
                <w:rFonts w:hint="eastAsia"/>
                <w:color w:val="auto"/>
                <w:lang w:eastAsia="zh-CN"/>
              </w:rPr>
              <w:t>对沿线植被的影响范围有限。同时项目</w:t>
            </w:r>
            <w:r>
              <w:rPr>
                <w:rFonts w:hint="eastAsia"/>
                <w:color w:val="auto"/>
                <w:lang w:val="en-US" w:eastAsia="zh-CN"/>
              </w:rPr>
              <w:t>建成后通过景观绿化，对破坏的植被起到一定的补偿作用。</w:t>
            </w:r>
          </w:p>
          <w:p w14:paraId="404C4B0A">
            <w:pPr>
              <w:pStyle w:val="5"/>
              <w:bidi w:val="0"/>
              <w:rPr>
                <w:color w:val="auto"/>
              </w:rPr>
            </w:pPr>
            <w:r>
              <w:rPr>
                <w:rFonts w:hint="eastAsia"/>
                <w:color w:val="auto"/>
                <w:lang w:val="en-US" w:eastAsia="zh-CN"/>
              </w:rPr>
              <w:t>对沿线</w:t>
            </w:r>
            <w:r>
              <w:rPr>
                <w:rFonts w:hint="eastAsia"/>
                <w:color w:val="auto"/>
              </w:rPr>
              <w:t>动物</w:t>
            </w:r>
            <w:r>
              <w:rPr>
                <w:rFonts w:hint="eastAsia"/>
                <w:color w:val="auto"/>
                <w:lang w:val="en-US" w:eastAsia="zh-CN"/>
              </w:rPr>
              <w:t>的</w:t>
            </w:r>
            <w:r>
              <w:rPr>
                <w:rFonts w:hint="eastAsia"/>
                <w:color w:val="auto"/>
              </w:rPr>
              <w:t>影响分析</w:t>
            </w:r>
          </w:p>
          <w:p w14:paraId="67F44C2E">
            <w:pPr>
              <w:pStyle w:val="21"/>
              <w:bidi w:val="0"/>
              <w:rPr>
                <w:rFonts w:hint="eastAsia"/>
                <w:color w:val="auto"/>
                <w:lang w:val="en-US" w:eastAsia="zh-CN"/>
              </w:rPr>
            </w:pPr>
            <w:r>
              <w:rPr>
                <w:rFonts w:hint="eastAsia"/>
                <w:color w:val="auto"/>
                <w:lang w:val="en-US" w:eastAsia="zh-CN"/>
              </w:rPr>
              <w:t>本项目位于城市建成区，属于城市生态系统，由于受到较强的人为干扰，基本无野生动物活动，可能有少量的蛙、鸟、鼠等。根据现场勘查，项目用地及周边未发现国家、地方重点保护野生动物。</w:t>
            </w:r>
          </w:p>
          <w:p w14:paraId="70B4D856">
            <w:pPr>
              <w:pStyle w:val="21"/>
              <w:bidi w:val="0"/>
              <w:rPr>
                <w:color w:val="auto"/>
              </w:rPr>
            </w:pPr>
            <w:r>
              <w:rPr>
                <w:rFonts w:hint="eastAsia"/>
                <w:color w:val="auto"/>
              </w:rPr>
              <w:t>施工机械产生的噪声以及施工人员的活动会使得项目周边区域内的动物暂时迁移、避让。但这种影响由于只涉及施工区域，范围较小。由于区域动物主要为当地常见的鼠类、鸟类等，对区域环境适应性较强，较容易就近找到新的栖息地，不会因为工程的施工失去栖息地而死亡，种群数量不会有大的变化，对其影响是暂时的，且影响小。</w:t>
            </w:r>
          </w:p>
          <w:p w14:paraId="40A1DEFE">
            <w:pPr>
              <w:pStyle w:val="5"/>
              <w:bidi w:val="0"/>
              <w:rPr>
                <w:rFonts w:hint="eastAsia"/>
                <w:color w:val="auto"/>
                <w:lang w:val="en-US" w:eastAsia="zh-CN"/>
              </w:rPr>
            </w:pPr>
            <w:r>
              <w:rPr>
                <w:rFonts w:hint="eastAsia"/>
                <w:color w:val="auto"/>
              </w:rPr>
              <w:t>对水生生物的影响</w:t>
            </w:r>
            <w:r>
              <w:rPr>
                <w:rFonts w:hint="eastAsia"/>
                <w:color w:val="auto"/>
                <w:lang w:val="en-US" w:eastAsia="zh-CN"/>
              </w:rPr>
              <w:t>分析</w:t>
            </w:r>
          </w:p>
          <w:p w14:paraId="6E99BBEB">
            <w:pPr>
              <w:pStyle w:val="21"/>
              <w:bidi w:val="0"/>
              <w:rPr>
                <w:rFonts w:hint="default"/>
                <w:color w:val="auto"/>
                <w:lang w:val="en-US" w:eastAsia="zh-CN"/>
              </w:rPr>
            </w:pPr>
            <w:r>
              <w:rPr>
                <w:rFonts w:hint="default"/>
                <w:color w:val="auto"/>
                <w:lang w:val="en-US" w:eastAsia="zh-CN"/>
              </w:rPr>
              <w:t>本项目跨甘溪沟</w:t>
            </w:r>
            <w:r>
              <w:rPr>
                <w:rFonts w:hint="eastAsia"/>
                <w:color w:val="auto"/>
                <w:lang w:val="en-US" w:eastAsia="zh-CN"/>
              </w:rPr>
              <w:t>，甘溪沟已进行了河道治理，对原河道进行了护坡护底的渠化，水生生物少，以浮游微生物为主。</w:t>
            </w:r>
            <w:r>
              <w:rPr>
                <w:rFonts w:hint="default"/>
                <w:color w:val="auto"/>
                <w:lang w:val="en-US" w:eastAsia="zh-CN"/>
              </w:rPr>
              <w:t>调查河段内无珍稀鱼类和特殊保护鱼类，也无重要水生生物的自然产卵场及索饵场、越冬场和洄游通道</w:t>
            </w:r>
            <w:r>
              <w:rPr>
                <w:rFonts w:hint="eastAsia"/>
                <w:color w:val="auto"/>
                <w:lang w:val="en-US" w:eastAsia="zh-CN"/>
              </w:rPr>
              <w:t>，对水生生物影响小</w:t>
            </w:r>
            <w:r>
              <w:rPr>
                <w:rFonts w:hint="default"/>
                <w:color w:val="auto"/>
                <w:lang w:val="en-US" w:eastAsia="zh-CN"/>
              </w:rPr>
              <w:t>。</w:t>
            </w:r>
          </w:p>
          <w:p w14:paraId="0173D6B7">
            <w:pPr>
              <w:pStyle w:val="5"/>
              <w:bidi w:val="0"/>
              <w:rPr>
                <w:color w:val="auto"/>
              </w:rPr>
            </w:pPr>
            <w:r>
              <w:rPr>
                <w:rFonts w:hint="eastAsia"/>
                <w:color w:val="auto"/>
                <w:lang w:val="en-US" w:eastAsia="zh-CN"/>
              </w:rPr>
              <w:t>对</w:t>
            </w:r>
            <w:r>
              <w:rPr>
                <w:color w:val="auto"/>
              </w:rPr>
              <w:t>景观</w:t>
            </w:r>
            <w:r>
              <w:rPr>
                <w:rFonts w:hint="eastAsia"/>
                <w:color w:val="auto"/>
                <w:lang w:val="en-US" w:eastAsia="zh-CN"/>
              </w:rPr>
              <w:t>的</w:t>
            </w:r>
            <w:r>
              <w:rPr>
                <w:color w:val="auto"/>
              </w:rPr>
              <w:t>影响分析</w:t>
            </w:r>
          </w:p>
          <w:p w14:paraId="74F42AD5">
            <w:pPr>
              <w:pStyle w:val="21"/>
              <w:bidi w:val="0"/>
              <w:rPr>
                <w:color w:val="auto"/>
              </w:rPr>
            </w:pPr>
            <w:r>
              <w:rPr>
                <w:rFonts w:hint="eastAsia"/>
                <w:color w:val="auto"/>
              </w:rPr>
              <w:t>道路施工期间挖填方将破坏征地范围内的地表植被，形成与施工场地周围环境反差较大、不相融的裸地景观，从而对施工场所周围人群的视觉产生冲击。尤其是由于对地表植被的完全破坏和工程区土壤的扰动，在雨季松散裸露的坡面</w:t>
            </w:r>
            <w:r>
              <w:rPr>
                <w:rFonts w:hint="eastAsia"/>
                <w:color w:val="auto"/>
                <w:lang w:eastAsia="zh-CN"/>
              </w:rPr>
              <w:t>极易</w:t>
            </w:r>
            <w:r>
              <w:rPr>
                <w:rFonts w:hint="eastAsia"/>
                <w:color w:val="auto"/>
              </w:rPr>
              <w:t>形成水土流失，从而对区域景观环境质量产生影响。而在旱季，松散的地表在有风和车辆行驶时易形成扬尘，扬尘覆盖在施工场所以外植被表面，使周围景观质量大大降低，大量的施工机械和人员进驻将给原有景观环境增添了不和谐的景色。但</w:t>
            </w:r>
            <w:r>
              <w:rPr>
                <w:color w:val="auto"/>
              </w:rPr>
              <w:t>随着施工结束后对临时占地</w:t>
            </w:r>
            <w:r>
              <w:rPr>
                <w:rFonts w:hint="eastAsia"/>
                <w:color w:val="auto"/>
              </w:rPr>
              <w:t>的清理及道路的绿化</w:t>
            </w:r>
            <w:r>
              <w:rPr>
                <w:color w:val="auto"/>
              </w:rPr>
              <w:t>，其对周边景观影响将逐渐消失</w:t>
            </w:r>
            <w:r>
              <w:rPr>
                <w:rFonts w:hint="eastAsia"/>
                <w:color w:val="auto"/>
              </w:rPr>
              <w:t>。</w:t>
            </w:r>
          </w:p>
          <w:p w14:paraId="5FB11B96">
            <w:pPr>
              <w:pStyle w:val="4"/>
              <w:bidi w:val="0"/>
              <w:rPr>
                <w:color w:val="auto"/>
              </w:rPr>
            </w:pPr>
            <w:r>
              <w:rPr>
                <w:rFonts w:hint="eastAsia"/>
                <w:color w:val="auto"/>
              </w:rPr>
              <w:t>大气环境影响分析</w:t>
            </w:r>
          </w:p>
          <w:p w14:paraId="58101E6A">
            <w:pPr>
              <w:pStyle w:val="21"/>
              <w:bidi w:val="0"/>
              <w:rPr>
                <w:color w:val="auto"/>
              </w:rPr>
            </w:pPr>
            <w:r>
              <w:rPr>
                <w:color w:val="auto"/>
              </w:rPr>
              <w:t>本项目施工期主要大气污染物为施工扬尘、施工机械尾气及沥青烟。</w:t>
            </w:r>
          </w:p>
          <w:p w14:paraId="6689C9EA">
            <w:pPr>
              <w:pStyle w:val="21"/>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）施工扬尘</w:t>
            </w:r>
          </w:p>
          <w:p w14:paraId="48EB654C">
            <w:pPr>
              <w:pStyle w:val="21"/>
              <w:bidi w:val="0"/>
              <w:rPr>
                <w:color w:val="auto"/>
              </w:rPr>
            </w:pPr>
            <w:r>
              <w:rPr>
                <w:color w:val="auto"/>
              </w:rPr>
              <w:t>施工期扬尘主要来自于土石方开挖、施工活动扰动、散装施工材料如水泥、砂石料装卸、车辆运输等。根据同类型施工资料，施工场地土石方开挖、施工活动、装卸散装材料等产生的扬尘影响范围主要是施工场地周围50m，施工场地下风向影响范围增加至80~150m。车辆运输产生扬尘影响道路两侧的环境空气，路面积尘量在0.1kg/m</w:t>
            </w:r>
            <w:r>
              <w:rPr>
                <w:color w:val="auto"/>
                <w:vertAlign w:val="superscript"/>
              </w:rPr>
              <w:t>2</w:t>
            </w:r>
            <w:r>
              <w:rPr>
                <w:color w:val="auto"/>
              </w:rPr>
              <w:t>时，道路扬尘影响范围约为10~20m之间。施工过程中对所有进出工程场地的运输车辆的轮胎进行清洗，避免将泥土带入城市道路，同时对积尘较大的施工区和施工场地外200m的运输道路进行洒水（平时2~3次，7~9月4~5次），可使空气中的扬尘量减少70%以上，有效减少扬尘对附近环境空气的影响。同时，评价要求在施工场地四周设置不低于1.8m的围挡，减轻扬尘影响范围。施工期扬尘对环境空气的影响是暂时的，随着施工的结束而消失。</w:t>
            </w:r>
          </w:p>
          <w:p w14:paraId="5CBB5A81">
            <w:pPr>
              <w:pStyle w:val="21"/>
              <w:bidi w:val="0"/>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）施工机械尾气</w:t>
            </w:r>
          </w:p>
          <w:p w14:paraId="52DBE4E7">
            <w:pPr>
              <w:pStyle w:val="21"/>
              <w:bidi w:val="0"/>
              <w:rPr>
                <w:rFonts w:hint="eastAsia" w:eastAsia="宋体"/>
                <w:color w:val="auto"/>
                <w:lang w:eastAsia="zh-CN"/>
              </w:rPr>
            </w:pPr>
            <w:r>
              <w:rPr>
                <w:color w:val="auto"/>
              </w:rPr>
              <w:t>施工机械尾气中污染物主要有NOx、THC等，由于施工机械废气排放具有间断性，且使用数量不多，故施工过程中施工机械尾气中NOx、THC等污染物排放量小，预计项目建设过程中周围环境空气质量受施工机械尾气影响很小</w:t>
            </w:r>
            <w:r>
              <w:rPr>
                <w:rFonts w:hint="eastAsia"/>
                <w:color w:val="auto"/>
                <w:lang w:eastAsia="zh-CN"/>
              </w:rPr>
              <w:t>。</w:t>
            </w:r>
          </w:p>
          <w:p w14:paraId="43473FEE">
            <w:pPr>
              <w:pStyle w:val="21"/>
              <w:bidi w:val="0"/>
              <w:rPr>
                <w:rFonts w:hint="eastAsia" w:eastAsia="宋体"/>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）沥青烟</w:t>
            </w:r>
          </w:p>
          <w:p w14:paraId="35915DFE">
            <w:pPr>
              <w:pStyle w:val="21"/>
              <w:bidi w:val="0"/>
              <w:rPr>
                <w:color w:val="auto"/>
              </w:rPr>
            </w:pPr>
            <w:r>
              <w:rPr>
                <w:color w:val="auto"/>
              </w:rPr>
              <w:t>本项目所需沥青均外购，现场不设置沥青熬制、搅拌等设施，沥青烟主要产生于路面铺设过程，项目线路短，铺路时间短，则沥青烟产生量</w:t>
            </w:r>
            <w:r>
              <w:rPr>
                <w:rFonts w:hint="eastAsia"/>
                <w:color w:val="auto"/>
                <w:lang w:val="en-US" w:eastAsia="zh-CN"/>
              </w:rPr>
              <w:t>极少</w:t>
            </w:r>
            <w:r>
              <w:rPr>
                <w:color w:val="auto"/>
              </w:rPr>
              <w:t>，对环境影响小。</w:t>
            </w:r>
          </w:p>
          <w:p w14:paraId="723B412E">
            <w:pPr>
              <w:pStyle w:val="21"/>
              <w:bidi w:val="0"/>
              <w:rPr>
                <w:color w:val="auto"/>
              </w:rPr>
            </w:pPr>
            <w:r>
              <w:rPr>
                <w:rFonts w:hint="eastAsia"/>
                <w:color w:val="auto"/>
              </w:rPr>
              <w:t>综上分析，项目施工过程中主要影响为扬尘，施工单位应在施工期间采取洒水降尘及车辆冲洗等措施，降低施工扬尘对周围环境的影响。且这种影响时间短暂，并随施工的结束而消失。</w:t>
            </w:r>
          </w:p>
          <w:p w14:paraId="753D1D08">
            <w:pPr>
              <w:pStyle w:val="4"/>
              <w:bidi w:val="0"/>
              <w:rPr>
                <w:color w:val="auto"/>
              </w:rPr>
            </w:pPr>
            <w:r>
              <w:rPr>
                <w:color w:val="auto"/>
              </w:rPr>
              <w:t>水环境影响分析</w:t>
            </w:r>
          </w:p>
          <w:p w14:paraId="357E93EF">
            <w:pPr>
              <w:pStyle w:val="21"/>
              <w:bidi w:val="0"/>
              <w:rPr>
                <w:color w:val="auto"/>
              </w:rPr>
            </w:pPr>
            <w:r>
              <w:rPr>
                <w:color w:val="auto"/>
              </w:rPr>
              <w:t>施工期水环境影响主要</w:t>
            </w:r>
            <w:r>
              <w:rPr>
                <w:rFonts w:hint="eastAsia"/>
                <w:color w:val="auto"/>
                <w:lang w:val="en-US" w:eastAsia="zh-CN"/>
              </w:rPr>
              <w:t>为</w:t>
            </w:r>
            <w:r>
              <w:rPr>
                <w:color w:val="auto"/>
              </w:rPr>
              <w:t>施工废水、施工人员生活污水。</w:t>
            </w:r>
          </w:p>
          <w:p w14:paraId="24F77065">
            <w:pPr>
              <w:pStyle w:val="21"/>
              <w:bidi w:val="0"/>
              <w:rPr>
                <w:color w:val="auto"/>
              </w:rPr>
            </w:pPr>
            <w:r>
              <w:rPr>
                <w:rFonts w:hint="eastAsia"/>
                <w:color w:val="auto"/>
              </w:rPr>
              <w:t>（1）</w:t>
            </w:r>
            <w:r>
              <w:rPr>
                <w:color w:val="auto"/>
              </w:rPr>
              <w:t>施工废水</w:t>
            </w:r>
          </w:p>
          <w:p w14:paraId="6C4EDFC7">
            <w:pPr>
              <w:pStyle w:val="21"/>
              <w:bidi w:val="0"/>
              <w:rPr>
                <w:color w:val="auto"/>
              </w:rPr>
            </w:pPr>
            <w:r>
              <w:rPr>
                <w:color w:val="auto"/>
              </w:rPr>
              <w:t>本项目</w:t>
            </w:r>
            <w:r>
              <w:rPr>
                <w:rFonts w:hint="eastAsia"/>
                <w:color w:val="auto"/>
                <w:lang w:val="en-US" w:eastAsia="zh-CN"/>
              </w:rPr>
              <w:t>道路施工废水</w:t>
            </w:r>
            <w:r>
              <w:rPr>
                <w:rFonts w:hint="eastAsia"/>
                <w:color w:val="auto"/>
                <w:lang w:eastAsia="zh-CN"/>
              </w:rPr>
              <w:t>主要为</w:t>
            </w:r>
            <w:r>
              <w:rPr>
                <w:rFonts w:hint="eastAsia"/>
                <w:color w:val="auto"/>
                <w:lang w:val="en-US" w:eastAsia="zh-CN"/>
              </w:rPr>
              <w:t>设备及</w:t>
            </w:r>
            <w:r>
              <w:rPr>
                <w:rFonts w:hint="eastAsia"/>
                <w:color w:val="auto"/>
                <w:lang w:eastAsia="zh-CN"/>
              </w:rPr>
              <w:t>运输车辆冲洗废水、</w:t>
            </w:r>
            <w:r>
              <w:rPr>
                <w:rFonts w:hint="eastAsia"/>
                <w:color w:val="auto"/>
                <w:lang w:val="en-US" w:eastAsia="zh-CN"/>
              </w:rPr>
              <w:t>桥梁施工废水。类比同类型工程，设备及运输车辆冲洗废水产生量约2.0m</w:t>
            </w:r>
            <w:r>
              <w:rPr>
                <w:rFonts w:hint="eastAsia"/>
                <w:color w:val="auto"/>
                <w:vertAlign w:val="superscript"/>
                <w:lang w:val="en-US" w:eastAsia="zh-CN"/>
              </w:rPr>
              <w:t>3</w:t>
            </w:r>
            <w:r>
              <w:rPr>
                <w:rFonts w:hint="eastAsia"/>
                <w:color w:val="auto"/>
                <w:lang w:val="en-US" w:eastAsia="zh-CN"/>
              </w:rPr>
              <w:t>/d，废水中</w:t>
            </w:r>
            <w:r>
              <w:rPr>
                <w:rFonts w:hint="eastAsia"/>
                <w:color w:val="auto"/>
                <w:lang w:eastAsia="zh-CN"/>
              </w:rPr>
              <w:t>主要污染物为SS、石油类，浓度分别</w:t>
            </w:r>
            <w:r>
              <w:rPr>
                <w:rFonts w:hint="eastAsia"/>
                <w:color w:val="auto"/>
                <w:lang w:val="en-US" w:eastAsia="zh-CN"/>
              </w:rPr>
              <w:t>约1500~2000</w:t>
            </w:r>
            <w:r>
              <w:rPr>
                <w:rFonts w:hint="eastAsia"/>
                <w:color w:val="auto"/>
                <w:lang w:eastAsia="zh-CN"/>
              </w:rPr>
              <w:t>mg/L、20~30mg/L，产生量分别</w:t>
            </w:r>
            <w:r>
              <w:rPr>
                <w:rFonts w:hint="eastAsia"/>
                <w:color w:val="auto"/>
                <w:lang w:val="en-US" w:eastAsia="zh-CN"/>
              </w:rPr>
              <w:t>约4</w:t>
            </w:r>
            <w:r>
              <w:rPr>
                <w:rFonts w:hint="eastAsia"/>
                <w:color w:val="auto"/>
                <w:lang w:eastAsia="zh-CN"/>
              </w:rPr>
              <w:t>kg/d、</w:t>
            </w:r>
            <w:r>
              <w:rPr>
                <w:rFonts w:hint="eastAsia"/>
                <w:color w:val="auto"/>
                <w:lang w:val="en-US" w:eastAsia="zh-CN"/>
              </w:rPr>
              <w:t>0.06</w:t>
            </w:r>
            <w:r>
              <w:rPr>
                <w:rFonts w:hint="eastAsia"/>
                <w:color w:val="auto"/>
                <w:lang w:eastAsia="zh-CN"/>
              </w:rPr>
              <w:t>kg/d。</w:t>
            </w:r>
            <w:r>
              <w:rPr>
                <w:rFonts w:hint="eastAsia"/>
                <w:color w:val="auto"/>
                <w:lang w:val="en-US" w:eastAsia="zh-CN"/>
              </w:rPr>
              <w:t>项目桥梁无涉水桥墩，</w:t>
            </w:r>
            <w:r>
              <w:rPr>
                <w:rFonts w:hint="eastAsia"/>
                <w:color w:val="auto"/>
                <w:lang w:eastAsia="zh-CN"/>
              </w:rPr>
              <w:t>桥梁下部桩基采用机械成孔施工，桥墩基坑开挖过程中有一定量的积水，主要来自基坑渗水和降雨，</w:t>
            </w:r>
            <w:r>
              <w:rPr>
                <w:rFonts w:hint="eastAsia"/>
                <w:color w:val="auto"/>
                <w:lang w:val="en-US" w:eastAsia="zh-CN"/>
              </w:rPr>
              <w:t>类比同类型工程，废水产生量约5.0m</w:t>
            </w:r>
            <w:r>
              <w:rPr>
                <w:rFonts w:hint="eastAsia"/>
                <w:color w:val="auto"/>
                <w:vertAlign w:val="superscript"/>
                <w:lang w:val="en-US" w:eastAsia="zh-CN"/>
              </w:rPr>
              <w:t>3</w:t>
            </w:r>
            <w:r>
              <w:rPr>
                <w:rFonts w:hint="eastAsia"/>
                <w:color w:val="auto"/>
                <w:lang w:val="en-US" w:eastAsia="zh-CN"/>
              </w:rPr>
              <w:t>/d，废水中</w:t>
            </w:r>
            <w:r>
              <w:rPr>
                <w:color w:val="auto"/>
              </w:rPr>
              <w:t>主要污染物为SS，浓度</w:t>
            </w:r>
            <w:r>
              <w:rPr>
                <w:rFonts w:hint="eastAsia"/>
                <w:color w:val="auto"/>
                <w:lang w:val="en-US" w:eastAsia="zh-CN"/>
              </w:rPr>
              <w:t>约3</w:t>
            </w:r>
            <w:r>
              <w:rPr>
                <w:color w:val="auto"/>
              </w:rPr>
              <w:t>000mg/L</w:t>
            </w:r>
            <w:r>
              <w:rPr>
                <w:rFonts w:hint="eastAsia"/>
                <w:color w:val="auto"/>
              </w:rPr>
              <w:t>，产生量</w:t>
            </w:r>
            <w:r>
              <w:rPr>
                <w:rFonts w:hint="eastAsia"/>
                <w:color w:val="auto"/>
                <w:lang w:val="en-US" w:eastAsia="zh-CN"/>
              </w:rPr>
              <w:t>约</w:t>
            </w:r>
            <w:r>
              <w:rPr>
                <w:color w:val="auto"/>
              </w:rPr>
              <w:t>15kg/d</w:t>
            </w:r>
            <w:r>
              <w:rPr>
                <w:rFonts w:hint="eastAsia"/>
                <w:color w:val="auto"/>
                <w:lang w:eastAsia="zh-CN"/>
              </w:rPr>
              <w:t>。</w:t>
            </w:r>
            <w:r>
              <w:rPr>
                <w:rFonts w:hint="eastAsia"/>
                <w:color w:val="auto"/>
                <w:lang w:val="en-US" w:eastAsia="zh-CN"/>
              </w:rPr>
              <w:t>施工废水</w:t>
            </w:r>
            <w:r>
              <w:rPr>
                <w:color w:val="auto"/>
              </w:rPr>
              <w:t>经隔油沉淀后回用于冲洗、洒水降尘等环节，不外排</w:t>
            </w:r>
            <w:r>
              <w:rPr>
                <w:rFonts w:hint="eastAsia"/>
                <w:color w:val="auto"/>
                <w:lang w:eastAsia="zh-CN"/>
              </w:rPr>
              <w:t>，</w:t>
            </w:r>
            <w:r>
              <w:rPr>
                <w:rFonts w:hint="eastAsia"/>
                <w:color w:val="auto"/>
                <w:lang w:val="en-US" w:eastAsia="zh-CN"/>
              </w:rPr>
              <w:t>对地表水环境影响小</w:t>
            </w:r>
            <w:r>
              <w:rPr>
                <w:color w:val="auto"/>
              </w:rPr>
              <w:t>。</w:t>
            </w:r>
          </w:p>
          <w:p w14:paraId="5809DFB8">
            <w:pPr>
              <w:pStyle w:val="21"/>
              <w:bidi w:val="0"/>
              <w:rPr>
                <w:color w:val="auto"/>
              </w:rPr>
            </w:pPr>
            <w:r>
              <w:rPr>
                <w:rFonts w:hint="eastAsia"/>
                <w:color w:val="auto"/>
              </w:rPr>
              <w:t>（2）</w:t>
            </w:r>
            <w:r>
              <w:rPr>
                <w:color w:val="auto"/>
              </w:rPr>
              <w:t>施工人员生活污水</w:t>
            </w:r>
          </w:p>
          <w:p w14:paraId="12243D24">
            <w:pPr>
              <w:pStyle w:val="21"/>
              <w:bidi w:val="0"/>
              <w:rPr>
                <w:rFonts w:hint="eastAsia"/>
                <w:color w:val="auto"/>
                <w:lang w:val="en-US" w:eastAsia="zh-CN"/>
              </w:rPr>
            </w:pPr>
            <w:r>
              <w:rPr>
                <w:color w:val="auto"/>
              </w:rPr>
              <w:t>本项目最大施工人数约30人，</w:t>
            </w:r>
            <w:r>
              <w:rPr>
                <w:rFonts w:hint="eastAsia"/>
                <w:color w:val="auto"/>
                <w:lang w:val="en-US" w:eastAsia="zh-CN"/>
              </w:rPr>
              <w:t>项目施工办公生活采用租赁周边现有房屋，</w:t>
            </w:r>
            <w:r>
              <w:rPr>
                <w:color w:val="auto"/>
              </w:rPr>
              <w:t>施工人员生活用水取</w:t>
            </w:r>
            <w:r>
              <w:rPr>
                <w:rFonts w:hint="eastAsia"/>
                <w:color w:val="auto"/>
                <w:lang w:val="en-US" w:eastAsia="zh-CN"/>
              </w:rPr>
              <w:t>100</w:t>
            </w:r>
            <w:r>
              <w:rPr>
                <w:color w:val="auto"/>
              </w:rPr>
              <w:t>L/人·d，排污系数取0.9，则生活污水量为</w:t>
            </w:r>
            <w:r>
              <w:rPr>
                <w:rFonts w:hint="eastAsia"/>
                <w:color w:val="auto"/>
                <w:lang w:val="en-US" w:eastAsia="zh-CN"/>
              </w:rPr>
              <w:t>2.7</w:t>
            </w:r>
            <w:r>
              <w:rPr>
                <w:color w:val="auto"/>
              </w:rPr>
              <w:t>m</w:t>
            </w:r>
            <w:r>
              <w:rPr>
                <w:color w:val="auto"/>
                <w:vertAlign w:val="superscript"/>
              </w:rPr>
              <w:t>3</w:t>
            </w:r>
            <w:r>
              <w:rPr>
                <w:color w:val="auto"/>
              </w:rPr>
              <w:t>/d，主要污染物为COD400mg/L、氨氮35mg/L、SS200mg/L</w:t>
            </w:r>
            <w:r>
              <w:rPr>
                <w:rFonts w:hint="eastAsia"/>
                <w:color w:val="auto"/>
                <w:lang w:eastAsia="zh-CN"/>
              </w:rPr>
              <w:t>，产生量分别</w:t>
            </w:r>
            <w:r>
              <w:rPr>
                <w:rFonts w:hint="eastAsia"/>
                <w:color w:val="auto"/>
                <w:lang w:val="en-US" w:eastAsia="zh-CN"/>
              </w:rPr>
              <w:t>约1.08</w:t>
            </w:r>
            <w:r>
              <w:rPr>
                <w:rFonts w:hint="eastAsia"/>
                <w:color w:val="auto"/>
                <w:lang w:eastAsia="zh-CN"/>
              </w:rPr>
              <w:t>kg/d、</w:t>
            </w:r>
            <w:r>
              <w:rPr>
                <w:rFonts w:hint="eastAsia"/>
                <w:color w:val="auto"/>
                <w:lang w:val="en-US" w:eastAsia="zh-CN"/>
              </w:rPr>
              <w:t>0.09</w:t>
            </w:r>
            <w:r>
              <w:rPr>
                <w:rFonts w:hint="eastAsia"/>
                <w:color w:val="auto"/>
                <w:lang w:eastAsia="zh-CN"/>
              </w:rPr>
              <w:t>kg/d、</w:t>
            </w:r>
            <w:r>
              <w:rPr>
                <w:rFonts w:hint="eastAsia"/>
                <w:color w:val="auto"/>
                <w:lang w:val="en-US" w:eastAsia="zh-CN"/>
              </w:rPr>
              <w:t>0.54</w:t>
            </w:r>
            <w:r>
              <w:rPr>
                <w:rFonts w:hint="eastAsia"/>
                <w:color w:val="auto"/>
                <w:lang w:eastAsia="zh-CN"/>
              </w:rPr>
              <w:t>kg/d</w:t>
            </w:r>
            <w:r>
              <w:rPr>
                <w:color w:val="auto"/>
              </w:rPr>
              <w:t>。</w:t>
            </w:r>
            <w:r>
              <w:rPr>
                <w:rFonts w:hint="eastAsia"/>
                <w:color w:val="auto"/>
              </w:rPr>
              <w:t>施工期生</w:t>
            </w:r>
            <w:r>
              <w:rPr>
                <w:color w:val="auto"/>
              </w:rPr>
              <w:t>活污水</w:t>
            </w:r>
            <w:r>
              <w:rPr>
                <w:rFonts w:hint="eastAsia"/>
                <w:color w:val="auto"/>
                <w:lang w:val="en-US" w:eastAsia="zh-CN"/>
              </w:rPr>
              <w:t>依托周边现有的污水设施处理后经市政污水管网进入奉节西部新区污水处理厂处理后排放，对地表水影响小。</w:t>
            </w:r>
          </w:p>
          <w:p w14:paraId="0FB719A5">
            <w:pPr>
              <w:pStyle w:val="21"/>
              <w:bidi w:val="0"/>
              <w:rPr>
                <w:rFonts w:hint="eastAsia"/>
                <w:color w:val="auto"/>
                <w:lang w:val="en-US" w:eastAsia="zh-CN"/>
              </w:rPr>
            </w:pPr>
            <w:r>
              <w:rPr>
                <w:rFonts w:hint="eastAsia"/>
                <w:color w:val="auto"/>
                <w:lang w:val="en-US" w:eastAsia="zh-CN"/>
              </w:rPr>
              <w:t>综上分析，采取上述措施后，项目施工对地表水环境影响小。</w:t>
            </w:r>
          </w:p>
          <w:p w14:paraId="6FD44982">
            <w:pPr>
              <w:pStyle w:val="4"/>
              <w:bidi w:val="0"/>
              <w:rPr>
                <w:color w:val="auto"/>
              </w:rPr>
            </w:pPr>
            <w:r>
              <w:rPr>
                <w:rFonts w:hint="eastAsia"/>
                <w:color w:val="auto"/>
              </w:rPr>
              <w:t>声环境影响分析</w:t>
            </w:r>
          </w:p>
          <w:p w14:paraId="5949EB58">
            <w:pPr>
              <w:pStyle w:val="21"/>
              <w:bidi w:val="0"/>
              <w:rPr>
                <w:rFonts w:hint="eastAsia"/>
                <w:color w:val="auto"/>
              </w:rPr>
            </w:pPr>
            <w:r>
              <w:rPr>
                <w:rFonts w:hint="eastAsia"/>
                <w:color w:val="auto"/>
              </w:rPr>
              <w:t>施工期噪声主要产生于土石方开挖、桥梁施工、路面铺设、运输和物料装卸等过程，施工期噪声主要声源是施工机械、运输车辆等，大部分为非固定声源，</w:t>
            </w:r>
            <w:r>
              <w:rPr>
                <w:rFonts w:hint="eastAsia"/>
                <w:color w:val="auto"/>
                <w:lang w:val="en-US" w:eastAsia="zh-CN"/>
              </w:rPr>
              <w:t>参照《公路建设项目环境影响评价规范》（JTGB 03-2006）</w:t>
            </w:r>
            <w:r>
              <w:rPr>
                <w:rFonts w:hint="eastAsia"/>
                <w:color w:val="auto"/>
              </w:rPr>
              <w:t>及类比分析，主要噪声源噪声值见下表。</w:t>
            </w:r>
          </w:p>
          <w:p w14:paraId="6C4C0DD6">
            <w:pPr>
              <w:pStyle w:val="6"/>
              <w:bidi w:val="0"/>
              <w:rPr>
                <w:rFonts w:hint="eastAsia"/>
                <w:color w:val="auto"/>
              </w:rPr>
            </w:pPr>
            <w:r>
              <w:rPr>
                <w:rFonts w:hint="eastAsia"/>
                <w:color w:val="auto"/>
              </w:rPr>
              <w:t>主要施工</w:t>
            </w:r>
            <w:r>
              <w:rPr>
                <w:rFonts w:hint="eastAsia"/>
                <w:color w:val="auto"/>
                <w:lang w:val="en-US" w:eastAsia="zh-CN"/>
              </w:rPr>
              <w:t>机械</w:t>
            </w:r>
            <w:r>
              <w:rPr>
                <w:rFonts w:hint="eastAsia"/>
                <w:color w:val="auto"/>
              </w:rPr>
              <w:t>噪声源强</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8"/>
              <w:gridCol w:w="2299"/>
              <w:gridCol w:w="3582"/>
              <w:gridCol w:w="1395"/>
            </w:tblGrid>
            <w:tr w14:paraId="1C80AE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1780DF2D">
                  <w:pPr>
                    <w:pStyle w:val="23"/>
                    <w:bidi w:val="0"/>
                    <w:rPr>
                      <w:color w:val="auto"/>
                    </w:rPr>
                  </w:pPr>
                  <w:r>
                    <w:rPr>
                      <w:color w:val="auto"/>
                    </w:rPr>
                    <w:t>序号</w:t>
                  </w:r>
                </w:p>
              </w:tc>
              <w:tc>
                <w:tcPr>
                  <w:tcW w:w="1389" w:type="pct"/>
                  <w:vAlign w:val="center"/>
                </w:tcPr>
                <w:p w14:paraId="7BC6A6B0">
                  <w:pPr>
                    <w:pStyle w:val="23"/>
                    <w:bidi w:val="0"/>
                    <w:rPr>
                      <w:color w:val="auto"/>
                    </w:rPr>
                  </w:pPr>
                  <w:r>
                    <w:rPr>
                      <w:rFonts w:hint="eastAsia"/>
                      <w:color w:val="auto"/>
                      <w:lang w:val="en-US" w:eastAsia="zh-CN"/>
                    </w:rPr>
                    <w:t>施工</w:t>
                  </w:r>
                  <w:r>
                    <w:rPr>
                      <w:rFonts w:hint="default"/>
                      <w:color w:val="auto"/>
                      <w:lang w:val="en-US" w:eastAsia="zh-CN"/>
                    </w:rPr>
                    <w:t>机械</w:t>
                  </w:r>
                  <w:r>
                    <w:rPr>
                      <w:rFonts w:hint="eastAsia"/>
                      <w:color w:val="auto"/>
                      <w:lang w:val="en-US" w:eastAsia="zh-CN"/>
                    </w:rPr>
                    <w:t>名称</w:t>
                  </w:r>
                </w:p>
              </w:tc>
              <w:tc>
                <w:tcPr>
                  <w:tcW w:w="2164" w:type="pct"/>
                  <w:vAlign w:val="center"/>
                </w:tcPr>
                <w:p w14:paraId="1DB27A91">
                  <w:pPr>
                    <w:pStyle w:val="23"/>
                    <w:bidi w:val="0"/>
                    <w:rPr>
                      <w:rFonts w:hint="default"/>
                      <w:color w:val="auto"/>
                      <w:lang w:val="en-US" w:eastAsia="zh-CN"/>
                    </w:rPr>
                  </w:pPr>
                  <w:r>
                    <w:rPr>
                      <w:rFonts w:hint="eastAsia"/>
                      <w:color w:val="auto"/>
                      <w:lang w:val="en-US" w:eastAsia="zh-CN"/>
                    </w:rPr>
                    <w:t>距离声源5m[dB（A）]</w:t>
                  </w:r>
                </w:p>
              </w:tc>
              <w:tc>
                <w:tcPr>
                  <w:tcW w:w="843" w:type="pct"/>
                  <w:vAlign w:val="center"/>
                </w:tcPr>
                <w:p w14:paraId="215F6E7B">
                  <w:pPr>
                    <w:pStyle w:val="23"/>
                    <w:bidi w:val="0"/>
                    <w:rPr>
                      <w:color w:val="auto"/>
                    </w:rPr>
                  </w:pPr>
                  <w:r>
                    <w:rPr>
                      <w:color w:val="auto"/>
                    </w:rPr>
                    <w:t>声源特性</w:t>
                  </w:r>
                </w:p>
              </w:tc>
            </w:tr>
            <w:tr w14:paraId="552628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2266CF75">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1</w:t>
                  </w:r>
                </w:p>
              </w:tc>
              <w:tc>
                <w:tcPr>
                  <w:tcW w:w="1389" w:type="pct"/>
                  <w:vAlign w:val="center"/>
                </w:tcPr>
                <w:p w14:paraId="27BFC54C">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装载机</w:t>
                  </w:r>
                </w:p>
              </w:tc>
              <w:tc>
                <w:tcPr>
                  <w:tcW w:w="2164" w:type="pct"/>
                  <w:vAlign w:val="center"/>
                </w:tcPr>
                <w:p w14:paraId="662760B1">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90</w:t>
                  </w:r>
                </w:p>
              </w:tc>
              <w:tc>
                <w:tcPr>
                  <w:tcW w:w="843" w:type="pct"/>
                  <w:vMerge w:val="restart"/>
                  <w:vAlign w:val="center"/>
                </w:tcPr>
                <w:p w14:paraId="73B52CFD">
                  <w:pPr>
                    <w:pStyle w:val="23"/>
                    <w:bidi w:val="0"/>
                    <w:rPr>
                      <w:color w:val="auto"/>
                    </w:rPr>
                  </w:pPr>
                  <w:r>
                    <w:rPr>
                      <w:color w:val="auto"/>
                    </w:rPr>
                    <w:t>间歇、移动噪声源</w:t>
                  </w:r>
                </w:p>
              </w:tc>
            </w:tr>
            <w:tr w14:paraId="42CF86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7F5D8213">
                  <w:pPr>
                    <w:pStyle w:val="23"/>
                    <w:bidi w:val="0"/>
                    <w:rPr>
                      <w:rFonts w:hint="eastAsia"/>
                      <w:color w:val="auto"/>
                      <w:lang w:val="en-US" w:eastAsia="zh-CN"/>
                    </w:rPr>
                  </w:pPr>
                  <w:r>
                    <w:rPr>
                      <w:rFonts w:hint="eastAsia"/>
                      <w:color w:val="auto"/>
                      <w:lang w:val="en-US" w:eastAsia="zh-CN"/>
                    </w:rPr>
                    <w:t>2</w:t>
                  </w:r>
                </w:p>
              </w:tc>
              <w:tc>
                <w:tcPr>
                  <w:tcW w:w="1389" w:type="pct"/>
                  <w:vAlign w:val="center"/>
                </w:tcPr>
                <w:p w14:paraId="67EE9789">
                  <w:pPr>
                    <w:pStyle w:val="23"/>
                    <w:bidi w:val="0"/>
                    <w:rPr>
                      <w:rFonts w:hint="default"/>
                      <w:color w:val="auto"/>
                      <w:lang w:val="en-US" w:eastAsia="zh-CN"/>
                    </w:rPr>
                  </w:pPr>
                  <w:r>
                    <w:rPr>
                      <w:rFonts w:hint="eastAsia"/>
                      <w:color w:val="auto"/>
                      <w:lang w:val="en-US" w:eastAsia="zh-CN"/>
                    </w:rPr>
                    <w:t>平地机</w:t>
                  </w:r>
                </w:p>
              </w:tc>
              <w:tc>
                <w:tcPr>
                  <w:tcW w:w="2164" w:type="pct"/>
                  <w:vAlign w:val="center"/>
                </w:tcPr>
                <w:p w14:paraId="542CEAED">
                  <w:pPr>
                    <w:pStyle w:val="23"/>
                    <w:bidi w:val="0"/>
                    <w:rPr>
                      <w:rFonts w:hint="default"/>
                      <w:color w:val="auto"/>
                      <w:lang w:val="en-US" w:eastAsia="zh-CN"/>
                    </w:rPr>
                  </w:pPr>
                  <w:r>
                    <w:rPr>
                      <w:rFonts w:hint="eastAsia"/>
                      <w:color w:val="auto"/>
                      <w:lang w:val="en-US" w:eastAsia="zh-CN"/>
                    </w:rPr>
                    <w:t>90</w:t>
                  </w:r>
                </w:p>
              </w:tc>
              <w:tc>
                <w:tcPr>
                  <w:tcW w:w="843" w:type="pct"/>
                  <w:vMerge w:val="continue"/>
                  <w:vAlign w:val="center"/>
                </w:tcPr>
                <w:p w14:paraId="09E0CC07">
                  <w:pPr>
                    <w:pStyle w:val="23"/>
                    <w:bidi w:val="0"/>
                    <w:rPr>
                      <w:color w:val="auto"/>
                    </w:rPr>
                  </w:pPr>
                </w:p>
              </w:tc>
            </w:tr>
            <w:tr w14:paraId="29DC87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535DDBCF">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3</w:t>
                  </w:r>
                </w:p>
              </w:tc>
              <w:tc>
                <w:tcPr>
                  <w:tcW w:w="1389" w:type="pct"/>
                  <w:vAlign w:val="center"/>
                </w:tcPr>
                <w:p w14:paraId="62F2F9EF">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压路机</w:t>
                  </w:r>
                </w:p>
              </w:tc>
              <w:tc>
                <w:tcPr>
                  <w:tcW w:w="2164" w:type="pct"/>
                  <w:vAlign w:val="center"/>
                </w:tcPr>
                <w:p w14:paraId="0C037A49">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86</w:t>
                  </w:r>
                </w:p>
              </w:tc>
              <w:tc>
                <w:tcPr>
                  <w:tcW w:w="843" w:type="pct"/>
                  <w:vMerge w:val="continue"/>
                  <w:vAlign w:val="center"/>
                </w:tcPr>
                <w:p w14:paraId="2FAAC3D2">
                  <w:pPr>
                    <w:pStyle w:val="23"/>
                    <w:bidi w:val="0"/>
                    <w:rPr>
                      <w:color w:val="auto"/>
                    </w:rPr>
                  </w:pPr>
                </w:p>
              </w:tc>
            </w:tr>
            <w:tr w14:paraId="0E230E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0EE17D43">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4</w:t>
                  </w:r>
                </w:p>
              </w:tc>
              <w:tc>
                <w:tcPr>
                  <w:tcW w:w="1389" w:type="pct"/>
                  <w:vAlign w:val="center"/>
                </w:tcPr>
                <w:p w14:paraId="32379245">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推土机</w:t>
                  </w:r>
                </w:p>
              </w:tc>
              <w:tc>
                <w:tcPr>
                  <w:tcW w:w="2164" w:type="pct"/>
                  <w:vAlign w:val="center"/>
                </w:tcPr>
                <w:p w14:paraId="55C9B8CD">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86</w:t>
                  </w:r>
                </w:p>
              </w:tc>
              <w:tc>
                <w:tcPr>
                  <w:tcW w:w="843" w:type="pct"/>
                  <w:vMerge w:val="continue"/>
                  <w:vAlign w:val="center"/>
                </w:tcPr>
                <w:p w14:paraId="36C814E0">
                  <w:pPr>
                    <w:pStyle w:val="23"/>
                    <w:bidi w:val="0"/>
                    <w:rPr>
                      <w:color w:val="auto"/>
                    </w:rPr>
                  </w:pPr>
                </w:p>
              </w:tc>
            </w:tr>
            <w:tr w14:paraId="5FDE24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773F7957">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5</w:t>
                  </w:r>
                </w:p>
              </w:tc>
              <w:tc>
                <w:tcPr>
                  <w:tcW w:w="1389" w:type="pct"/>
                  <w:vAlign w:val="center"/>
                </w:tcPr>
                <w:p w14:paraId="0D9AC484">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挖掘机</w:t>
                  </w:r>
                </w:p>
              </w:tc>
              <w:tc>
                <w:tcPr>
                  <w:tcW w:w="2164" w:type="pct"/>
                  <w:vAlign w:val="center"/>
                </w:tcPr>
                <w:p w14:paraId="45B6F7E5">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84</w:t>
                  </w:r>
                </w:p>
              </w:tc>
              <w:tc>
                <w:tcPr>
                  <w:tcW w:w="843" w:type="pct"/>
                  <w:vMerge w:val="continue"/>
                  <w:vAlign w:val="center"/>
                </w:tcPr>
                <w:p w14:paraId="446C1182">
                  <w:pPr>
                    <w:pStyle w:val="23"/>
                    <w:bidi w:val="0"/>
                    <w:rPr>
                      <w:color w:val="auto"/>
                    </w:rPr>
                  </w:pPr>
                </w:p>
              </w:tc>
            </w:tr>
            <w:tr w14:paraId="6083A0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2659EBBE">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6</w:t>
                  </w:r>
                </w:p>
              </w:tc>
              <w:tc>
                <w:tcPr>
                  <w:tcW w:w="1389" w:type="pct"/>
                  <w:vAlign w:val="center"/>
                </w:tcPr>
                <w:p w14:paraId="196BF2DC">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摊铺机</w:t>
                  </w:r>
                </w:p>
              </w:tc>
              <w:tc>
                <w:tcPr>
                  <w:tcW w:w="2164" w:type="pct"/>
                  <w:vAlign w:val="center"/>
                </w:tcPr>
                <w:p w14:paraId="2D6FE655">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82</w:t>
                  </w:r>
                </w:p>
              </w:tc>
              <w:tc>
                <w:tcPr>
                  <w:tcW w:w="843" w:type="pct"/>
                  <w:vMerge w:val="continue"/>
                  <w:vAlign w:val="center"/>
                </w:tcPr>
                <w:p w14:paraId="3CF1EC84">
                  <w:pPr>
                    <w:pStyle w:val="23"/>
                    <w:bidi w:val="0"/>
                    <w:rPr>
                      <w:color w:val="auto"/>
                    </w:rPr>
                  </w:pPr>
                </w:p>
              </w:tc>
            </w:tr>
            <w:tr w14:paraId="20486A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606F6D06">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7</w:t>
                  </w:r>
                </w:p>
              </w:tc>
              <w:tc>
                <w:tcPr>
                  <w:tcW w:w="1389" w:type="pct"/>
                  <w:vAlign w:val="center"/>
                </w:tcPr>
                <w:p w14:paraId="3018812B">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钻机</w:t>
                  </w:r>
                </w:p>
              </w:tc>
              <w:tc>
                <w:tcPr>
                  <w:tcW w:w="2164" w:type="pct"/>
                  <w:vAlign w:val="center"/>
                </w:tcPr>
                <w:p w14:paraId="7168E2CE">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90</w:t>
                  </w:r>
                </w:p>
              </w:tc>
              <w:tc>
                <w:tcPr>
                  <w:tcW w:w="843" w:type="pct"/>
                  <w:vMerge w:val="continue"/>
                  <w:vAlign w:val="center"/>
                </w:tcPr>
                <w:p w14:paraId="51C7D043">
                  <w:pPr>
                    <w:pStyle w:val="23"/>
                    <w:bidi w:val="0"/>
                    <w:rPr>
                      <w:color w:val="auto"/>
                    </w:rPr>
                  </w:pPr>
                </w:p>
              </w:tc>
            </w:tr>
            <w:tr w14:paraId="504C59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7405D036">
                  <w:pPr>
                    <w:pStyle w:val="23"/>
                    <w:bidi w:val="0"/>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8</w:t>
                  </w:r>
                </w:p>
              </w:tc>
              <w:tc>
                <w:tcPr>
                  <w:tcW w:w="1389" w:type="pct"/>
                  <w:vAlign w:val="center"/>
                </w:tcPr>
                <w:p w14:paraId="0F59BCDA">
                  <w:pPr>
                    <w:pStyle w:val="23"/>
                    <w:bidi w:val="0"/>
                    <w:rPr>
                      <w:rFonts w:hint="eastAsia"/>
                      <w:color w:val="auto"/>
                      <w:lang w:val="en-US" w:eastAsia="zh-CN"/>
                    </w:rPr>
                  </w:pPr>
                  <w:r>
                    <w:rPr>
                      <w:rFonts w:hint="eastAsia"/>
                      <w:color w:val="auto"/>
                      <w:lang w:val="en-US" w:eastAsia="zh-CN"/>
                    </w:rPr>
                    <w:t>风镐</w:t>
                  </w:r>
                </w:p>
              </w:tc>
              <w:tc>
                <w:tcPr>
                  <w:tcW w:w="2164" w:type="pct"/>
                  <w:vAlign w:val="center"/>
                </w:tcPr>
                <w:p w14:paraId="54049A27">
                  <w:pPr>
                    <w:pStyle w:val="23"/>
                    <w:bidi w:val="0"/>
                    <w:rPr>
                      <w:rFonts w:hint="default"/>
                      <w:color w:val="auto"/>
                      <w:lang w:val="en-US" w:eastAsia="zh-CN"/>
                    </w:rPr>
                  </w:pPr>
                  <w:r>
                    <w:rPr>
                      <w:rFonts w:hint="eastAsia"/>
                      <w:color w:val="auto"/>
                      <w:lang w:val="en-US" w:eastAsia="zh-CN"/>
                    </w:rPr>
                    <w:t>90</w:t>
                  </w:r>
                </w:p>
              </w:tc>
              <w:tc>
                <w:tcPr>
                  <w:tcW w:w="843" w:type="pct"/>
                  <w:vMerge w:val="continue"/>
                  <w:vAlign w:val="center"/>
                </w:tcPr>
                <w:p w14:paraId="21758FFF">
                  <w:pPr>
                    <w:pStyle w:val="23"/>
                    <w:bidi w:val="0"/>
                    <w:rPr>
                      <w:color w:val="auto"/>
                    </w:rPr>
                  </w:pPr>
                </w:p>
              </w:tc>
            </w:tr>
            <w:tr w14:paraId="713DEA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5FC2F232">
                  <w:pPr>
                    <w:pStyle w:val="23"/>
                    <w:bidi w:val="0"/>
                    <w:rPr>
                      <w:rFonts w:hint="default"/>
                      <w:color w:val="auto"/>
                      <w:lang w:val="en-US" w:eastAsia="zh-CN"/>
                    </w:rPr>
                  </w:pPr>
                  <w:r>
                    <w:rPr>
                      <w:rFonts w:hint="eastAsia"/>
                      <w:color w:val="auto"/>
                      <w:lang w:val="en-US" w:eastAsia="zh-CN"/>
                    </w:rPr>
                    <w:t>9</w:t>
                  </w:r>
                </w:p>
              </w:tc>
              <w:tc>
                <w:tcPr>
                  <w:tcW w:w="1389" w:type="pct"/>
                  <w:vAlign w:val="center"/>
                </w:tcPr>
                <w:p w14:paraId="5F8B42AD">
                  <w:pPr>
                    <w:pStyle w:val="23"/>
                    <w:bidi w:val="0"/>
                    <w:rPr>
                      <w:rFonts w:hint="eastAsia"/>
                      <w:color w:val="auto"/>
                      <w:lang w:val="en-US" w:eastAsia="zh-CN"/>
                    </w:rPr>
                  </w:pPr>
                  <w:r>
                    <w:rPr>
                      <w:rFonts w:hint="eastAsia"/>
                      <w:color w:val="auto"/>
                      <w:lang w:val="en-US" w:eastAsia="zh-CN"/>
                    </w:rPr>
                    <w:t>混凝土输送泵</w:t>
                  </w:r>
                </w:p>
              </w:tc>
              <w:tc>
                <w:tcPr>
                  <w:tcW w:w="2164" w:type="pct"/>
                  <w:vAlign w:val="center"/>
                </w:tcPr>
                <w:p w14:paraId="2E47B19B">
                  <w:pPr>
                    <w:pStyle w:val="23"/>
                    <w:bidi w:val="0"/>
                    <w:rPr>
                      <w:rFonts w:hint="default"/>
                      <w:color w:val="auto"/>
                      <w:lang w:val="en-US" w:eastAsia="zh-CN"/>
                    </w:rPr>
                  </w:pPr>
                  <w:r>
                    <w:rPr>
                      <w:rFonts w:hint="eastAsia"/>
                      <w:color w:val="auto"/>
                      <w:lang w:val="en-US" w:eastAsia="zh-CN"/>
                    </w:rPr>
                    <w:t>88</w:t>
                  </w:r>
                </w:p>
              </w:tc>
              <w:tc>
                <w:tcPr>
                  <w:tcW w:w="843" w:type="pct"/>
                  <w:vMerge w:val="continue"/>
                  <w:vAlign w:val="center"/>
                </w:tcPr>
                <w:p w14:paraId="4F196CEA">
                  <w:pPr>
                    <w:pStyle w:val="23"/>
                    <w:bidi w:val="0"/>
                    <w:rPr>
                      <w:color w:val="auto"/>
                    </w:rPr>
                  </w:pPr>
                </w:p>
              </w:tc>
            </w:tr>
            <w:tr w14:paraId="67A2EB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792B3E89">
                  <w:pPr>
                    <w:pStyle w:val="23"/>
                    <w:bidi w:val="0"/>
                    <w:rPr>
                      <w:rFonts w:hint="default"/>
                      <w:color w:val="auto"/>
                      <w:lang w:val="en-US" w:eastAsia="zh-CN"/>
                    </w:rPr>
                  </w:pPr>
                  <w:r>
                    <w:rPr>
                      <w:rFonts w:hint="eastAsia"/>
                      <w:color w:val="auto"/>
                      <w:lang w:val="en-US" w:eastAsia="zh-CN"/>
                    </w:rPr>
                    <w:t>10</w:t>
                  </w:r>
                </w:p>
              </w:tc>
              <w:tc>
                <w:tcPr>
                  <w:tcW w:w="1389" w:type="pct"/>
                  <w:vAlign w:val="center"/>
                </w:tcPr>
                <w:p w14:paraId="1EFFD4CD">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商砼搅拌车</w:t>
                  </w:r>
                </w:p>
              </w:tc>
              <w:tc>
                <w:tcPr>
                  <w:tcW w:w="2164" w:type="pct"/>
                  <w:vAlign w:val="center"/>
                </w:tcPr>
                <w:p w14:paraId="626320D4">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85</w:t>
                  </w:r>
                </w:p>
              </w:tc>
              <w:tc>
                <w:tcPr>
                  <w:tcW w:w="843" w:type="pct"/>
                  <w:vMerge w:val="continue"/>
                  <w:vAlign w:val="center"/>
                </w:tcPr>
                <w:p w14:paraId="4D8EF164">
                  <w:pPr>
                    <w:pStyle w:val="23"/>
                    <w:bidi w:val="0"/>
                    <w:rPr>
                      <w:color w:val="auto"/>
                    </w:rPr>
                  </w:pPr>
                </w:p>
              </w:tc>
            </w:tr>
            <w:tr w14:paraId="7D2358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06E39FF5">
                  <w:pPr>
                    <w:pStyle w:val="23"/>
                    <w:bidi w:val="0"/>
                    <w:rPr>
                      <w:rFonts w:hint="default"/>
                      <w:color w:val="auto"/>
                      <w:lang w:val="en-US" w:eastAsia="zh-CN"/>
                    </w:rPr>
                  </w:pPr>
                  <w:r>
                    <w:rPr>
                      <w:rFonts w:hint="eastAsia"/>
                      <w:color w:val="auto"/>
                      <w:lang w:val="en-US" w:eastAsia="zh-CN"/>
                    </w:rPr>
                    <w:t>11</w:t>
                  </w:r>
                </w:p>
              </w:tc>
              <w:tc>
                <w:tcPr>
                  <w:tcW w:w="1389" w:type="pct"/>
                  <w:vAlign w:val="center"/>
                </w:tcPr>
                <w:p w14:paraId="7CD11D96">
                  <w:pPr>
                    <w:pStyle w:val="23"/>
                    <w:bidi w:val="0"/>
                    <w:rPr>
                      <w:rFonts w:hint="default"/>
                      <w:color w:val="auto"/>
                      <w:lang w:val="en-US" w:eastAsia="zh-CN"/>
                    </w:rPr>
                  </w:pPr>
                  <w:r>
                    <w:rPr>
                      <w:rFonts w:hint="default"/>
                      <w:color w:val="auto"/>
                      <w:lang w:val="en-US" w:eastAsia="zh-CN"/>
                    </w:rPr>
                    <w:t>混凝土振捣器</w:t>
                  </w:r>
                </w:p>
              </w:tc>
              <w:tc>
                <w:tcPr>
                  <w:tcW w:w="2164" w:type="pct"/>
                  <w:vAlign w:val="center"/>
                </w:tcPr>
                <w:p w14:paraId="5F513019">
                  <w:pPr>
                    <w:pStyle w:val="23"/>
                    <w:bidi w:val="0"/>
                    <w:rPr>
                      <w:rFonts w:hint="default"/>
                      <w:color w:val="auto"/>
                      <w:lang w:val="en-US" w:eastAsia="zh-CN"/>
                    </w:rPr>
                  </w:pPr>
                  <w:r>
                    <w:rPr>
                      <w:rFonts w:hint="eastAsia"/>
                      <w:color w:val="auto"/>
                      <w:lang w:val="en-US" w:eastAsia="zh-CN"/>
                    </w:rPr>
                    <w:t>80</w:t>
                  </w:r>
                </w:p>
              </w:tc>
              <w:tc>
                <w:tcPr>
                  <w:tcW w:w="843" w:type="pct"/>
                  <w:vMerge w:val="continue"/>
                  <w:vAlign w:val="center"/>
                </w:tcPr>
                <w:p w14:paraId="3BE89C48">
                  <w:pPr>
                    <w:pStyle w:val="23"/>
                    <w:bidi w:val="0"/>
                    <w:rPr>
                      <w:color w:val="auto"/>
                    </w:rPr>
                  </w:pPr>
                </w:p>
              </w:tc>
            </w:tr>
            <w:tr w14:paraId="20D432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6E308B20">
                  <w:pPr>
                    <w:pStyle w:val="23"/>
                    <w:bidi w:val="0"/>
                    <w:rPr>
                      <w:rFonts w:hint="eastAsia"/>
                      <w:color w:val="auto"/>
                      <w:lang w:val="en-US" w:eastAsia="zh-CN"/>
                    </w:rPr>
                  </w:pPr>
                  <w:r>
                    <w:rPr>
                      <w:rFonts w:hint="eastAsia"/>
                      <w:color w:val="auto"/>
                      <w:lang w:val="en-US" w:eastAsia="zh-CN"/>
                    </w:rPr>
                    <w:t>12</w:t>
                  </w:r>
                </w:p>
              </w:tc>
              <w:tc>
                <w:tcPr>
                  <w:tcW w:w="1389" w:type="pct"/>
                  <w:vAlign w:val="center"/>
                </w:tcPr>
                <w:p w14:paraId="02CF9B80">
                  <w:pPr>
                    <w:pStyle w:val="23"/>
                    <w:bidi w:val="0"/>
                    <w:rPr>
                      <w:rFonts w:hint="default"/>
                      <w:color w:val="auto"/>
                      <w:lang w:val="en-US" w:eastAsia="zh-CN"/>
                    </w:rPr>
                  </w:pPr>
                  <w:r>
                    <w:rPr>
                      <w:rFonts w:hint="default"/>
                      <w:color w:val="auto"/>
                      <w:lang w:val="en-US" w:eastAsia="zh-CN"/>
                    </w:rPr>
                    <w:t>空压机</w:t>
                  </w:r>
                </w:p>
              </w:tc>
              <w:tc>
                <w:tcPr>
                  <w:tcW w:w="2164" w:type="pct"/>
                  <w:vAlign w:val="center"/>
                </w:tcPr>
                <w:p w14:paraId="0FF3B831">
                  <w:pPr>
                    <w:pStyle w:val="23"/>
                    <w:bidi w:val="0"/>
                    <w:rPr>
                      <w:rFonts w:hint="default"/>
                      <w:color w:val="auto"/>
                      <w:lang w:val="en-US" w:eastAsia="zh-CN"/>
                    </w:rPr>
                  </w:pPr>
                  <w:r>
                    <w:rPr>
                      <w:rFonts w:hint="eastAsia"/>
                      <w:color w:val="auto"/>
                      <w:lang w:val="en-US" w:eastAsia="zh-CN"/>
                    </w:rPr>
                    <w:t>88</w:t>
                  </w:r>
                </w:p>
              </w:tc>
              <w:tc>
                <w:tcPr>
                  <w:tcW w:w="843" w:type="pct"/>
                  <w:vMerge w:val="continue"/>
                  <w:vAlign w:val="center"/>
                </w:tcPr>
                <w:p w14:paraId="1CCCC37E">
                  <w:pPr>
                    <w:pStyle w:val="23"/>
                    <w:bidi w:val="0"/>
                    <w:rPr>
                      <w:color w:val="auto"/>
                    </w:rPr>
                  </w:pPr>
                </w:p>
              </w:tc>
            </w:tr>
            <w:tr w14:paraId="0376DA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exact"/>
                <w:jc w:val="center"/>
              </w:trPr>
              <w:tc>
                <w:tcPr>
                  <w:tcW w:w="603" w:type="pct"/>
                  <w:vAlign w:val="center"/>
                </w:tcPr>
                <w:p w14:paraId="48C78BF0">
                  <w:pPr>
                    <w:pStyle w:val="23"/>
                    <w:bidi w:val="0"/>
                    <w:rPr>
                      <w:rFonts w:hint="default"/>
                      <w:color w:val="auto"/>
                      <w:lang w:val="en-US" w:eastAsia="zh-CN"/>
                    </w:rPr>
                  </w:pPr>
                  <w:r>
                    <w:rPr>
                      <w:rFonts w:hint="eastAsia"/>
                      <w:color w:val="auto"/>
                      <w:lang w:val="en-US" w:eastAsia="zh-CN"/>
                    </w:rPr>
                    <w:t>13</w:t>
                  </w:r>
                </w:p>
              </w:tc>
              <w:tc>
                <w:tcPr>
                  <w:tcW w:w="1389" w:type="pct"/>
                  <w:vAlign w:val="center"/>
                </w:tcPr>
                <w:p w14:paraId="551913E1">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载重汽车</w:t>
                  </w:r>
                </w:p>
              </w:tc>
              <w:tc>
                <w:tcPr>
                  <w:tcW w:w="2164" w:type="pct"/>
                  <w:vAlign w:val="center"/>
                </w:tcPr>
                <w:p w14:paraId="099185D3">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default"/>
                      <w:color w:val="auto"/>
                      <w:lang w:val="en-US" w:eastAsia="zh-CN"/>
                    </w:rPr>
                    <w:t>85</w:t>
                  </w:r>
                </w:p>
              </w:tc>
              <w:tc>
                <w:tcPr>
                  <w:tcW w:w="843" w:type="pct"/>
                  <w:vMerge w:val="continue"/>
                  <w:vAlign w:val="center"/>
                </w:tcPr>
                <w:p w14:paraId="05CF3D97">
                  <w:pPr>
                    <w:pStyle w:val="23"/>
                    <w:bidi w:val="0"/>
                    <w:rPr>
                      <w:color w:val="auto"/>
                    </w:rPr>
                  </w:pPr>
                </w:p>
              </w:tc>
            </w:tr>
          </w:tbl>
          <w:p w14:paraId="794F526A">
            <w:pPr>
              <w:pStyle w:val="21"/>
              <w:bidi w:val="0"/>
              <w:rPr>
                <w:color w:val="auto"/>
              </w:rPr>
            </w:pPr>
            <w:r>
              <w:rPr>
                <w:rFonts w:hint="eastAsia"/>
                <w:color w:val="auto"/>
              </w:rPr>
              <w:t>根据“</w:t>
            </w:r>
            <w:r>
              <w:rPr>
                <w:rFonts w:hint="eastAsia"/>
                <w:color w:val="auto"/>
                <w:lang w:val="en-US" w:eastAsia="zh-CN"/>
              </w:rPr>
              <w:t>噪声环境影响专项评价</w:t>
            </w:r>
            <w:r>
              <w:rPr>
                <w:rFonts w:hint="eastAsia"/>
                <w:color w:val="auto"/>
              </w:rPr>
              <w:t>”，</w:t>
            </w:r>
            <w:r>
              <w:rPr>
                <w:rFonts w:hint="eastAsia"/>
                <w:color w:val="auto"/>
                <w:lang w:val="en-US" w:eastAsia="zh-CN"/>
              </w:rPr>
              <w:t>在不采取噪声防治措施的情况下，单台施工机械与场界距离昼间小于50m、夜间小于280m时，施工机械噪声在场界处容易超过《建筑施工场界环境噪声排放标准》（GB 12523-2011）表1昼间70dB(A)，夜间55dB(A)标准限值。多台施工机械同时作业时，与场界距离昼间小于67m、夜间小于375m时，施工机械噪声在场界处容易超过《建筑施工场界环境噪声排放标准》（GB 12523-2011）标准限值。且多台施工机械同时作业时，各声环境保护目标处施工期噪声昼间、夜间均不能满足《声环境质量标准》（GB 3096-2008）2类、4a类标准。因此，施工噪声对周边声环境保护目标影响较大</w:t>
            </w:r>
            <w:r>
              <w:rPr>
                <w:rFonts w:hint="eastAsia"/>
                <w:color w:val="auto"/>
              </w:rPr>
              <w:t>。</w:t>
            </w:r>
          </w:p>
          <w:p w14:paraId="6A705601">
            <w:pPr>
              <w:pStyle w:val="21"/>
              <w:bidi w:val="0"/>
              <w:rPr>
                <w:color w:val="auto"/>
              </w:rPr>
            </w:pPr>
            <w:r>
              <w:rPr>
                <w:rFonts w:hint="eastAsia"/>
                <w:color w:val="auto"/>
                <w:lang w:val="en-US" w:eastAsia="zh-CN"/>
              </w:rPr>
              <w:t>根据道路建设特点，道路工程施工期间，大型施工机械主要集中在路基开挖、回填、压实阶段，环境保护目标受影响时段也主要集中在该时段内，其他如路面工程、排水工程、边坡防护工程等由于施工机械设备相对较少、机具较小，道路沿线声环境保护目标受影响的程度小于路基阶段。总的来说，施工噪声属于暂时污染源，将随着施工的结束而停止，施工中只要合理安排施工时间、采取合理的施工布置和相应的降噪隔声措施，预计施工噪声影响范围将有一定程度的缩小，可以进一步降低施工噪声对声环境保护目标的影响</w:t>
            </w:r>
            <w:r>
              <w:rPr>
                <w:rFonts w:hint="eastAsia"/>
                <w:color w:val="auto"/>
              </w:rPr>
              <w:t>。</w:t>
            </w:r>
          </w:p>
          <w:p w14:paraId="5250B7CC">
            <w:pPr>
              <w:pStyle w:val="4"/>
              <w:bidi w:val="0"/>
              <w:rPr>
                <w:color w:val="auto"/>
              </w:rPr>
            </w:pPr>
            <w:r>
              <w:rPr>
                <w:rFonts w:hint="eastAsia"/>
                <w:color w:val="auto"/>
              </w:rPr>
              <w:t>固体废物影响分析</w:t>
            </w:r>
          </w:p>
          <w:p w14:paraId="7A870D00">
            <w:pPr>
              <w:pStyle w:val="21"/>
              <w:bidi w:val="0"/>
              <w:rPr>
                <w:color w:val="auto"/>
              </w:rPr>
            </w:pPr>
            <w:r>
              <w:rPr>
                <w:rFonts w:hint="eastAsia"/>
                <w:color w:val="auto"/>
              </w:rPr>
              <w:t>施工期固体废物主要是废弃土石方和施工人员生活垃圾。</w:t>
            </w:r>
          </w:p>
          <w:p w14:paraId="17272CC1">
            <w:pPr>
              <w:pStyle w:val="21"/>
              <w:bidi w:val="0"/>
              <w:rPr>
                <w:color w:val="auto"/>
              </w:rPr>
            </w:pPr>
            <w:r>
              <w:rPr>
                <w:rFonts w:hint="eastAsia"/>
                <w:color w:val="auto"/>
              </w:rPr>
              <w:t>（1）土石方</w:t>
            </w:r>
          </w:p>
          <w:p w14:paraId="390E2C8C">
            <w:pPr>
              <w:pStyle w:val="21"/>
              <w:bidi w:val="0"/>
              <w:rPr>
                <w:rFonts w:hint="eastAsia"/>
                <w:color w:val="auto"/>
                <w:lang w:val="en-US" w:eastAsia="zh-CN"/>
              </w:rPr>
            </w:pPr>
            <w:r>
              <w:rPr>
                <w:color w:val="auto"/>
              </w:rPr>
              <w:t>项目总挖方</w:t>
            </w:r>
            <w:r>
              <w:rPr>
                <w:rFonts w:hint="eastAsia" w:ascii="Times New Roman" w:eastAsia="宋体"/>
                <w:color w:val="auto"/>
                <w:lang w:val="en-US" w:eastAsia="zh-CN"/>
              </w:rPr>
              <w:t>4888</w:t>
            </w:r>
            <w:r>
              <w:rPr>
                <w:rFonts w:hint="eastAsia"/>
                <w:color w:val="auto"/>
              </w:rPr>
              <w:t>m</w:t>
            </w:r>
            <w:r>
              <w:rPr>
                <w:rFonts w:hint="eastAsia"/>
                <w:color w:val="auto"/>
                <w:vertAlign w:val="superscript"/>
              </w:rPr>
              <w:t>3</w:t>
            </w:r>
            <w:r>
              <w:rPr>
                <w:color w:val="auto"/>
              </w:rPr>
              <w:t>（含表土剥离</w:t>
            </w:r>
            <w:r>
              <w:rPr>
                <w:rFonts w:hint="eastAsia" w:ascii="Times New Roman" w:eastAsia="宋体"/>
                <w:color w:val="auto"/>
                <w:lang w:val="en-US" w:eastAsia="zh-CN"/>
              </w:rPr>
              <w:t>500</w:t>
            </w:r>
            <w:r>
              <w:rPr>
                <w:color w:val="auto"/>
              </w:rPr>
              <w:t>m</w:t>
            </w:r>
            <w:r>
              <w:rPr>
                <w:color w:val="auto"/>
                <w:vertAlign w:val="superscript"/>
              </w:rPr>
              <w:t>3</w:t>
            </w:r>
            <w:r>
              <w:rPr>
                <w:color w:val="auto"/>
              </w:rPr>
              <w:t>），总填方</w:t>
            </w:r>
            <w:r>
              <w:rPr>
                <w:rFonts w:hint="eastAsia" w:ascii="Times New Roman" w:eastAsia="宋体"/>
                <w:color w:val="auto"/>
                <w:lang w:val="en-US" w:eastAsia="zh-CN"/>
              </w:rPr>
              <w:t>3546</w:t>
            </w:r>
            <w:r>
              <w:rPr>
                <w:rFonts w:hint="eastAsia"/>
                <w:color w:val="auto"/>
              </w:rPr>
              <w:t>m</w:t>
            </w:r>
            <w:r>
              <w:rPr>
                <w:rFonts w:hint="eastAsia"/>
                <w:color w:val="auto"/>
                <w:vertAlign w:val="superscript"/>
              </w:rPr>
              <w:t>3</w:t>
            </w:r>
            <w:r>
              <w:rPr>
                <w:color w:val="auto"/>
              </w:rPr>
              <w:t>（含表土回填</w:t>
            </w:r>
            <w:r>
              <w:rPr>
                <w:rFonts w:hint="eastAsia" w:ascii="Times New Roman" w:eastAsia="宋体"/>
                <w:color w:val="auto"/>
                <w:lang w:val="en-US" w:eastAsia="zh-CN"/>
              </w:rPr>
              <w:t>500</w:t>
            </w:r>
            <w:r>
              <w:rPr>
                <w:color w:val="auto"/>
              </w:rPr>
              <w:t>m</w:t>
            </w:r>
            <w:r>
              <w:rPr>
                <w:color w:val="auto"/>
                <w:vertAlign w:val="superscript"/>
              </w:rPr>
              <w:t>3</w:t>
            </w:r>
            <w:r>
              <w:rPr>
                <w:color w:val="auto"/>
              </w:rPr>
              <w:t>），</w:t>
            </w:r>
            <w:r>
              <w:rPr>
                <w:rFonts w:hint="eastAsia"/>
                <w:color w:val="auto"/>
              </w:rPr>
              <w:t>弃方量约为1342m</w:t>
            </w:r>
            <w:r>
              <w:rPr>
                <w:rFonts w:hint="eastAsia"/>
                <w:color w:val="auto"/>
                <w:vertAlign w:val="superscript"/>
              </w:rPr>
              <w:t>3</w:t>
            </w:r>
            <w:r>
              <w:rPr>
                <w:rFonts w:hint="eastAsia"/>
                <w:color w:val="auto"/>
              </w:rPr>
              <w:t>。</w:t>
            </w:r>
            <w:r>
              <w:rPr>
                <w:rFonts w:hint="eastAsia"/>
                <w:color w:val="auto"/>
                <w:lang w:eastAsia="zh-CN"/>
              </w:rPr>
              <w:t>表土</w:t>
            </w:r>
            <w:r>
              <w:rPr>
                <w:rFonts w:hint="eastAsia"/>
                <w:color w:val="auto"/>
                <w:lang w:val="en-US" w:eastAsia="zh-CN"/>
              </w:rPr>
              <w:t>堆放于表土临时堆放区内，堆放过程采取覆盖、拦挡等措施，后期用于路基边坡、景观绿化用土。</w:t>
            </w:r>
            <w:r>
              <w:rPr>
                <w:rFonts w:hint="eastAsia"/>
                <w:color w:val="auto"/>
                <w:lang w:eastAsia="zh-CN"/>
              </w:rPr>
              <w:t>项目弃方量少，根据建设单位提供的资料，项目</w:t>
            </w:r>
            <w:r>
              <w:rPr>
                <w:rFonts w:hint="eastAsia"/>
                <w:color w:val="auto"/>
                <w:lang w:val="en-US" w:eastAsia="zh-CN"/>
              </w:rPr>
              <w:t>周边正在进行开发建设，弃方调运至奉节高铁生态纵三路以东路网完善工程一横四路中段进行回填</w:t>
            </w:r>
            <w:r>
              <w:rPr>
                <w:rFonts w:hint="eastAsia"/>
                <w:color w:val="auto"/>
                <w:lang w:eastAsia="zh-CN"/>
              </w:rPr>
              <w:t>，不设置弃土场。</w:t>
            </w:r>
            <w:r>
              <w:rPr>
                <w:rFonts w:hint="eastAsia"/>
                <w:color w:val="auto"/>
                <w:lang w:val="en-US" w:eastAsia="zh-CN"/>
              </w:rPr>
              <w:t>根据建设单位提供资料，横四路中段总需填方量约46034m</w:t>
            </w:r>
            <w:r>
              <w:rPr>
                <w:rFonts w:hint="eastAsia"/>
                <w:color w:val="auto"/>
                <w:vertAlign w:val="superscript"/>
                <w:lang w:val="en-US" w:eastAsia="zh-CN"/>
              </w:rPr>
              <w:t>3</w:t>
            </w:r>
            <w:r>
              <w:rPr>
                <w:rFonts w:hint="eastAsia"/>
                <w:color w:val="auto"/>
                <w:lang w:val="en-US" w:eastAsia="zh-CN"/>
              </w:rPr>
              <w:t>，该道路正在办理施工许可，预计在2024年8月中旬开工建设，能够接纳本项目弃方。</w:t>
            </w:r>
          </w:p>
          <w:p w14:paraId="4B59F969">
            <w:pPr>
              <w:pStyle w:val="21"/>
              <w:bidi w:val="0"/>
              <w:rPr>
                <w:rFonts w:hint="eastAsia"/>
                <w:color w:val="auto"/>
                <w:lang w:val="en-US" w:eastAsia="zh-CN"/>
              </w:rPr>
            </w:pPr>
            <w:r>
              <w:rPr>
                <w:rFonts w:hint="eastAsia"/>
                <w:color w:val="auto"/>
                <w:lang w:val="en-US" w:eastAsia="zh-CN"/>
              </w:rPr>
              <w:t>项目弃方运距较短，约3.5km，项目运输车辆必须严格按照《建筑渣土准运证》规定的时间、路线、指定地点倾倒建筑渣土；运输车辆应采用达到《道路机动车辆生产企业及产品公告》以及《重庆市建筑垃圾密闭运输车辆技术规范》（CG 035-2020）要求的车辆，运输过程需符合《重庆市人民政府办公厅关于印发规范整治都市功能核心区及拓展区建筑垃圾密闭运输工作实施方案的通知》（渝府办〔2014〕25号）、《重庆市人民政府办公厅关于印发主城区城市建筑垃圾治理试点工作实施方案的通知》（渝府办〔2019〕4号）相关的清运要求。运输建筑渣土，还必须按《重庆市城区建筑渣土清运管理办法》（重庆市人民政府第93号）的规定，取得《建筑渣土准运证》后方可进行。运输易撒漏物质必须装载规范，保持密闭式运输装置完好和车容整洁，不得沿途飞扬、撒漏和带泥上路。</w:t>
            </w:r>
          </w:p>
          <w:p w14:paraId="0B3772B7">
            <w:pPr>
              <w:pStyle w:val="21"/>
              <w:bidi w:val="0"/>
              <w:rPr>
                <w:color w:val="auto"/>
              </w:rPr>
            </w:pPr>
            <w:r>
              <w:rPr>
                <w:rFonts w:hint="eastAsia"/>
                <w:color w:val="auto"/>
              </w:rPr>
              <w:t>（2）生活垃圾</w:t>
            </w:r>
          </w:p>
          <w:p w14:paraId="22904DE4">
            <w:pPr>
              <w:pStyle w:val="21"/>
              <w:bidi w:val="0"/>
              <w:rPr>
                <w:rFonts w:hint="eastAsia"/>
                <w:color w:val="auto"/>
                <w:lang w:val="en-US" w:eastAsia="zh-CN"/>
              </w:rPr>
            </w:pPr>
            <w:r>
              <w:rPr>
                <w:rFonts w:hint="eastAsia"/>
                <w:color w:val="auto"/>
                <w:lang w:val="en-US" w:eastAsia="zh-CN"/>
              </w:rPr>
              <w:t>项目最大施工人数约30人，生活垃圾产生量按0.5kg/人计，产生量为15kg/d。生活垃圾采取定点收集，定期交环卫部门处置。</w:t>
            </w:r>
          </w:p>
          <w:p w14:paraId="3696874A">
            <w:pPr>
              <w:pStyle w:val="21"/>
              <w:bidi w:val="0"/>
              <w:rPr>
                <w:rFonts w:hint="eastAsia"/>
                <w:color w:val="auto"/>
              </w:rPr>
            </w:pPr>
            <w:r>
              <w:rPr>
                <w:rFonts w:hint="eastAsia"/>
                <w:color w:val="auto"/>
                <w:lang w:val="en-US" w:eastAsia="zh-CN"/>
              </w:rPr>
              <w:t>综上分析，</w:t>
            </w:r>
            <w:r>
              <w:rPr>
                <w:color w:val="auto"/>
              </w:rPr>
              <w:t>采取上述措施后，施工期固废对环境影响小</w:t>
            </w:r>
            <w:r>
              <w:rPr>
                <w:rFonts w:hint="eastAsia"/>
                <w:color w:val="auto"/>
              </w:rPr>
              <w:t>。</w:t>
            </w:r>
          </w:p>
          <w:p w14:paraId="2A4294EC">
            <w:pPr>
              <w:pStyle w:val="4"/>
              <w:bidi w:val="0"/>
              <w:rPr>
                <w:rFonts w:hint="eastAsia"/>
                <w:color w:val="auto"/>
              </w:rPr>
            </w:pPr>
            <w:r>
              <w:rPr>
                <w:rFonts w:hint="eastAsia"/>
                <w:color w:val="auto"/>
              </w:rPr>
              <w:t>运输影响</w:t>
            </w:r>
          </w:p>
          <w:p w14:paraId="02151DD1">
            <w:pPr>
              <w:pStyle w:val="21"/>
              <w:bidi w:val="0"/>
              <w:rPr>
                <w:rFonts w:hint="eastAsia"/>
                <w:color w:val="auto"/>
              </w:rPr>
            </w:pPr>
            <w:r>
              <w:rPr>
                <w:rFonts w:hint="eastAsia"/>
                <w:color w:val="auto"/>
              </w:rPr>
              <w:t>根据本项目周边现有道路情况，本项目施工期主要依托</w:t>
            </w:r>
            <w:r>
              <w:rPr>
                <w:rFonts w:hint="eastAsia"/>
                <w:color w:val="auto"/>
                <w:lang w:val="en-US" w:eastAsia="zh-CN"/>
              </w:rPr>
              <w:t>周边已建道路</w:t>
            </w:r>
            <w:r>
              <w:rPr>
                <w:rFonts w:hint="eastAsia"/>
                <w:color w:val="auto"/>
              </w:rPr>
              <w:t>作为物料的运输道路，物料运输车辆将会增加道路的交通负荷量。另外，运输车辆因物料装卸、轮胎带泥等原因而造成洒漏和产生二次扬尘，将对沿线环境卫生造成一定影响，引起运输沿线、物料装卸点附近TSP浓度有所增加。</w:t>
            </w:r>
          </w:p>
          <w:p w14:paraId="518A1996">
            <w:pPr>
              <w:pStyle w:val="21"/>
              <w:bidi w:val="0"/>
              <w:rPr>
                <w:rFonts w:hint="eastAsia"/>
                <w:color w:val="auto"/>
              </w:rPr>
            </w:pPr>
            <w:r>
              <w:rPr>
                <w:rFonts w:hint="eastAsia"/>
                <w:color w:val="auto"/>
              </w:rPr>
              <w:t>因此，合理安排物料运输时间和运输路线，运输过程中严格按照规定时速行驶，禁鸣区内禁止鸣笛，禁止车辆带泥上路，采用密封运输，减少运输途中粉尘的产生，减少施工期间交通运输对运输沿线环境保护目标的影响。</w:t>
            </w:r>
          </w:p>
          <w:p w14:paraId="4EC45C31">
            <w:pPr>
              <w:pStyle w:val="21"/>
              <w:bidi w:val="0"/>
              <w:rPr>
                <w:rFonts w:hint="eastAsia"/>
                <w:color w:val="auto"/>
              </w:rPr>
            </w:pPr>
            <w:r>
              <w:rPr>
                <w:rFonts w:hint="eastAsia"/>
                <w:color w:val="auto"/>
              </w:rPr>
              <w:t>施工期间由建设单位按照程序规范设置标志标牌，组织专人在施工区域负责交通秩序维护，妥善解决沿线通行问题。</w:t>
            </w:r>
          </w:p>
          <w:p w14:paraId="4EB5C11A">
            <w:pPr>
              <w:pStyle w:val="4"/>
              <w:bidi w:val="0"/>
              <w:rPr>
                <w:color w:val="auto"/>
              </w:rPr>
            </w:pPr>
            <w:r>
              <w:rPr>
                <w:rFonts w:hint="eastAsia"/>
                <w:color w:val="auto"/>
              </w:rPr>
              <w:t>环境风险</w:t>
            </w:r>
          </w:p>
          <w:p w14:paraId="34AB0ED0">
            <w:pPr>
              <w:pStyle w:val="21"/>
              <w:bidi w:val="0"/>
              <w:rPr>
                <w:color w:val="auto"/>
              </w:rPr>
            </w:pPr>
            <w:r>
              <w:rPr>
                <w:rFonts w:hint="eastAsia"/>
                <w:color w:val="auto"/>
              </w:rPr>
              <w:t>（1）施工期风险影响分析</w:t>
            </w:r>
          </w:p>
          <w:p w14:paraId="1C718FE0">
            <w:pPr>
              <w:pStyle w:val="21"/>
              <w:bidi w:val="0"/>
              <w:rPr>
                <w:color w:val="auto"/>
              </w:rPr>
            </w:pPr>
            <w:r>
              <w:rPr>
                <w:rFonts w:hint="eastAsia"/>
                <w:color w:val="auto"/>
              </w:rPr>
              <w:t>工程建设过程中，施工作业可能引起火灾等事故，同时要涉及</w:t>
            </w:r>
            <w:r>
              <w:rPr>
                <w:rFonts w:hint="eastAsia"/>
                <w:color w:val="auto"/>
                <w:lang w:val="en-US" w:eastAsia="zh-CN"/>
              </w:rPr>
              <w:t>道路</w:t>
            </w:r>
            <w:r>
              <w:rPr>
                <w:rFonts w:hint="eastAsia"/>
                <w:color w:val="auto"/>
              </w:rPr>
              <w:t>施工人员的职业健康和安全风险。本项目工程内容的主要风险体现在：</w:t>
            </w:r>
            <w:r>
              <w:rPr>
                <w:rFonts w:hint="eastAsia"/>
                <w:color w:val="auto"/>
                <w:lang w:val="en-US" w:eastAsia="zh-CN"/>
              </w:rPr>
              <w:t>道路</w:t>
            </w:r>
            <w:r>
              <w:rPr>
                <w:rFonts w:hint="eastAsia"/>
                <w:color w:val="auto"/>
              </w:rPr>
              <w:t>施工中需使用沥青，施工人员可能会遭受沥青化学产品的毒害；同时沥青、水泥、石灰等物质吸入人体将对人体健康产生一定的危害。本项目未设置汽柴油罐。</w:t>
            </w:r>
          </w:p>
          <w:p w14:paraId="71F25FA1">
            <w:pPr>
              <w:pStyle w:val="21"/>
              <w:bidi w:val="0"/>
              <w:rPr>
                <w:color w:val="auto"/>
              </w:rPr>
            </w:pPr>
            <w:r>
              <w:rPr>
                <w:rFonts w:hint="eastAsia"/>
                <w:color w:val="auto"/>
              </w:rPr>
              <w:t>（2）施工期风险防范措施</w:t>
            </w:r>
          </w:p>
          <w:p w14:paraId="49232DFB">
            <w:pPr>
              <w:pStyle w:val="21"/>
              <w:bidi w:val="0"/>
              <w:rPr>
                <w:color w:val="auto"/>
              </w:rPr>
            </w:pPr>
            <w:r>
              <w:rPr>
                <w:rFonts w:hint="eastAsia"/>
                <w:color w:val="auto"/>
              </w:rPr>
              <w:t>上述事故的发生一般是由于缺乏严格的管理、预防措施以及不规范施工造成的，因此评价要求建立和完善以下措施以降低施工过程中的事故风险：</w:t>
            </w:r>
          </w:p>
          <w:p w14:paraId="0BAAA696">
            <w:pPr>
              <w:pStyle w:val="21"/>
              <w:bidi w:val="0"/>
              <w:rPr>
                <w:color w:val="auto"/>
              </w:rPr>
            </w:pPr>
            <w:r>
              <w:rPr>
                <w:rFonts w:hint="eastAsia"/>
                <w:color w:val="auto"/>
              </w:rPr>
              <w:t>①制订使用有毒原材料和其他危险物质的操作规程及安全条例，确定各工段负责人对工人的健康和安全责任，以保证管理人员责权明确，</w:t>
            </w:r>
            <w:r>
              <w:rPr>
                <w:rFonts w:hint="eastAsia"/>
                <w:color w:val="auto"/>
                <w:lang w:eastAsia="zh-CN"/>
              </w:rPr>
              <w:t>增强</w:t>
            </w:r>
            <w:r>
              <w:rPr>
                <w:rFonts w:hint="eastAsia"/>
                <w:color w:val="auto"/>
              </w:rPr>
              <w:t>安全意识；</w:t>
            </w:r>
          </w:p>
          <w:p w14:paraId="6E5B406E">
            <w:pPr>
              <w:pStyle w:val="21"/>
              <w:bidi w:val="0"/>
              <w:rPr>
                <w:color w:val="auto"/>
              </w:rPr>
            </w:pPr>
            <w:r>
              <w:rPr>
                <w:rFonts w:hint="eastAsia"/>
                <w:color w:val="auto"/>
              </w:rPr>
              <w:t>②配备必要的保护设备。如特殊工作防护衣，防护镜、护耳器以降低工人受伤害程度；</w:t>
            </w:r>
          </w:p>
          <w:p w14:paraId="339730E2">
            <w:pPr>
              <w:pStyle w:val="21"/>
              <w:bidi w:val="0"/>
              <w:rPr>
                <w:color w:val="auto"/>
              </w:rPr>
            </w:pPr>
            <w:r>
              <w:rPr>
                <w:rFonts w:hint="eastAsia"/>
                <w:color w:val="auto"/>
              </w:rPr>
              <w:t>③加强工人安全培训，制订应急防范措施，以便在自然灾害等意外事故发生时降低损失。</w:t>
            </w:r>
          </w:p>
        </w:tc>
      </w:tr>
      <w:tr w14:paraId="75A7F7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7" w:type="dxa"/>
            <w:vAlign w:val="center"/>
          </w:tcPr>
          <w:p w14:paraId="3EB4086E">
            <w:pPr>
              <w:rPr>
                <w:color w:val="auto"/>
              </w:rPr>
            </w:pPr>
            <w:r>
              <w:rPr>
                <w:rFonts w:hint="eastAsia"/>
                <w:color w:val="auto"/>
              </w:rPr>
              <w:t>运营期生态环境影响分析</w:t>
            </w:r>
          </w:p>
        </w:tc>
        <w:tc>
          <w:tcPr>
            <w:tcW w:w="8493" w:type="dxa"/>
            <w:vAlign w:val="center"/>
          </w:tcPr>
          <w:p w14:paraId="60964977">
            <w:pPr>
              <w:pStyle w:val="3"/>
              <w:rPr>
                <w:color w:val="auto"/>
              </w:rPr>
            </w:pPr>
            <w:r>
              <w:rPr>
                <w:rFonts w:hint="eastAsia"/>
                <w:color w:val="auto"/>
              </w:rPr>
              <w:t>运营期生态环境影响分析</w:t>
            </w:r>
          </w:p>
          <w:p w14:paraId="2569DEC5">
            <w:pPr>
              <w:pStyle w:val="4"/>
              <w:rPr>
                <w:rFonts w:hint="eastAsia"/>
                <w:color w:val="auto"/>
              </w:rPr>
            </w:pPr>
            <w:r>
              <w:rPr>
                <w:rFonts w:hint="eastAsia"/>
                <w:color w:val="auto"/>
              </w:rPr>
              <w:t>生态环境影响分析</w:t>
            </w:r>
          </w:p>
          <w:p w14:paraId="5DE00BBF">
            <w:pPr>
              <w:pStyle w:val="21"/>
              <w:bidi w:val="0"/>
              <w:rPr>
                <w:rFonts w:hint="eastAsia"/>
                <w:color w:val="auto"/>
              </w:rPr>
            </w:pPr>
            <w:r>
              <w:rPr>
                <w:rFonts w:hint="eastAsia"/>
                <w:color w:val="auto"/>
              </w:rPr>
              <w:t>本项目在运营期通过边坡绿化、</w:t>
            </w:r>
            <w:r>
              <w:rPr>
                <w:rFonts w:hint="eastAsia"/>
                <w:color w:val="auto"/>
                <w:lang w:val="en-US" w:eastAsia="zh-CN"/>
              </w:rPr>
              <w:t>景观</w:t>
            </w:r>
            <w:r>
              <w:rPr>
                <w:rFonts w:hint="eastAsia"/>
                <w:color w:val="auto"/>
              </w:rPr>
              <w:t>绿化等，可有效增加沿线植被的覆盖面积，项目区域内的植被生态系统功能将得到一定恢复。</w:t>
            </w:r>
          </w:p>
          <w:p w14:paraId="132C1617">
            <w:pPr>
              <w:pStyle w:val="4"/>
              <w:rPr>
                <w:color w:val="auto"/>
              </w:rPr>
            </w:pPr>
            <w:r>
              <w:rPr>
                <w:rFonts w:hint="eastAsia"/>
                <w:color w:val="auto"/>
              </w:rPr>
              <w:t>大气环境影响分析</w:t>
            </w:r>
          </w:p>
          <w:p w14:paraId="4F6A9E89">
            <w:pPr>
              <w:pStyle w:val="21"/>
              <w:bidi w:val="0"/>
              <w:rPr>
                <w:color w:val="auto"/>
              </w:rPr>
            </w:pPr>
            <w:r>
              <w:rPr>
                <w:rFonts w:hint="eastAsia"/>
                <w:color w:val="auto"/>
              </w:rPr>
              <w:t>（1）汽车尾气</w:t>
            </w:r>
          </w:p>
          <w:p w14:paraId="0387251A">
            <w:pPr>
              <w:pStyle w:val="21"/>
              <w:bidi w:val="0"/>
              <w:rPr>
                <w:rFonts w:hint="eastAsia"/>
                <w:color w:val="auto"/>
                <w:lang w:val="en-US" w:eastAsia="zh-CN"/>
              </w:rPr>
            </w:pPr>
            <w:r>
              <w:rPr>
                <w:rFonts w:hint="eastAsia"/>
                <w:color w:val="auto"/>
                <w:lang w:val="en-US" w:eastAsia="zh-CN"/>
              </w:rPr>
              <w:t>本项目运营期大气污染物主要是行驶汽车排放的汽车尾气，主要污染物为NOx、CO、THC，汽车尾气的排放将对周围环境空气带来一定的影响。随着我国科技水平不断提高，汽车制造水平也在迅速提高，世界各个国家对汽车尾气排放控制标准亦越来越严格，尾气不达标的汽车不能出厂，从而控制了尾气排放，同时，清洁能源天然气汽车的不断使用、汽车尾气治理的不断加强，亦使汽车尾气排放逐步减少，尾气的污染问题将得到控制和解决。</w:t>
            </w:r>
          </w:p>
          <w:p w14:paraId="1953FDCC">
            <w:pPr>
              <w:pStyle w:val="21"/>
              <w:bidi w:val="0"/>
              <w:rPr>
                <w:rFonts w:hint="eastAsia"/>
                <w:color w:val="auto"/>
                <w:lang w:val="en-US" w:eastAsia="zh-CN"/>
              </w:rPr>
            </w:pPr>
            <w:r>
              <w:rPr>
                <w:rFonts w:hint="eastAsia"/>
                <w:color w:val="auto"/>
                <w:lang w:val="en-US" w:eastAsia="zh-CN"/>
              </w:rPr>
              <w:t>评价认为，项目运营期汽车尾气对环境的影响较小。</w:t>
            </w:r>
          </w:p>
          <w:p w14:paraId="3A88DB81">
            <w:pPr>
              <w:pStyle w:val="21"/>
              <w:bidi w:val="0"/>
              <w:rPr>
                <w:color w:val="auto"/>
              </w:rPr>
            </w:pPr>
            <w:r>
              <w:rPr>
                <w:rFonts w:hint="eastAsia"/>
                <w:color w:val="auto"/>
              </w:rPr>
              <w:t>（2）</w:t>
            </w:r>
            <w:r>
              <w:rPr>
                <w:rFonts w:hint="eastAsia"/>
                <w:color w:val="auto"/>
                <w:lang w:eastAsia="zh-CN"/>
              </w:rPr>
              <w:t>道路</w:t>
            </w:r>
            <w:r>
              <w:rPr>
                <w:rFonts w:hint="eastAsia"/>
                <w:color w:val="auto"/>
              </w:rPr>
              <w:t>扬尘</w:t>
            </w:r>
          </w:p>
          <w:p w14:paraId="19CBFBE4">
            <w:pPr>
              <w:pStyle w:val="21"/>
              <w:bidi w:val="0"/>
              <w:rPr>
                <w:color w:val="auto"/>
              </w:rPr>
            </w:pPr>
            <w:r>
              <w:rPr>
                <w:rFonts w:hint="eastAsia"/>
                <w:color w:val="auto"/>
                <w:lang w:val="en-US" w:eastAsia="zh-CN"/>
              </w:rPr>
              <w:t>本项目</w:t>
            </w:r>
            <w:r>
              <w:rPr>
                <w:rFonts w:hint="eastAsia"/>
                <w:color w:val="auto"/>
              </w:rPr>
              <w:t>道路扬尘对环境空气影响范围及程度与路面积尘量有关。路面积尘量在0.1kg/m</w:t>
            </w:r>
            <w:r>
              <w:rPr>
                <w:rFonts w:hint="eastAsia"/>
                <w:color w:val="auto"/>
                <w:vertAlign w:val="superscript"/>
              </w:rPr>
              <w:t>2</w:t>
            </w:r>
            <w:r>
              <w:rPr>
                <w:rFonts w:hint="eastAsia"/>
                <w:color w:val="auto"/>
              </w:rPr>
              <w:t>时，道路扬尘影响范围约为20</w:t>
            </w:r>
            <w:r>
              <w:rPr>
                <w:rFonts w:hint="eastAsia"/>
                <w:color w:val="auto"/>
                <w:lang w:val="en-US" w:eastAsia="zh-CN"/>
              </w:rPr>
              <w:t>~</w:t>
            </w:r>
            <w:r>
              <w:rPr>
                <w:rFonts w:hint="eastAsia"/>
                <w:color w:val="auto"/>
              </w:rPr>
              <w:t>30m；道路积尘量为0.6kg/m</w:t>
            </w:r>
            <w:r>
              <w:rPr>
                <w:rFonts w:hint="eastAsia"/>
                <w:color w:val="auto"/>
                <w:vertAlign w:val="superscript"/>
              </w:rPr>
              <w:t>2</w:t>
            </w:r>
            <w:r>
              <w:rPr>
                <w:rFonts w:hint="eastAsia"/>
                <w:color w:val="auto"/>
              </w:rPr>
              <w:t>时，汽车行驶时影响范围可达120m</w:t>
            </w:r>
            <w:r>
              <w:rPr>
                <w:rFonts w:hint="eastAsia"/>
                <w:color w:val="auto"/>
                <w:lang w:val="en-US" w:eastAsia="zh-CN"/>
              </w:rPr>
              <w:t>~</w:t>
            </w:r>
            <w:r>
              <w:rPr>
                <w:rFonts w:hint="eastAsia"/>
                <w:color w:val="auto"/>
              </w:rPr>
              <w:t>150m。</w:t>
            </w:r>
          </w:p>
          <w:p w14:paraId="50EB0979">
            <w:pPr>
              <w:pStyle w:val="21"/>
              <w:bidi w:val="0"/>
              <w:rPr>
                <w:rFonts w:hint="eastAsia"/>
                <w:color w:val="auto"/>
                <w:lang w:eastAsia="zh-CN"/>
              </w:rPr>
            </w:pPr>
            <w:r>
              <w:rPr>
                <w:rFonts w:hint="eastAsia"/>
                <w:color w:val="auto"/>
                <w:lang w:val="en-US" w:eastAsia="zh-CN"/>
              </w:rPr>
              <w:t>项目</w:t>
            </w:r>
            <w:r>
              <w:rPr>
                <w:rFonts w:hint="eastAsia"/>
                <w:color w:val="auto"/>
              </w:rPr>
              <w:t>道路全部都采用沥青混凝土路面，对道路扬尘具有明显的</w:t>
            </w:r>
            <w:r>
              <w:rPr>
                <w:rFonts w:hint="eastAsia"/>
                <w:color w:val="auto"/>
                <w:lang w:eastAsia="zh-CN"/>
              </w:rPr>
              <w:t>抑制作用</w:t>
            </w:r>
            <w:r>
              <w:rPr>
                <w:rFonts w:hint="eastAsia"/>
                <w:color w:val="auto"/>
              </w:rPr>
              <w:t>。本项目属城市主干道，将纳入路政部门管理，有完善的道路清洁制度，能及时清除道路表面的洒落物等，可大大减少道路路面积尘量，有效降低起尘量</w:t>
            </w:r>
            <w:r>
              <w:rPr>
                <w:rFonts w:hint="eastAsia"/>
                <w:color w:val="auto"/>
                <w:lang w:eastAsia="zh-CN"/>
              </w:rPr>
              <w:t>。且项目建成后</w:t>
            </w:r>
            <w:r>
              <w:rPr>
                <w:rFonts w:hint="eastAsia"/>
                <w:color w:val="auto"/>
                <w:lang w:val="en-US" w:eastAsia="zh-CN"/>
              </w:rPr>
              <w:t>加强两侧绿化</w:t>
            </w:r>
            <w:r>
              <w:rPr>
                <w:rFonts w:hint="eastAsia"/>
                <w:color w:val="auto"/>
                <w:lang w:eastAsia="zh-CN"/>
              </w:rPr>
              <w:t>，对扬尘起到一定的吸附和阻挡作用。评价认为道路扬尘对环境空气影响较小。</w:t>
            </w:r>
          </w:p>
          <w:p w14:paraId="5445863B">
            <w:pPr>
              <w:pStyle w:val="4"/>
              <w:bidi w:val="0"/>
              <w:rPr>
                <w:color w:val="auto"/>
              </w:rPr>
            </w:pPr>
            <w:r>
              <w:rPr>
                <w:rFonts w:hint="eastAsia"/>
                <w:color w:val="auto"/>
              </w:rPr>
              <w:t>地表水环境影响分析</w:t>
            </w:r>
          </w:p>
          <w:p w14:paraId="3BD6274A">
            <w:pPr>
              <w:pStyle w:val="21"/>
              <w:bidi w:val="0"/>
              <w:rPr>
                <w:rFonts w:hint="eastAsia"/>
                <w:color w:val="auto"/>
              </w:rPr>
            </w:pPr>
            <w:r>
              <w:rPr>
                <w:rFonts w:hint="eastAsia"/>
                <w:color w:val="auto"/>
              </w:rPr>
              <w:t>本项目运营期</w:t>
            </w:r>
            <w:r>
              <w:rPr>
                <w:rFonts w:hint="eastAsia"/>
                <w:color w:val="auto"/>
                <w:lang w:val="en-US" w:eastAsia="zh-CN"/>
              </w:rPr>
              <w:t>自身</w:t>
            </w:r>
            <w:r>
              <w:rPr>
                <w:rFonts w:hint="eastAsia"/>
                <w:color w:val="auto"/>
              </w:rPr>
              <w:t>不产生废水，对地表水环境的污染主要体现在路面油垢、汽车轮胎摩擦微粒、尘埃等随路面雨水径流</w:t>
            </w:r>
            <w:r>
              <w:rPr>
                <w:rFonts w:hint="eastAsia"/>
                <w:color w:val="auto"/>
                <w:lang w:val="en-US" w:eastAsia="zh-CN"/>
              </w:rPr>
              <w:t>进入水体造成</w:t>
            </w:r>
            <w:r>
              <w:rPr>
                <w:rFonts w:hint="eastAsia"/>
                <w:color w:val="auto"/>
              </w:rPr>
              <w:t>污染。道路路面径流主要污染物为SS、石油类等，其浓度取决于交通量、降雨强度、降尘量和气候干湿程度等多种因素。对地表水影响较大的为降雨初期到形成径流30min内的初期雨水，其中挟带的污染物主要为SS及石油类，浓度分别约300mg/L、10mg/L，半小时后，雨水浓度快速下降，降雨历时40~60min后，路面基本被冲洗干净。路面雨水经雨水管道就近</w:t>
            </w:r>
            <w:r>
              <w:rPr>
                <w:rFonts w:hint="eastAsia"/>
                <w:color w:val="auto"/>
                <w:lang w:eastAsia="zh-CN"/>
              </w:rPr>
              <w:t>排入</w:t>
            </w:r>
            <w:r>
              <w:rPr>
                <w:rFonts w:hint="eastAsia"/>
                <w:color w:val="auto"/>
              </w:rPr>
              <w:t>下游雨水管道系统中，最终进入地表水体，对地表水体影响小。路面径流基本不会对地表水体水质造成明显的影响，并且随着降雨时间的推移，影响逐渐减弱。</w:t>
            </w:r>
          </w:p>
          <w:p w14:paraId="7BE1FEFC">
            <w:pPr>
              <w:pStyle w:val="21"/>
              <w:bidi w:val="0"/>
              <w:rPr>
                <w:rFonts w:hint="default" w:eastAsia="宋体"/>
                <w:color w:val="auto"/>
                <w:lang w:val="en-US" w:eastAsia="zh-CN"/>
              </w:rPr>
            </w:pPr>
            <w:r>
              <w:rPr>
                <w:rFonts w:hint="eastAsia"/>
                <w:color w:val="auto"/>
                <w:lang w:val="en-US" w:eastAsia="zh-CN"/>
              </w:rPr>
              <w:t>项目桥梁不涉及涉水桥墩，对甘溪沟水文情势无影响。</w:t>
            </w:r>
          </w:p>
          <w:p w14:paraId="11089F37">
            <w:pPr>
              <w:pStyle w:val="4"/>
              <w:bidi w:val="0"/>
              <w:rPr>
                <w:color w:val="auto"/>
              </w:rPr>
            </w:pPr>
            <w:r>
              <w:rPr>
                <w:rFonts w:hint="eastAsia"/>
                <w:color w:val="auto"/>
              </w:rPr>
              <w:t>声环境影响分析</w:t>
            </w:r>
          </w:p>
          <w:p w14:paraId="28D17A89">
            <w:pPr>
              <w:pStyle w:val="21"/>
              <w:bidi w:val="0"/>
              <w:rPr>
                <w:rFonts w:hint="eastAsia"/>
                <w:color w:val="auto"/>
              </w:rPr>
            </w:pPr>
            <w:r>
              <w:rPr>
                <w:rFonts w:hint="eastAsia"/>
                <w:color w:val="auto"/>
              </w:rPr>
              <w:t>本项目运营期噪声主要来自于路面行驶的机动车产生的交通噪声。交通噪声主要由发动机噪声、排气噪声、车体振动噪声、制动噪声、传动机械噪声等声源组成，其中发动机噪声是主要的噪声源，噪声强度与车辆类型、行驶速度有关，且在公路上行驶的机动车辆的噪声源为非稳定态源。</w:t>
            </w:r>
          </w:p>
          <w:p w14:paraId="7B72BBE4">
            <w:pPr>
              <w:pStyle w:val="21"/>
              <w:bidi w:val="0"/>
              <w:rPr>
                <w:rFonts w:hint="eastAsia"/>
                <w:color w:val="auto"/>
                <w:lang w:val="en-US" w:eastAsia="zh-CN"/>
              </w:rPr>
            </w:pPr>
            <w:r>
              <w:rPr>
                <w:rFonts w:hint="eastAsia"/>
                <w:color w:val="auto"/>
              </w:rPr>
              <w:t>根据“噪声环境影响专项评价”，</w:t>
            </w:r>
            <w:r>
              <w:rPr>
                <w:rFonts w:hint="eastAsia"/>
                <w:color w:val="auto"/>
                <w:lang w:val="en-US" w:eastAsia="zh-CN"/>
              </w:rPr>
              <w:t>1号桥运营近期、中期、远期昼间噪声均能达到4a类标准，夜间噪声4a类标准达标距离分别为距道路中心线7m、8m、8m；1号桥运营近期、中期、远期昼间噪声2类标准达标距离分别为距道路中心线7m、9m、11m，夜间噪声2类标准达标距离分别为距道路中心线11m、13m、14m。连接道路运营近期、中期、远期昼间噪声2类标准达标距离分别为距道路中心线0m、4m、4m，夜间噪声2类标准达标距离分别为距道路中心线6m、7m、8m。</w:t>
            </w:r>
          </w:p>
          <w:p w14:paraId="7C56414F">
            <w:pPr>
              <w:pStyle w:val="21"/>
              <w:bidi w:val="0"/>
              <w:rPr>
                <w:rFonts w:hint="eastAsia"/>
                <w:color w:val="auto"/>
                <w:lang w:val="en-US" w:eastAsia="zh-CN"/>
              </w:rPr>
            </w:pPr>
            <w:r>
              <w:rPr>
                <w:rFonts w:hint="eastAsia"/>
                <w:color w:val="auto"/>
                <w:lang w:val="en-US" w:eastAsia="zh-CN"/>
              </w:rPr>
              <w:t>各声环境保护目标近期、中期、远期昼夜间噪声均能满足相应的《声环境质量标准》（GB3096-2008）4a类、2类标准要求</w:t>
            </w:r>
            <w:r>
              <w:rPr>
                <w:rFonts w:hint="eastAsia"/>
                <w:color w:val="auto"/>
              </w:rPr>
              <w:t>。</w:t>
            </w:r>
            <w:r>
              <w:rPr>
                <w:rFonts w:hint="eastAsia"/>
                <w:color w:val="auto"/>
                <w:lang w:val="en-US" w:eastAsia="zh-CN"/>
              </w:rPr>
              <w:t>项目交通噪声对周边声环境保护目标影响小，通过采取相应措施可进一步降低交通噪声影响。</w:t>
            </w:r>
          </w:p>
          <w:p w14:paraId="78FA4199">
            <w:pPr>
              <w:pStyle w:val="21"/>
              <w:bidi w:val="0"/>
              <w:rPr>
                <w:rFonts w:hint="eastAsia"/>
                <w:color w:val="auto"/>
                <w:lang w:val="en-US" w:eastAsia="zh-CN"/>
              </w:rPr>
            </w:pPr>
            <w:r>
              <w:rPr>
                <w:rFonts w:hint="eastAsia"/>
                <w:color w:val="auto"/>
                <w:lang w:val="en-US" w:eastAsia="zh-CN"/>
              </w:rPr>
              <w:t>综上，本项目交通噪声对声环境质量和周边声环境保护目标的影响可接受。</w:t>
            </w:r>
          </w:p>
          <w:p w14:paraId="451EC2D7">
            <w:pPr>
              <w:pStyle w:val="4"/>
              <w:bidi w:val="0"/>
              <w:rPr>
                <w:color w:val="auto"/>
              </w:rPr>
            </w:pPr>
            <w:r>
              <w:rPr>
                <w:rFonts w:hint="eastAsia"/>
                <w:color w:val="auto"/>
              </w:rPr>
              <w:t>固体废物影响分析</w:t>
            </w:r>
          </w:p>
          <w:p w14:paraId="4ACBFE64">
            <w:pPr>
              <w:pStyle w:val="21"/>
              <w:bidi w:val="0"/>
              <w:rPr>
                <w:color w:val="auto"/>
              </w:rPr>
            </w:pPr>
            <w:r>
              <w:rPr>
                <w:rFonts w:hint="eastAsia"/>
                <w:color w:val="auto"/>
                <w:lang w:val="en-US" w:eastAsia="zh-CN"/>
              </w:rPr>
              <w:t>本</w:t>
            </w:r>
            <w:r>
              <w:rPr>
                <w:rFonts w:hint="eastAsia"/>
                <w:color w:val="auto"/>
              </w:rPr>
              <w:t>项目属于城市道路，不设置服务区、收费站等，固废主要来自行驶车辆及过往人员丢弃的垃圾</w:t>
            </w:r>
            <w:r>
              <w:rPr>
                <w:rFonts w:hint="eastAsia"/>
                <w:color w:val="auto"/>
                <w:lang w:eastAsia="zh-CN"/>
              </w:rPr>
              <w:t>，</w:t>
            </w:r>
            <w:r>
              <w:rPr>
                <w:rFonts w:hint="eastAsia"/>
                <w:color w:val="auto"/>
                <w:lang w:val="en-US" w:eastAsia="zh-CN"/>
              </w:rPr>
              <w:t>由</w:t>
            </w:r>
            <w:r>
              <w:rPr>
                <w:rFonts w:hint="eastAsia"/>
                <w:color w:val="auto"/>
              </w:rPr>
              <w:t>环卫部门统一清扫</w:t>
            </w:r>
            <w:r>
              <w:rPr>
                <w:rFonts w:hint="eastAsia"/>
                <w:color w:val="auto"/>
                <w:lang w:val="en-US" w:eastAsia="zh-CN"/>
              </w:rPr>
              <w:t>处置</w:t>
            </w:r>
            <w:r>
              <w:rPr>
                <w:rFonts w:hint="eastAsia"/>
                <w:color w:val="auto"/>
              </w:rPr>
              <w:t>，对环境影响较小。</w:t>
            </w:r>
          </w:p>
          <w:p w14:paraId="000CE7F8">
            <w:pPr>
              <w:pStyle w:val="4"/>
              <w:bidi w:val="0"/>
              <w:rPr>
                <w:color w:val="auto"/>
              </w:rPr>
            </w:pPr>
            <w:r>
              <w:rPr>
                <w:rFonts w:hint="eastAsia"/>
                <w:color w:val="auto"/>
              </w:rPr>
              <w:t>环境风险影响分析</w:t>
            </w:r>
          </w:p>
          <w:p w14:paraId="5EE0D68B">
            <w:pPr>
              <w:pStyle w:val="21"/>
              <w:bidi w:val="0"/>
              <w:rPr>
                <w:color w:val="auto"/>
              </w:rPr>
            </w:pPr>
            <w:r>
              <w:rPr>
                <w:rFonts w:hint="eastAsia"/>
                <w:color w:val="auto"/>
              </w:rPr>
              <w:t>公路存在运营期间的可信风险事故主要是危险品运输风险，即危险品运输车辆在道路上发生事故，造成运输的危险品外泄、外溢、喷发等。本</w:t>
            </w:r>
            <w:r>
              <w:rPr>
                <w:rFonts w:hint="eastAsia"/>
                <w:color w:val="auto"/>
                <w:lang w:val="en-US" w:eastAsia="zh-CN"/>
              </w:rPr>
              <w:t>项目</w:t>
            </w:r>
            <w:r>
              <w:rPr>
                <w:rFonts w:hint="eastAsia"/>
                <w:color w:val="auto"/>
              </w:rPr>
              <w:t>服务的规划区是以居住、商业</w:t>
            </w:r>
            <w:r>
              <w:rPr>
                <w:rFonts w:hint="eastAsia"/>
                <w:color w:val="auto"/>
                <w:lang w:val="en-US" w:eastAsia="zh-CN"/>
              </w:rPr>
              <w:t>及办公</w:t>
            </w:r>
            <w:r>
              <w:rPr>
                <w:rFonts w:hint="eastAsia"/>
                <w:color w:val="auto"/>
              </w:rPr>
              <w:t>为主的区域，无工业用地分布。</w:t>
            </w:r>
          </w:p>
          <w:p w14:paraId="774AB62A">
            <w:pPr>
              <w:pStyle w:val="21"/>
              <w:bidi w:val="0"/>
              <w:rPr>
                <w:color w:val="auto"/>
              </w:rPr>
            </w:pPr>
            <w:r>
              <w:rPr>
                <w:rFonts w:hint="eastAsia"/>
                <w:color w:val="auto"/>
              </w:rPr>
              <w:t>本</w:t>
            </w:r>
            <w:r>
              <w:rPr>
                <w:rFonts w:hint="eastAsia"/>
                <w:color w:val="auto"/>
                <w:lang w:val="en-US" w:eastAsia="zh-CN"/>
              </w:rPr>
              <w:t>项目1号桥跨越甘溪沟，最终汇入</w:t>
            </w:r>
            <w:r>
              <w:rPr>
                <w:rFonts w:hint="eastAsia"/>
                <w:color w:val="auto"/>
              </w:rPr>
              <w:t>朱衣河，公路存在运营期间的可信风险事故主要是危险品运输风险，若是造成运输的危险品外泄、外溢、喷发进入</w:t>
            </w:r>
            <w:r>
              <w:rPr>
                <w:rFonts w:hint="eastAsia"/>
                <w:color w:val="auto"/>
                <w:lang w:val="en-US" w:eastAsia="zh-CN"/>
              </w:rPr>
              <w:t>甘溪沟</w:t>
            </w:r>
            <w:r>
              <w:rPr>
                <w:rFonts w:hint="eastAsia"/>
                <w:color w:val="auto"/>
              </w:rPr>
              <w:t>导致水体污染。根据《危险化学品安全管理条例》（中华人民共和国国务院令第591号）以及2005年重庆市交警总队的规定，危化品运输车禁止进入人口聚居区、商业区、水源区等。</w:t>
            </w:r>
            <w:r>
              <w:rPr>
                <w:rFonts w:hint="eastAsia"/>
                <w:color w:val="auto"/>
                <w:lang w:val="en-US" w:eastAsia="zh-CN"/>
              </w:rPr>
              <w:t>本项目</w:t>
            </w:r>
            <w:r>
              <w:rPr>
                <w:rFonts w:hint="eastAsia"/>
                <w:color w:val="auto"/>
              </w:rPr>
              <w:t>道路两侧所在区域主要规划为</w:t>
            </w:r>
            <w:r>
              <w:rPr>
                <w:rFonts w:hint="eastAsia"/>
                <w:color w:val="auto"/>
                <w:lang w:val="en-US" w:eastAsia="zh-CN"/>
              </w:rPr>
              <w:t>居住用地、商业用地、行政办公用地、</w:t>
            </w:r>
            <w:r>
              <w:rPr>
                <w:rFonts w:hint="eastAsia"/>
                <w:color w:val="auto"/>
              </w:rPr>
              <w:t>公园绿地等，属于人口密集区，原则上已禁止危化品车辆通行，同时项目所在区域周边无工业企业，运输危险品的可能性极低，本评价要求项目设置危险品禁运标志。</w:t>
            </w:r>
          </w:p>
        </w:tc>
      </w:tr>
      <w:tr w14:paraId="4851EC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7" w:type="dxa"/>
            <w:vAlign w:val="center"/>
          </w:tcPr>
          <w:p w14:paraId="42E8467D">
            <w:pPr>
              <w:rPr>
                <w:rFonts w:hint="eastAsia"/>
                <w:color w:val="auto"/>
              </w:rPr>
            </w:pPr>
            <w:r>
              <w:rPr>
                <w:rFonts w:hint="eastAsia"/>
                <w:color w:val="auto"/>
              </w:rPr>
              <w:t>选址选线环境合理性分析</w:t>
            </w:r>
          </w:p>
        </w:tc>
        <w:tc>
          <w:tcPr>
            <w:tcW w:w="8493" w:type="dxa"/>
            <w:vAlign w:val="top"/>
          </w:tcPr>
          <w:p w14:paraId="198BADE3">
            <w:pPr>
              <w:pStyle w:val="3"/>
              <w:bidi w:val="0"/>
              <w:jc w:val="left"/>
              <w:rPr>
                <w:color w:val="auto"/>
              </w:rPr>
            </w:pPr>
            <w:r>
              <w:rPr>
                <w:color w:val="auto"/>
              </w:rPr>
              <w:t>选址合理性分析</w:t>
            </w:r>
          </w:p>
          <w:p w14:paraId="15E47E57">
            <w:pPr>
              <w:pStyle w:val="4"/>
              <w:bidi w:val="0"/>
              <w:rPr>
                <w:color w:val="auto"/>
              </w:rPr>
            </w:pPr>
            <w:r>
              <w:rPr>
                <w:rFonts w:hint="eastAsia"/>
                <w:color w:val="auto"/>
              </w:rPr>
              <w:t>工程选线合理性</w:t>
            </w:r>
          </w:p>
          <w:p w14:paraId="4A8EB5E8">
            <w:pPr>
              <w:pStyle w:val="21"/>
              <w:bidi w:val="0"/>
              <w:rPr>
                <w:rFonts w:hint="eastAsia"/>
                <w:color w:val="auto"/>
              </w:rPr>
            </w:pPr>
            <w:r>
              <w:rPr>
                <w:rFonts w:hint="eastAsia"/>
                <w:color w:val="auto"/>
              </w:rPr>
              <w:t>本</w:t>
            </w:r>
            <w:r>
              <w:rPr>
                <w:rFonts w:hint="eastAsia"/>
                <w:color w:val="auto"/>
                <w:lang w:val="en-US" w:eastAsia="zh-CN"/>
              </w:rPr>
              <w:t>项目</w:t>
            </w:r>
            <w:r>
              <w:rPr>
                <w:rFonts w:hint="eastAsia"/>
                <w:color w:val="auto"/>
              </w:rPr>
              <w:t>属于</w:t>
            </w:r>
            <w:r>
              <w:rPr>
                <w:rFonts w:hint="eastAsia"/>
                <w:color w:val="auto"/>
                <w:lang w:val="en-US" w:eastAsia="zh-CN"/>
              </w:rPr>
              <w:t>城市规划</w:t>
            </w:r>
            <w:r>
              <w:rPr>
                <w:rFonts w:hint="eastAsia"/>
                <w:color w:val="auto"/>
              </w:rPr>
              <w:t>道路，</w:t>
            </w:r>
            <w:r>
              <w:rPr>
                <w:rFonts w:hint="eastAsia"/>
                <w:color w:val="auto"/>
                <w:lang w:val="en-US" w:eastAsia="zh-CN"/>
              </w:rPr>
              <w:t>主要为完善万达广场周边路网，设计起点与终点均与已建成道路顺接，道路起点、终点已确定，加之路线较短，路线走廊带单一，故本项目无线路比选方案。</w:t>
            </w:r>
          </w:p>
          <w:p w14:paraId="1D1E7622">
            <w:pPr>
              <w:pStyle w:val="21"/>
              <w:bidi w:val="0"/>
              <w:rPr>
                <w:rFonts w:hint="eastAsia"/>
                <w:color w:val="auto"/>
                <w:lang w:val="en-US" w:eastAsia="zh-CN"/>
              </w:rPr>
            </w:pPr>
            <w:r>
              <w:rPr>
                <w:rFonts w:hint="eastAsia"/>
                <w:color w:val="auto"/>
              </w:rPr>
              <w:t>项目</w:t>
            </w:r>
            <w:r>
              <w:rPr>
                <w:rFonts w:hint="eastAsia"/>
                <w:color w:val="auto"/>
                <w:lang w:val="en-US" w:eastAsia="zh-CN"/>
              </w:rPr>
              <w:t>的建设可完善万达广场周边路网，</w:t>
            </w:r>
            <w:r>
              <w:rPr>
                <w:rFonts w:hint="eastAsia"/>
                <w:color w:val="auto"/>
              </w:rPr>
              <w:t>促进</w:t>
            </w:r>
            <w:r>
              <w:rPr>
                <w:rFonts w:hint="eastAsia"/>
                <w:color w:val="auto"/>
                <w:lang w:val="en-US" w:eastAsia="zh-CN"/>
              </w:rPr>
              <w:t>周边商业</w:t>
            </w:r>
            <w:r>
              <w:rPr>
                <w:rFonts w:hint="eastAsia"/>
                <w:color w:val="auto"/>
              </w:rPr>
              <w:t>发展，选线合理。根据设计方案，道路区未发现断层、滑坡、软弱夹层、地下采空区、泥石流等不良地质现象，该区域整体稳定，适宜项目的修建。</w:t>
            </w:r>
            <w:r>
              <w:rPr>
                <w:rFonts w:hint="eastAsia"/>
                <w:color w:val="auto"/>
                <w:lang w:val="en-US" w:eastAsia="zh-CN"/>
              </w:rPr>
              <w:t>根据调查，项目沿线不涉及自然保护区、风景名胜区、森林公园等特殊生态敏感目标，不涉及生态红线，也未发现珍稀濒危及国家、地方重点保护野生植物、野生动物和古树名木分布，项目所在甘溪沟和朱衣河不涉及饮用水水源保护区，也无重要水生生物的自然产卵场及索饵场、越冬场和洄游通道等，项目周边环境保护目标主要为居住小区、行政办公区，施工期和运营期通过采取相应环保措施，对其正常生产生活影响小。</w:t>
            </w:r>
          </w:p>
          <w:p w14:paraId="6B4FB60C">
            <w:pPr>
              <w:pStyle w:val="21"/>
              <w:bidi w:val="0"/>
              <w:rPr>
                <w:rFonts w:hint="eastAsia"/>
                <w:color w:val="auto"/>
              </w:rPr>
            </w:pPr>
            <w:r>
              <w:rPr>
                <w:rFonts w:hint="eastAsia"/>
                <w:color w:val="auto"/>
                <w:lang w:val="en-US" w:eastAsia="zh-CN"/>
              </w:rPr>
              <w:t>因此，从环境角度考虑，</w:t>
            </w:r>
            <w:r>
              <w:rPr>
                <w:rFonts w:hint="eastAsia"/>
                <w:color w:val="auto"/>
              </w:rPr>
              <w:t>项目选线合理。</w:t>
            </w:r>
          </w:p>
          <w:p w14:paraId="5EA39D80">
            <w:pPr>
              <w:pStyle w:val="4"/>
              <w:bidi w:val="0"/>
              <w:rPr>
                <w:color w:val="auto"/>
              </w:rPr>
            </w:pPr>
            <w:r>
              <w:rPr>
                <w:rFonts w:hint="eastAsia"/>
                <w:color w:val="auto"/>
              </w:rPr>
              <w:t>临时工程选址</w:t>
            </w:r>
            <w:r>
              <w:rPr>
                <w:color w:val="auto"/>
              </w:rPr>
              <w:t>合理性分析</w:t>
            </w:r>
          </w:p>
          <w:p w14:paraId="262421E1">
            <w:pPr>
              <w:pStyle w:val="21"/>
              <w:bidi w:val="0"/>
              <w:rPr>
                <w:color w:val="auto"/>
              </w:rPr>
            </w:pPr>
            <w:r>
              <w:rPr>
                <w:rFonts w:hint="eastAsia"/>
                <w:color w:val="auto"/>
                <w:lang w:val="en-US" w:eastAsia="zh-CN"/>
              </w:rPr>
              <w:t>项目临时工程主要为2处施工场地，1#施工场地位于1号桥K0+052.000东侧，2#施工场地位于连接道路K0+200.000右侧，总占地面积约1300m</w:t>
            </w:r>
            <w:r>
              <w:rPr>
                <w:rFonts w:hint="eastAsia"/>
                <w:color w:val="auto"/>
                <w:vertAlign w:val="superscript"/>
                <w:lang w:val="en-US" w:eastAsia="zh-CN"/>
              </w:rPr>
              <w:t>2</w:t>
            </w:r>
            <w:r>
              <w:rPr>
                <w:rFonts w:hint="eastAsia"/>
                <w:color w:val="auto"/>
                <w:lang w:val="en-US" w:eastAsia="zh-CN"/>
              </w:rPr>
              <w:t>，占地类型为商业用地，均紧邻道路，可较好的服务于道路修建，目前已完成表土剥离，现状为裸地。</w:t>
            </w:r>
            <w:r>
              <w:rPr>
                <w:rFonts w:hint="eastAsia"/>
                <w:color w:val="auto"/>
              </w:rPr>
              <w:t>施工结束后，拆除施工场地内的设施，进行场地清理，该施工场地占地范围</w:t>
            </w:r>
            <w:r>
              <w:rPr>
                <w:rFonts w:hint="eastAsia"/>
                <w:color w:val="auto"/>
                <w:lang w:val="en-US" w:eastAsia="zh-CN"/>
              </w:rPr>
              <w:t>经修建为万达广场商业广场</w:t>
            </w:r>
            <w:r>
              <w:rPr>
                <w:rFonts w:hint="eastAsia"/>
                <w:color w:val="auto"/>
              </w:rPr>
              <w:t>，无需进行生态恢复。从环保角度分析，项目临时占地选址合理。</w:t>
            </w:r>
          </w:p>
        </w:tc>
      </w:tr>
    </w:tbl>
    <w:p w14:paraId="695F21A2">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183445E">
      <w:pPr>
        <w:keepNext/>
        <w:keepLines/>
        <w:widowControl w:val="0"/>
        <w:numPr>
          <w:ilvl w:val="0"/>
          <w:numId w:val="1"/>
        </w:numPr>
        <w:adjustRightInd w:val="0"/>
        <w:snapToGrid w:val="0"/>
        <w:spacing w:after="312" w:afterLines="100" w:line="400" w:lineRule="exact"/>
        <w:jc w:val="center"/>
        <w:outlineLvl w:val="0"/>
        <w:rPr>
          <w:rFonts w:ascii="Times New Roman" w:hAnsi="Times New Roman" w:eastAsia="黑体" w:cstheme="minorBidi"/>
          <w:b/>
          <w:bCs/>
          <w:color w:val="auto"/>
          <w:kern w:val="44"/>
          <w:sz w:val="30"/>
          <w:szCs w:val="44"/>
          <w:lang w:val="en-US" w:eastAsia="zh-CN" w:bidi="ar-SA"/>
          <w14:ligatures w14:val="standardContextual"/>
        </w:rPr>
      </w:pPr>
      <w:r>
        <w:rPr>
          <w:rFonts w:hint="eastAsia" w:ascii="Times New Roman" w:hAnsi="Times New Roman" w:eastAsia="黑体" w:cstheme="minorBidi"/>
          <w:b/>
          <w:bCs/>
          <w:color w:val="auto"/>
          <w:kern w:val="44"/>
          <w:sz w:val="30"/>
          <w:szCs w:val="44"/>
          <w:lang w:val="en-US" w:eastAsia="zh-CN" w:bidi="ar-SA"/>
          <w14:ligatures w14:val="standardContextual"/>
        </w:rPr>
        <w:t>主要生态环境保护措施</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57"/>
        <w:gridCol w:w="8493"/>
      </w:tblGrid>
      <w:tr w14:paraId="121F37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7" w:type="dxa"/>
            <w:vAlign w:val="center"/>
          </w:tcPr>
          <w:p w14:paraId="6CEAAB80">
            <w:pPr>
              <w:rPr>
                <w:rFonts w:ascii="Times New Roman" w:hAnsi="Times New Roman" w:eastAsia="宋体"/>
                <w:color w:val="auto"/>
              </w:rPr>
            </w:pPr>
            <w:r>
              <w:rPr>
                <w:rFonts w:hint="eastAsia" w:ascii="Times New Roman" w:hAnsi="Times New Roman" w:eastAsia="宋体"/>
                <w:color w:val="auto"/>
              </w:rPr>
              <w:t>施工期生态环境保护措施</w:t>
            </w:r>
          </w:p>
        </w:tc>
        <w:tc>
          <w:tcPr>
            <w:tcW w:w="8493" w:type="dxa"/>
            <w:vAlign w:val="top"/>
          </w:tcPr>
          <w:p w14:paraId="10FCCCFA">
            <w:pPr>
              <w:keepNext/>
              <w:keepLines/>
              <w:widowControl w:val="0"/>
              <w:numPr>
                <w:ilvl w:val="1"/>
                <w:numId w:val="1"/>
              </w:numPr>
              <w:spacing w:line="400" w:lineRule="exact"/>
              <w:jc w:val="left"/>
              <w:outlineLvl w:val="1"/>
              <w:rPr>
                <w:rFonts w:ascii="Times New Roman" w:hAnsi="Times New Roman" w:eastAsia="宋体" w:cstheme="majorBidi"/>
                <w:b/>
                <w:bCs/>
                <w:color w:val="auto"/>
                <w:kern w:val="2"/>
                <w:sz w:val="24"/>
                <w:szCs w:val="32"/>
                <w:lang w:val="en-US" w:eastAsia="zh-CN" w:bidi="ar-SA"/>
                <w14:ligatures w14:val="standardContextual"/>
              </w:rPr>
            </w:pPr>
            <w:r>
              <w:rPr>
                <w:rFonts w:hint="eastAsia" w:ascii="Times New Roman" w:hAnsi="Times New Roman" w:eastAsia="宋体" w:cstheme="majorBidi"/>
                <w:b/>
                <w:bCs/>
                <w:color w:val="auto"/>
                <w:kern w:val="2"/>
                <w:sz w:val="24"/>
                <w:szCs w:val="32"/>
                <w:lang w:val="en-US" w:eastAsia="zh-CN" w:bidi="ar-SA"/>
                <w14:ligatures w14:val="standardContextual"/>
              </w:rPr>
              <w:t>施工期生态环境保护措施</w:t>
            </w:r>
          </w:p>
          <w:p w14:paraId="7A2A7EDC">
            <w:pPr>
              <w:pStyle w:val="4"/>
              <w:bidi w:val="0"/>
              <w:rPr>
                <w:color w:val="auto"/>
              </w:rPr>
            </w:pPr>
            <w:r>
              <w:rPr>
                <w:color w:val="auto"/>
              </w:rPr>
              <w:t>生态环境保护措施</w:t>
            </w:r>
          </w:p>
          <w:p w14:paraId="72A3E178">
            <w:pPr>
              <w:pStyle w:val="21"/>
              <w:bidi w:val="0"/>
              <w:rPr>
                <w:color w:val="auto"/>
              </w:rPr>
            </w:pPr>
            <w:r>
              <w:rPr>
                <w:rFonts w:hint="eastAsia"/>
                <w:color w:val="auto"/>
              </w:rPr>
              <w:t>（1）合理布置施工场地，严格控制施工作业范围，尽量将施工活动控制在征占地范围内，加强征地范围外的植被和土壤保护。</w:t>
            </w:r>
          </w:p>
          <w:p w14:paraId="2EA2DE65">
            <w:pPr>
              <w:pStyle w:val="21"/>
              <w:bidi w:val="0"/>
              <w:rPr>
                <w:color w:val="auto"/>
              </w:rPr>
            </w:pPr>
            <w:r>
              <w:rPr>
                <w:rFonts w:hint="eastAsia"/>
                <w:color w:val="auto"/>
              </w:rPr>
              <w:t>（2）施工前将占地范围内的表层种植土进行剥离，</w:t>
            </w:r>
            <w:r>
              <w:rPr>
                <w:rFonts w:hint="eastAsia"/>
                <w:color w:val="auto"/>
                <w:lang w:val="en-US" w:eastAsia="zh-CN"/>
              </w:rPr>
              <w:t>表土堆放于施工场地的表土临时堆放区内，堆放过程采取覆盖、拦挡等措施</w:t>
            </w:r>
            <w:r>
              <w:rPr>
                <w:rFonts w:hint="eastAsia"/>
                <w:color w:val="auto"/>
              </w:rPr>
              <w:t>，减少水土流失。施工完成后，全部用于绿化覆土。</w:t>
            </w:r>
          </w:p>
          <w:p w14:paraId="6F6D9508">
            <w:pPr>
              <w:pStyle w:val="21"/>
              <w:bidi w:val="0"/>
              <w:rPr>
                <w:color w:val="auto"/>
              </w:rPr>
            </w:pPr>
            <w:r>
              <w:rPr>
                <w:rFonts w:hint="eastAsia"/>
                <w:color w:val="auto"/>
              </w:rPr>
              <w:t>（3）优化施工组织，路基开挖应尽量避开雨季。雨季来临前，应对开挖裸露土质边坡进行覆盖和拦挡。</w:t>
            </w:r>
          </w:p>
          <w:p w14:paraId="64999008">
            <w:pPr>
              <w:pStyle w:val="21"/>
              <w:bidi w:val="0"/>
              <w:rPr>
                <w:color w:val="auto"/>
              </w:rPr>
            </w:pPr>
            <w:r>
              <w:rPr>
                <w:rFonts w:hint="eastAsia"/>
                <w:color w:val="auto"/>
              </w:rPr>
              <w:t>（4）有组织的结合施工计划，预先修建沉砂池、截水沟等设施。施工挖方应及时转运至回填区域，避免挖方随意丢弃造成水土流失。施工中需注意对临时堆土的防护，临时堆放时适当进行压实，避免松散堆体受降雨或风力影响造成水土流失和扬尘影响；在堆体下游侧采用块石或土装草袋作简易挡土墙，避免土石方滚落、扩大影响范围，同时在堆体上游修建一条简易截水沟，避免降水对堆体的冲刷；堆体采用防雨布进行覆盖。</w:t>
            </w:r>
          </w:p>
          <w:p w14:paraId="4AADA9DB">
            <w:pPr>
              <w:pStyle w:val="21"/>
              <w:bidi w:val="0"/>
              <w:rPr>
                <w:color w:val="auto"/>
              </w:rPr>
            </w:pPr>
            <w:r>
              <w:rPr>
                <w:rFonts w:hint="eastAsia"/>
                <w:color w:val="auto"/>
              </w:rPr>
              <w:t>（5）施工结束后，拆除施工场地内的设施，进行场地清理</w:t>
            </w:r>
            <w:r>
              <w:rPr>
                <w:rFonts w:hint="eastAsia"/>
                <w:color w:val="auto"/>
                <w:lang w:val="en-US" w:eastAsia="zh-CN"/>
              </w:rPr>
              <w:t>和平整</w:t>
            </w:r>
            <w:r>
              <w:rPr>
                <w:rFonts w:hint="eastAsia"/>
                <w:color w:val="auto"/>
              </w:rPr>
              <w:t>，该施工场地占地范围</w:t>
            </w:r>
            <w:r>
              <w:rPr>
                <w:rFonts w:hint="eastAsia"/>
                <w:color w:val="auto"/>
                <w:lang w:val="en-US" w:eastAsia="zh-CN"/>
              </w:rPr>
              <w:t>经修建为万达广场商业广场</w:t>
            </w:r>
            <w:r>
              <w:rPr>
                <w:rFonts w:hint="eastAsia"/>
                <w:color w:val="auto"/>
              </w:rPr>
              <w:t>，无需进行生态恢复。</w:t>
            </w:r>
          </w:p>
          <w:p w14:paraId="4416722B">
            <w:pPr>
              <w:pStyle w:val="21"/>
              <w:bidi w:val="0"/>
              <w:rPr>
                <w:color w:val="auto"/>
              </w:rPr>
            </w:pPr>
            <w:r>
              <w:rPr>
                <w:rFonts w:hint="eastAsia"/>
                <w:color w:val="auto"/>
              </w:rPr>
              <w:t>（6）按</w:t>
            </w:r>
            <w:r>
              <w:rPr>
                <w:rFonts w:hint="eastAsia"/>
                <w:color w:val="auto"/>
                <w:lang w:val="en-US" w:eastAsia="zh-CN"/>
              </w:rPr>
              <w:t>景观</w:t>
            </w:r>
            <w:r>
              <w:rPr>
                <w:rFonts w:hint="eastAsia"/>
                <w:color w:val="auto"/>
              </w:rPr>
              <w:t>绿化设计要求，完成道路边坡及道路征地范围内可绿化地方的植树种草；做好临时占地和道路边坡、人行道植被恢复及维护工作</w:t>
            </w:r>
            <w:r>
              <w:rPr>
                <w:rFonts w:hint="eastAsia"/>
                <w:color w:val="auto"/>
                <w:lang w:eastAsia="zh-CN"/>
              </w:rPr>
              <w:t>，</w:t>
            </w:r>
            <w:r>
              <w:rPr>
                <w:rFonts w:hint="eastAsia"/>
                <w:color w:val="auto"/>
              </w:rPr>
              <w:t>加强外来入侵物种的防治，采用本地物种进行植被恢复。</w:t>
            </w:r>
          </w:p>
          <w:p w14:paraId="608B8840">
            <w:pPr>
              <w:pStyle w:val="21"/>
              <w:bidi w:val="0"/>
              <w:rPr>
                <w:rFonts w:hint="eastAsia"/>
                <w:color w:val="auto"/>
              </w:rPr>
            </w:pPr>
            <w:r>
              <w:rPr>
                <w:rFonts w:hint="eastAsia"/>
                <w:color w:val="auto"/>
              </w:rPr>
              <w:t>（9）施工过程中严禁钻渣、施工泥浆废水和污水直接排放进入</w:t>
            </w:r>
            <w:r>
              <w:rPr>
                <w:rFonts w:hint="eastAsia"/>
                <w:color w:val="auto"/>
                <w:lang w:val="en-US" w:eastAsia="zh-CN"/>
              </w:rPr>
              <w:t>甘溪沟</w:t>
            </w:r>
            <w:r>
              <w:rPr>
                <w:rFonts w:hint="eastAsia"/>
                <w:color w:val="auto"/>
              </w:rPr>
              <w:t>造成水质污染；不得在水域内清洗施工机械。</w:t>
            </w:r>
          </w:p>
          <w:p w14:paraId="1433D929">
            <w:pPr>
              <w:pStyle w:val="4"/>
              <w:bidi w:val="0"/>
              <w:rPr>
                <w:color w:val="auto"/>
              </w:rPr>
            </w:pPr>
            <w:r>
              <w:rPr>
                <w:rFonts w:hint="eastAsia"/>
                <w:color w:val="auto"/>
              </w:rPr>
              <w:t>地表水污染防治措施</w:t>
            </w:r>
          </w:p>
          <w:p w14:paraId="1B405FA3">
            <w:pPr>
              <w:pStyle w:val="21"/>
              <w:bidi w:val="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项目施工过程中，应严格贯彻“一水多用”的原则，采取措施进行污废水回收利用，施工废水可经处理后重复使用。</w:t>
            </w:r>
          </w:p>
          <w:p w14:paraId="3C55B767">
            <w:pPr>
              <w:pStyle w:val="21"/>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）施工场地内设置</w:t>
            </w:r>
            <w:r>
              <w:rPr>
                <w:rFonts w:hint="eastAsia"/>
                <w:color w:val="auto"/>
                <w:lang w:val="en-US" w:eastAsia="zh-CN"/>
              </w:rPr>
              <w:t>隔油</w:t>
            </w:r>
            <w:r>
              <w:rPr>
                <w:rFonts w:hint="eastAsia"/>
                <w:color w:val="auto"/>
                <w:lang w:eastAsia="zh-CN"/>
              </w:rPr>
              <w:t>沉淀池，场地进出口设置车辆清洗池，</w:t>
            </w:r>
            <w:r>
              <w:rPr>
                <w:rFonts w:hint="eastAsia"/>
                <w:color w:val="auto"/>
                <w:lang w:val="en-US" w:eastAsia="zh-CN"/>
              </w:rPr>
              <w:t>设备及</w:t>
            </w:r>
            <w:r>
              <w:rPr>
                <w:rFonts w:hint="eastAsia"/>
                <w:color w:val="auto"/>
                <w:lang w:eastAsia="zh-CN"/>
              </w:rPr>
              <w:t>运输车辆冲洗废水、</w:t>
            </w:r>
            <w:r>
              <w:rPr>
                <w:rFonts w:hint="eastAsia"/>
                <w:color w:val="auto"/>
                <w:lang w:val="en-US" w:eastAsia="zh-CN"/>
              </w:rPr>
              <w:t>桥梁</w:t>
            </w:r>
            <w:r>
              <w:rPr>
                <w:rFonts w:hint="eastAsia"/>
                <w:color w:val="auto"/>
                <w:lang w:eastAsia="zh-CN"/>
              </w:rPr>
              <w:t>基坑废水</w:t>
            </w:r>
            <w:r>
              <w:rPr>
                <w:rFonts w:hint="eastAsia"/>
                <w:color w:val="auto"/>
                <w:lang w:val="en-US" w:eastAsia="zh-CN"/>
              </w:rPr>
              <w:t>等</w:t>
            </w:r>
            <w:r>
              <w:rPr>
                <w:rFonts w:hint="eastAsia"/>
                <w:color w:val="auto"/>
                <w:lang w:eastAsia="zh-CN"/>
              </w:rPr>
              <w:t>施工废水经</w:t>
            </w:r>
            <w:r>
              <w:rPr>
                <w:rFonts w:hint="eastAsia"/>
                <w:color w:val="auto"/>
                <w:lang w:val="en-US" w:eastAsia="zh-CN"/>
              </w:rPr>
              <w:t>隔油</w:t>
            </w:r>
            <w:r>
              <w:rPr>
                <w:rFonts w:hint="eastAsia"/>
                <w:color w:val="auto"/>
                <w:lang w:eastAsia="zh-CN"/>
              </w:rPr>
              <w:t>沉淀处理后</w:t>
            </w:r>
            <w:r>
              <w:rPr>
                <w:color w:val="auto"/>
              </w:rPr>
              <w:t>回用于冲洗、洒水降尘。</w:t>
            </w:r>
          </w:p>
          <w:p w14:paraId="61013BF5">
            <w:pPr>
              <w:pStyle w:val="21"/>
              <w:bidi w:val="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项目施工办公生活采用租赁周边现有房屋，施工人员办公生活产生的生活污水依托周边现有的污水设施处理后经市政污水管网进入奉节西部新区污水处理厂处理。</w:t>
            </w:r>
          </w:p>
          <w:p w14:paraId="5F2B25EF">
            <w:pPr>
              <w:pStyle w:val="21"/>
              <w:bidi w:val="0"/>
              <w:rPr>
                <w:rFonts w:hint="eastAsia" w:eastAsia="宋体"/>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）加强对桥梁施工机械的管理，防止机械跑、冒、滴、漏。禁止在水体中清洗机械，禁止将弃渣、生活垃圾倾倒入</w:t>
            </w:r>
            <w:r>
              <w:rPr>
                <w:rFonts w:hint="eastAsia"/>
                <w:color w:val="auto"/>
                <w:lang w:val="en-US" w:eastAsia="zh-CN"/>
              </w:rPr>
              <w:t>甘溪沟。</w:t>
            </w:r>
          </w:p>
          <w:p w14:paraId="26BC711D">
            <w:pPr>
              <w:pStyle w:val="4"/>
              <w:bidi w:val="0"/>
              <w:rPr>
                <w:color w:val="auto"/>
              </w:rPr>
            </w:pPr>
            <w:r>
              <w:rPr>
                <w:rFonts w:hint="eastAsia"/>
                <w:color w:val="auto"/>
              </w:rPr>
              <w:t>大气污染防治措施</w:t>
            </w:r>
          </w:p>
          <w:p w14:paraId="79F704AC">
            <w:pPr>
              <w:pStyle w:val="21"/>
              <w:bidi w:val="0"/>
              <w:rPr>
                <w:rFonts w:hint="eastAsia"/>
                <w:color w:val="auto"/>
              </w:rPr>
            </w:pPr>
            <w:r>
              <w:rPr>
                <w:rFonts w:hint="eastAsia"/>
                <w:color w:val="auto"/>
              </w:rPr>
              <w:t>项目施工期应按照《重庆市环境保护条例》（</w:t>
            </w:r>
            <w:r>
              <w:rPr>
                <w:rFonts w:hint="eastAsia"/>
                <w:color w:val="auto"/>
                <w:lang w:val="en-US" w:eastAsia="zh-CN"/>
              </w:rPr>
              <w:t>2022年9月28日修正</w:t>
            </w:r>
            <w:r>
              <w:rPr>
                <w:rFonts w:hint="eastAsia"/>
                <w:color w:val="auto"/>
              </w:rPr>
              <w:t>）</w:t>
            </w:r>
            <w:r>
              <w:rPr>
                <w:rFonts w:hint="eastAsia"/>
                <w:color w:val="auto"/>
                <w:lang w:eastAsia="zh-CN"/>
              </w:rPr>
              <w:t>、</w:t>
            </w:r>
            <w:r>
              <w:rPr>
                <w:rFonts w:hint="eastAsia"/>
                <w:color w:val="auto"/>
              </w:rPr>
              <w:t>《重庆市大气污染防治条例》（2021年5月27日修正）及《重庆市环境保护局关于印发重庆市部分行业污染物特征值系数及排污量计算办法的通知》等文件的相关要求，做好扬尘污染防治工作，以减轻施工期废气对周围环境的影响，其措施如下：</w:t>
            </w:r>
          </w:p>
          <w:p w14:paraId="061DD675">
            <w:pPr>
              <w:pStyle w:val="21"/>
              <w:numPr>
                <w:ilvl w:val="0"/>
                <w:numId w:val="2"/>
              </w:numPr>
              <w:bidi w:val="0"/>
              <w:rPr>
                <w:rFonts w:hint="eastAsia"/>
                <w:color w:val="auto"/>
              </w:rPr>
            </w:pPr>
            <w:r>
              <w:rPr>
                <w:rFonts w:hint="eastAsia"/>
                <w:color w:val="auto"/>
                <w:lang w:val="en-US" w:eastAsia="zh-CN"/>
              </w:rPr>
              <w:t>施工场地采取湿式作业，配备洒水、喷淋等降尘措施。</w:t>
            </w:r>
          </w:p>
          <w:p w14:paraId="57F66D85">
            <w:pPr>
              <w:pStyle w:val="21"/>
              <w:numPr>
                <w:ilvl w:val="0"/>
                <w:numId w:val="2"/>
              </w:numPr>
              <w:bidi w:val="0"/>
              <w:rPr>
                <w:rFonts w:hint="eastAsia"/>
                <w:color w:val="auto"/>
              </w:rPr>
            </w:pPr>
            <w:r>
              <w:rPr>
                <w:rFonts w:hint="eastAsia"/>
                <w:color w:val="auto"/>
              </w:rPr>
              <w:t>施工现场主要道路、加工区、</w:t>
            </w:r>
            <w:r>
              <w:rPr>
                <w:rFonts w:hint="eastAsia"/>
                <w:color w:val="auto"/>
                <w:lang w:val="en-US" w:eastAsia="zh-CN"/>
              </w:rPr>
              <w:t>生活</w:t>
            </w:r>
            <w:r>
              <w:rPr>
                <w:rFonts w:hint="eastAsia"/>
                <w:color w:val="auto"/>
              </w:rPr>
              <w:t>办公区应做硬化处理，用作车辆通行的道路应铺设混凝土，满足车辆安全行驶要求，且无破损现象；任何时候车行道路上都不能有明显的尘土；道路清扫时都必须采取洒水措施。</w:t>
            </w:r>
          </w:p>
          <w:p w14:paraId="7EC16CFD">
            <w:pPr>
              <w:pStyle w:val="21"/>
              <w:numPr>
                <w:ilvl w:val="0"/>
                <w:numId w:val="2"/>
              </w:numPr>
              <w:bidi w:val="0"/>
              <w:rPr>
                <w:rFonts w:hint="eastAsia"/>
                <w:color w:val="auto"/>
              </w:rPr>
            </w:pPr>
            <w:r>
              <w:rPr>
                <w:rFonts w:hint="eastAsia"/>
                <w:color w:val="auto"/>
              </w:rPr>
              <w:t>施工区设置围挡，围挡高度不低于1.8米，围挡下方设置不低于20厘米高的防溢座以防止粉尘流失（市政工程除外）；围挡必须是由金属、混凝土、塑料等硬质材料制作；任意两块围挡以及围挡与防溢座的拼接处都不能有大于0.5厘米的缝隙，围挡不得有明显破损的漏洞。</w:t>
            </w:r>
          </w:p>
          <w:p w14:paraId="1F0BE208">
            <w:pPr>
              <w:pStyle w:val="21"/>
              <w:numPr>
                <w:ilvl w:val="0"/>
                <w:numId w:val="2"/>
              </w:numPr>
              <w:bidi w:val="0"/>
              <w:rPr>
                <w:rFonts w:hint="eastAsia"/>
                <w:color w:val="auto"/>
              </w:rPr>
            </w:pPr>
            <w:r>
              <w:rPr>
                <w:rFonts w:hint="eastAsia"/>
                <w:color w:val="auto"/>
              </w:rPr>
              <w:t>减少裸露地，每一块独立裸露地面80%以上的面积都应采取覆盖措施；覆盖措施的完好率必须在90%以上；覆盖措施包括：钢板、防尘网（布）、绿化、化学抑尘剂，或达到同等效率的覆盖措施。</w:t>
            </w:r>
          </w:p>
          <w:p w14:paraId="28494C3A">
            <w:pPr>
              <w:pStyle w:val="21"/>
              <w:numPr>
                <w:ilvl w:val="0"/>
                <w:numId w:val="2"/>
              </w:numPr>
              <w:bidi w:val="0"/>
              <w:rPr>
                <w:rFonts w:hint="eastAsia"/>
                <w:color w:val="auto"/>
              </w:rPr>
            </w:pPr>
            <w:r>
              <w:rPr>
                <w:rFonts w:hint="eastAsia"/>
                <w:color w:val="auto"/>
              </w:rPr>
              <w:t>对易扬尘物料应采取覆盖措施。所有砂石、灰土、灰浆等易扬尘物料都必须以不透水的隔尘布完全覆盖或放置在顶部和四周均有遮蔽的场所内；防尘布或遮蔽装置的完好率必须大于95%；小批量且在8小时之内投入使用的物料除外。</w:t>
            </w:r>
          </w:p>
          <w:p w14:paraId="724A6654">
            <w:pPr>
              <w:pStyle w:val="21"/>
              <w:numPr>
                <w:ilvl w:val="0"/>
                <w:numId w:val="2"/>
              </w:numPr>
              <w:bidi w:val="0"/>
              <w:rPr>
                <w:rFonts w:hint="eastAsia"/>
                <w:color w:val="auto"/>
              </w:rPr>
            </w:pPr>
            <w:r>
              <w:rPr>
                <w:rFonts w:hint="eastAsia"/>
                <w:color w:val="auto"/>
              </w:rPr>
              <w:t>施工现场应当有专人负责</w:t>
            </w:r>
            <w:r>
              <w:rPr>
                <w:rFonts w:hint="eastAsia"/>
                <w:color w:val="auto"/>
                <w:lang w:val="en-US" w:eastAsia="zh-CN"/>
              </w:rPr>
              <w:t>清洁</w:t>
            </w:r>
            <w:r>
              <w:rPr>
                <w:rFonts w:hint="eastAsia"/>
                <w:color w:val="auto"/>
              </w:rPr>
              <w:t>工作，配备洒水设备，定期洒水清扫。</w:t>
            </w:r>
          </w:p>
          <w:p w14:paraId="4C2C212D">
            <w:pPr>
              <w:pStyle w:val="21"/>
              <w:numPr>
                <w:ilvl w:val="0"/>
                <w:numId w:val="2"/>
              </w:numPr>
              <w:bidi w:val="0"/>
              <w:rPr>
                <w:rFonts w:hint="eastAsia"/>
                <w:color w:val="auto"/>
              </w:rPr>
            </w:pPr>
            <w:r>
              <w:rPr>
                <w:rFonts w:hint="eastAsia"/>
                <w:color w:val="auto"/>
              </w:rPr>
              <w:t>施工场地需设置运输车辆冲洗装置。明确专人负责</w:t>
            </w:r>
            <w:r>
              <w:rPr>
                <w:rFonts w:hint="eastAsia"/>
                <w:color w:val="auto"/>
                <w:lang w:eastAsia="zh-CN"/>
              </w:rPr>
              <w:t>冲洗</w:t>
            </w:r>
            <w:r>
              <w:rPr>
                <w:rFonts w:hint="eastAsia"/>
                <w:color w:val="auto"/>
              </w:rPr>
              <w:t>保洁，确保车辆不带泥出场，运输车辆驶出工地前，应对车轮、车身、车槽等部位进行清理或清洗以保证车辆清洁上路。</w:t>
            </w:r>
          </w:p>
          <w:p w14:paraId="11D220ED">
            <w:pPr>
              <w:pStyle w:val="21"/>
              <w:numPr>
                <w:ilvl w:val="0"/>
                <w:numId w:val="2"/>
              </w:numPr>
              <w:bidi w:val="0"/>
              <w:rPr>
                <w:rFonts w:hint="eastAsia"/>
                <w:color w:val="auto"/>
              </w:rPr>
            </w:pPr>
            <w:r>
              <w:rPr>
                <w:rFonts w:hint="eastAsia"/>
                <w:color w:val="auto"/>
              </w:rPr>
              <w:t>运输建筑渣土、砂石和垃圾等易撒漏</w:t>
            </w:r>
            <w:r>
              <w:rPr>
                <w:rFonts w:hint="eastAsia"/>
                <w:color w:val="auto"/>
                <w:lang w:val="en-US" w:eastAsia="zh-CN"/>
              </w:rPr>
              <w:t>物料</w:t>
            </w:r>
            <w:r>
              <w:rPr>
                <w:rFonts w:hint="eastAsia"/>
                <w:color w:val="auto"/>
              </w:rPr>
              <w:t>应采用密闭运输。</w:t>
            </w:r>
          </w:p>
          <w:p w14:paraId="4024ABDD">
            <w:pPr>
              <w:pStyle w:val="21"/>
              <w:numPr>
                <w:ilvl w:val="0"/>
                <w:numId w:val="2"/>
              </w:numPr>
              <w:bidi w:val="0"/>
              <w:rPr>
                <w:rFonts w:hint="eastAsia"/>
                <w:color w:val="auto"/>
              </w:rPr>
            </w:pPr>
            <w:r>
              <w:rPr>
                <w:rFonts w:hint="eastAsia"/>
                <w:color w:val="auto"/>
              </w:rPr>
              <w:t>使用</w:t>
            </w:r>
            <w:r>
              <w:rPr>
                <w:rFonts w:hint="eastAsia"/>
                <w:color w:val="auto"/>
                <w:lang w:val="en-US" w:eastAsia="zh-CN"/>
              </w:rPr>
              <w:t>商品</w:t>
            </w:r>
            <w:r>
              <w:rPr>
                <w:rFonts w:hint="eastAsia"/>
                <w:color w:val="auto"/>
              </w:rPr>
              <w:t>混凝土</w:t>
            </w:r>
            <w:r>
              <w:rPr>
                <w:rFonts w:hint="eastAsia"/>
                <w:color w:val="auto"/>
                <w:lang w:val="en-US" w:eastAsia="zh-CN"/>
              </w:rPr>
              <w:t>和商品沥青</w:t>
            </w:r>
            <w:r>
              <w:rPr>
                <w:rFonts w:hint="eastAsia"/>
                <w:color w:val="auto"/>
              </w:rPr>
              <w:t>，施工现场不设置混凝土拌合站</w:t>
            </w:r>
            <w:r>
              <w:rPr>
                <w:rFonts w:hint="eastAsia"/>
                <w:color w:val="auto"/>
                <w:lang w:val="en-US" w:eastAsia="zh-CN"/>
              </w:rPr>
              <w:t>和沥青拌合站</w:t>
            </w:r>
            <w:r>
              <w:rPr>
                <w:rFonts w:hint="eastAsia"/>
                <w:color w:val="auto"/>
              </w:rPr>
              <w:t>。</w:t>
            </w:r>
          </w:p>
          <w:p w14:paraId="4CE710FF">
            <w:pPr>
              <w:pStyle w:val="21"/>
              <w:numPr>
                <w:ilvl w:val="0"/>
                <w:numId w:val="2"/>
              </w:numPr>
              <w:bidi w:val="0"/>
              <w:rPr>
                <w:rFonts w:hint="eastAsia"/>
                <w:color w:val="auto"/>
              </w:rPr>
            </w:pPr>
            <w:r>
              <w:rPr>
                <w:rFonts w:hint="eastAsia"/>
                <w:color w:val="auto"/>
              </w:rPr>
              <w:t>禁止从三米以上高处抛撒建筑垃圾或者易扬撒的物料。</w:t>
            </w:r>
          </w:p>
          <w:p w14:paraId="1917E37B">
            <w:pPr>
              <w:pStyle w:val="21"/>
              <w:numPr>
                <w:ilvl w:val="0"/>
                <w:numId w:val="2"/>
              </w:numPr>
              <w:bidi w:val="0"/>
              <w:rPr>
                <w:rFonts w:hint="eastAsia"/>
                <w:color w:val="auto"/>
              </w:rPr>
            </w:pPr>
            <w:r>
              <w:rPr>
                <w:rFonts w:hint="eastAsia"/>
                <w:color w:val="auto"/>
              </w:rPr>
              <w:t>选用尾气排放满足国家标准的机械设备和车辆，加强日常维护</w:t>
            </w:r>
            <w:r>
              <w:rPr>
                <w:rFonts w:hint="eastAsia"/>
                <w:color w:val="auto"/>
                <w:lang w:val="en-US" w:eastAsia="zh-CN"/>
              </w:rPr>
              <w:t>和</w:t>
            </w:r>
            <w:r>
              <w:rPr>
                <w:rFonts w:hint="eastAsia"/>
                <w:color w:val="auto"/>
              </w:rPr>
              <w:t>保养。</w:t>
            </w:r>
          </w:p>
          <w:p w14:paraId="450DB730">
            <w:pPr>
              <w:pStyle w:val="4"/>
              <w:bidi w:val="0"/>
              <w:rPr>
                <w:color w:val="auto"/>
              </w:rPr>
            </w:pPr>
            <w:r>
              <w:rPr>
                <w:rFonts w:hint="eastAsia"/>
                <w:color w:val="auto"/>
              </w:rPr>
              <w:t>噪声污染防治措施</w:t>
            </w:r>
          </w:p>
          <w:p w14:paraId="41D29A69">
            <w:pPr>
              <w:pStyle w:val="21"/>
              <w:bidi w:val="0"/>
              <w:rPr>
                <w:color w:val="auto"/>
              </w:rPr>
            </w:pPr>
            <w:r>
              <w:rPr>
                <w:rFonts w:hint="eastAsia"/>
                <w:color w:val="auto"/>
              </w:rPr>
              <w:t>项目施工期应按照《重庆市环境保护条例》（</w:t>
            </w:r>
            <w:r>
              <w:rPr>
                <w:rFonts w:hint="eastAsia"/>
                <w:color w:val="auto"/>
                <w:lang w:val="en-US" w:eastAsia="zh-CN"/>
              </w:rPr>
              <w:t>2022年9月28日修正</w:t>
            </w:r>
            <w:r>
              <w:rPr>
                <w:rFonts w:hint="eastAsia"/>
                <w:color w:val="auto"/>
              </w:rPr>
              <w:t>）</w:t>
            </w:r>
            <w:r>
              <w:rPr>
                <w:rFonts w:hint="eastAsia"/>
                <w:color w:val="auto"/>
                <w:lang w:eastAsia="zh-CN"/>
              </w:rPr>
              <w:t>、</w:t>
            </w:r>
            <w:r>
              <w:rPr>
                <w:rFonts w:hint="eastAsia"/>
                <w:color w:val="auto"/>
              </w:rPr>
              <w:t>《重庆市噪声污染防治办法》</w:t>
            </w:r>
            <w:r>
              <w:rPr>
                <w:rFonts w:hint="eastAsia"/>
                <w:color w:val="auto"/>
                <w:lang w:eastAsia="zh-CN"/>
              </w:rPr>
              <w:t>（</w:t>
            </w:r>
            <w:r>
              <w:rPr>
                <w:rFonts w:hint="eastAsia"/>
                <w:color w:val="auto"/>
                <w:lang w:val="en-US" w:eastAsia="zh-CN"/>
              </w:rPr>
              <w:t>重庆市人民政府令第363号，2024年2月1日施行</w:t>
            </w:r>
            <w:r>
              <w:rPr>
                <w:rFonts w:hint="eastAsia"/>
                <w:color w:val="auto"/>
                <w:lang w:eastAsia="zh-CN"/>
              </w:rPr>
              <w:t>）</w:t>
            </w:r>
            <w:r>
              <w:rPr>
                <w:rFonts w:hint="eastAsia"/>
                <w:color w:val="auto"/>
              </w:rPr>
              <w:t>等文件的相关要求，做好噪声污染防治工作，其措施如下：</w:t>
            </w:r>
          </w:p>
          <w:p w14:paraId="6550541D">
            <w:pPr>
              <w:pStyle w:val="21"/>
              <w:numPr>
                <w:ilvl w:val="0"/>
                <w:numId w:val="3"/>
              </w:numPr>
              <w:bidi w:val="0"/>
              <w:rPr>
                <w:rFonts w:hint="eastAsia"/>
                <w:color w:val="auto"/>
              </w:rPr>
            </w:pPr>
            <w:r>
              <w:rPr>
                <w:rFonts w:hint="eastAsia"/>
                <w:color w:val="auto"/>
              </w:rPr>
              <w:t>施工单位应合理安排作业时间，将可能产生强噪声的施工作业安排在白天（06：00~22：00），尽量避免噪声扰民。在噪声敏感建筑物集中区域，禁止夜间进行产生噪声的建筑施工作业，但抢修、抢险施工作业，因生产工艺要求或者其他特殊需要必须连续施工作业的除外。因特殊需要必须连续施工作业的，施工单位应当取得城市管理或者住房城乡建设部门的证明。建设单位应当于开始施工1日前在施工现场显著位置公示或者以其他方式公告附近居民。</w:t>
            </w:r>
          </w:p>
          <w:p w14:paraId="243C9676">
            <w:pPr>
              <w:pStyle w:val="21"/>
              <w:numPr>
                <w:ilvl w:val="0"/>
                <w:numId w:val="3"/>
              </w:numPr>
              <w:bidi w:val="0"/>
              <w:rPr>
                <w:rFonts w:hint="eastAsia"/>
                <w:color w:val="auto"/>
              </w:rPr>
            </w:pPr>
            <w:r>
              <w:rPr>
                <w:rFonts w:hint="eastAsia"/>
                <w:color w:val="auto"/>
              </w:rPr>
              <w:t>施工单位在施工时必须采取降噪措施。积极推广使用先进的低噪声施工机具、设备和工艺。施工工地内合理布置施工设备，</w:t>
            </w:r>
            <w:r>
              <w:rPr>
                <w:rFonts w:hint="eastAsia"/>
                <w:color w:val="auto"/>
                <w:lang w:val="en-US" w:eastAsia="zh-CN"/>
              </w:rPr>
              <w:t>尽量远离住户布置；挖掘机、推土机等高噪声施工机械四周设置吸声屏障；空压机等中高频噪声源安装消声器；在固定地点施工的机械设备设置在临时设备房内作业。在施工现场四周</w:t>
            </w:r>
            <w:r>
              <w:rPr>
                <w:rFonts w:hint="eastAsia"/>
                <w:color w:val="auto"/>
              </w:rPr>
              <w:t>采用建筑工地隔声屏障等降噪措施，降低施工噪声对周围的影响。</w:t>
            </w:r>
          </w:p>
          <w:p w14:paraId="11B6759E">
            <w:pPr>
              <w:pStyle w:val="21"/>
              <w:numPr>
                <w:ilvl w:val="0"/>
                <w:numId w:val="3"/>
              </w:numPr>
              <w:bidi w:val="0"/>
              <w:rPr>
                <w:rFonts w:hint="eastAsia"/>
                <w:color w:val="auto"/>
              </w:rPr>
            </w:pPr>
            <w:r>
              <w:rPr>
                <w:rFonts w:hint="eastAsia"/>
                <w:color w:val="auto"/>
              </w:rPr>
              <w:t>施工</w:t>
            </w:r>
            <w:r>
              <w:rPr>
                <w:rFonts w:hint="eastAsia"/>
                <w:color w:val="auto"/>
                <w:lang w:val="en-US" w:eastAsia="zh-CN"/>
              </w:rPr>
              <w:t>材料及</w:t>
            </w:r>
            <w:r>
              <w:rPr>
                <w:rFonts w:hint="eastAsia"/>
                <w:color w:val="auto"/>
              </w:rPr>
              <w:t>弃渣运输车辆的交通噪声防治措施：①</w:t>
            </w:r>
            <w:r>
              <w:rPr>
                <w:rFonts w:hint="eastAsia"/>
                <w:color w:val="auto"/>
                <w:lang w:val="en-US" w:eastAsia="zh-CN"/>
              </w:rPr>
              <w:t>材料、</w:t>
            </w:r>
            <w:r>
              <w:rPr>
                <w:rFonts w:hint="eastAsia"/>
                <w:color w:val="auto"/>
              </w:rPr>
              <w:t>弃渣等运输车辆选用性能、车况较好的运输车辆，从源头降低噪声源强；②加强运输车辆的检修和维护，使保持较低的噪声源；③运输车辆经过声环境敏感点时应减速慢行，车辆运输中尽量避免鸣笛，减轻对居民的影响和干扰；④</w:t>
            </w:r>
            <w:r>
              <w:rPr>
                <w:rFonts w:hint="eastAsia"/>
                <w:color w:val="auto"/>
                <w:lang w:val="en-US" w:eastAsia="zh-CN"/>
              </w:rPr>
              <w:t>材料、</w:t>
            </w:r>
            <w:r>
              <w:rPr>
                <w:rFonts w:hint="eastAsia"/>
                <w:color w:val="auto"/>
              </w:rPr>
              <w:t>弃渣等运输车辆运输线路必须经过声环境敏感点集中区域，尽可能安排在昼间运输，避免夜间重型运输车辆噪声对周边声环境敏感点的影响；⑤</w:t>
            </w:r>
            <w:r>
              <w:rPr>
                <w:rFonts w:hint="eastAsia"/>
                <w:color w:val="auto"/>
                <w:lang w:val="en-US" w:eastAsia="zh-CN"/>
              </w:rPr>
              <w:t>材料、</w:t>
            </w:r>
            <w:r>
              <w:rPr>
                <w:rFonts w:hint="eastAsia"/>
                <w:color w:val="auto"/>
              </w:rPr>
              <w:t>弃渣等运输车辆的运输线路选择，尽可能选择远离声环境敏感点集中的区域，应该严格按照市政部门审批的路线进行运输。</w:t>
            </w:r>
          </w:p>
          <w:p w14:paraId="5098E460">
            <w:pPr>
              <w:pStyle w:val="21"/>
              <w:numPr>
                <w:ilvl w:val="0"/>
                <w:numId w:val="3"/>
              </w:numPr>
              <w:bidi w:val="0"/>
              <w:rPr>
                <w:rFonts w:hint="eastAsia"/>
                <w:color w:val="auto"/>
              </w:rPr>
            </w:pPr>
            <w:r>
              <w:rPr>
                <w:rFonts w:hint="eastAsia"/>
                <w:color w:val="auto"/>
              </w:rPr>
              <w:t>加快施工进度，尽量缩短工期。加快靠近居民区等敏感路段的建设进度，并采取噪声阻隔措施，缩短影响时间和程度</w:t>
            </w:r>
            <w:r>
              <w:rPr>
                <w:rFonts w:hint="eastAsia"/>
                <w:color w:val="auto"/>
                <w:lang w:eastAsia="zh-CN"/>
              </w:rPr>
              <w:t>。</w:t>
            </w:r>
          </w:p>
          <w:p w14:paraId="15743A40">
            <w:pPr>
              <w:pStyle w:val="21"/>
              <w:numPr>
                <w:ilvl w:val="0"/>
                <w:numId w:val="3"/>
              </w:numPr>
              <w:bidi w:val="0"/>
              <w:rPr>
                <w:rFonts w:hint="eastAsia"/>
                <w:color w:val="auto"/>
              </w:rPr>
            </w:pPr>
            <w:r>
              <w:rPr>
                <w:rFonts w:hint="eastAsia"/>
                <w:color w:val="auto"/>
                <w:lang w:val="en-US" w:eastAsia="zh-CN"/>
              </w:rPr>
              <w:t>加强施工现场管理，加强对施工工地噪声监管力度，建立噪声防治管理责任制，加强现场管理，倡导文明施工。加强施工设备维护和保养。</w:t>
            </w:r>
          </w:p>
          <w:p w14:paraId="3AA00884">
            <w:pPr>
              <w:pStyle w:val="4"/>
              <w:bidi w:val="0"/>
              <w:rPr>
                <w:color w:val="auto"/>
              </w:rPr>
            </w:pPr>
            <w:r>
              <w:rPr>
                <w:rFonts w:hint="eastAsia"/>
                <w:color w:val="auto"/>
              </w:rPr>
              <w:t>固体废物污染防治措施</w:t>
            </w:r>
          </w:p>
          <w:p w14:paraId="0F821FD8">
            <w:pPr>
              <w:pStyle w:val="21"/>
              <w:numPr>
                <w:ilvl w:val="0"/>
                <w:numId w:val="4"/>
              </w:numPr>
              <w:bidi w:val="0"/>
              <w:rPr>
                <w:rFonts w:hint="eastAsia"/>
                <w:color w:val="auto"/>
                <w:lang w:val="en-US" w:eastAsia="zh-CN"/>
              </w:rPr>
            </w:pPr>
            <w:r>
              <w:rPr>
                <w:rFonts w:hint="eastAsia"/>
                <w:color w:val="auto"/>
                <w:lang w:val="en-US" w:eastAsia="zh-CN"/>
              </w:rPr>
              <w:t>本项目表土堆放于施工场地的表土临时堆放区内，堆放过程采取覆盖、拦挡等措施，后期用于路基边坡、景观绿化用土。</w:t>
            </w:r>
            <w:r>
              <w:rPr>
                <w:rFonts w:hint="eastAsia"/>
                <w:color w:val="auto"/>
              </w:rPr>
              <w:t>弃方量约为1342m</w:t>
            </w:r>
            <w:r>
              <w:rPr>
                <w:rFonts w:hint="eastAsia"/>
                <w:color w:val="auto"/>
                <w:vertAlign w:val="superscript"/>
              </w:rPr>
              <w:t>3</w:t>
            </w:r>
            <w:r>
              <w:rPr>
                <w:rFonts w:hint="eastAsia"/>
                <w:color w:val="auto"/>
                <w:lang w:eastAsia="zh-CN"/>
              </w:rPr>
              <w:t>，</w:t>
            </w:r>
            <w:r>
              <w:rPr>
                <w:rFonts w:hint="eastAsia"/>
                <w:color w:val="auto"/>
                <w:lang w:val="en-US" w:eastAsia="zh-CN"/>
              </w:rPr>
              <w:t>弃方调运至</w:t>
            </w:r>
            <w:r>
              <w:rPr>
                <w:rFonts w:hint="eastAsia"/>
                <w:color w:val="auto"/>
                <w:lang w:eastAsia="zh-CN"/>
              </w:rPr>
              <w:t>周边</w:t>
            </w:r>
            <w:r>
              <w:rPr>
                <w:rFonts w:hint="eastAsia"/>
                <w:color w:val="auto"/>
                <w:lang w:val="en-US" w:eastAsia="zh-CN"/>
              </w:rPr>
              <w:t>建设项目进行平衡。</w:t>
            </w:r>
          </w:p>
          <w:p w14:paraId="3F1DC6B3">
            <w:pPr>
              <w:pStyle w:val="21"/>
              <w:numPr>
                <w:ilvl w:val="0"/>
                <w:numId w:val="4"/>
              </w:numPr>
              <w:bidi w:val="0"/>
              <w:rPr>
                <w:color w:val="auto"/>
              </w:rPr>
            </w:pPr>
            <w:r>
              <w:rPr>
                <w:rFonts w:hint="eastAsia"/>
                <w:color w:val="auto"/>
                <w:lang w:val="en-US" w:eastAsia="zh-CN"/>
              </w:rPr>
              <w:t>生活垃圾采取定点收集，定期交环卫部门处置。</w:t>
            </w:r>
          </w:p>
          <w:p w14:paraId="4FEECB81">
            <w:pPr>
              <w:pStyle w:val="4"/>
              <w:bidi w:val="0"/>
              <w:rPr>
                <w:color w:val="auto"/>
              </w:rPr>
            </w:pPr>
            <w:r>
              <w:rPr>
                <w:rFonts w:hint="eastAsia"/>
                <w:color w:val="auto"/>
              </w:rPr>
              <w:t>物料运输过程污染防治措施</w:t>
            </w:r>
          </w:p>
          <w:p w14:paraId="04B4A53C">
            <w:pPr>
              <w:pStyle w:val="21"/>
              <w:bidi w:val="0"/>
              <w:rPr>
                <w:rFonts w:ascii="Times New Roman" w:hAnsi="Times New Roman" w:eastAsia="宋体"/>
                <w:color w:val="auto"/>
              </w:rPr>
            </w:pPr>
            <w:r>
              <w:rPr>
                <w:rFonts w:hint="eastAsia"/>
                <w:color w:val="auto"/>
              </w:rPr>
              <w:t>合理安排运输车辆的行驶路线，尽量避开敏感区域，从时间安排上要尽量避开休息时段。运输砂石料的汽车严禁超载，并设围拦，防止物料在运输过程中沿路抛洒；保持车辆清洁，严禁脏车上路；加强城区道路的保洁工作，减轻道路二次扬尘的污染，在城区内严禁车辆鸣喇叭，减轻汽车噪声的影响。</w:t>
            </w:r>
          </w:p>
        </w:tc>
      </w:tr>
      <w:tr w14:paraId="68FF76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7" w:type="dxa"/>
            <w:vAlign w:val="center"/>
          </w:tcPr>
          <w:p w14:paraId="04E73FC7">
            <w:pPr>
              <w:rPr>
                <w:rFonts w:ascii="Times New Roman" w:hAnsi="Times New Roman" w:eastAsia="宋体"/>
                <w:color w:val="auto"/>
              </w:rPr>
            </w:pPr>
            <w:r>
              <w:rPr>
                <w:rFonts w:hint="eastAsia" w:ascii="Times New Roman" w:hAnsi="Times New Roman" w:eastAsia="宋体"/>
                <w:color w:val="auto"/>
              </w:rPr>
              <w:t>运营期生态环境保护措施</w:t>
            </w:r>
          </w:p>
        </w:tc>
        <w:tc>
          <w:tcPr>
            <w:tcW w:w="8493" w:type="dxa"/>
            <w:vAlign w:val="center"/>
          </w:tcPr>
          <w:p w14:paraId="126C8DCB">
            <w:pPr>
              <w:keepNext/>
              <w:keepLines/>
              <w:widowControl w:val="0"/>
              <w:numPr>
                <w:ilvl w:val="1"/>
                <w:numId w:val="1"/>
              </w:numPr>
              <w:spacing w:line="400" w:lineRule="exact"/>
              <w:jc w:val="left"/>
              <w:outlineLvl w:val="1"/>
              <w:rPr>
                <w:rFonts w:ascii="Times New Roman" w:hAnsi="Times New Roman" w:eastAsia="宋体" w:cstheme="majorBidi"/>
                <w:b/>
                <w:bCs/>
                <w:color w:val="auto"/>
                <w:kern w:val="2"/>
                <w:sz w:val="24"/>
                <w:szCs w:val="32"/>
                <w:lang w:val="en-US" w:eastAsia="zh-CN" w:bidi="ar-SA"/>
                <w14:ligatures w14:val="standardContextual"/>
              </w:rPr>
            </w:pPr>
            <w:r>
              <w:rPr>
                <w:rFonts w:hint="eastAsia" w:ascii="Times New Roman" w:hAnsi="Times New Roman" w:eastAsia="宋体" w:cstheme="majorBidi"/>
                <w:b/>
                <w:bCs/>
                <w:color w:val="auto"/>
                <w:kern w:val="2"/>
                <w:sz w:val="24"/>
                <w:szCs w:val="32"/>
                <w:lang w:val="en-US" w:eastAsia="zh-CN" w:bidi="ar-SA"/>
                <w14:ligatures w14:val="standardContextual"/>
              </w:rPr>
              <w:t>运营期生态环境保护措施</w:t>
            </w:r>
          </w:p>
          <w:p w14:paraId="558B7AC9">
            <w:pPr>
              <w:keepNext/>
              <w:keepLines/>
              <w:widowControl w:val="0"/>
              <w:numPr>
                <w:ilvl w:val="2"/>
                <w:numId w:val="1"/>
              </w:numPr>
              <w:snapToGrid w:val="0"/>
              <w:spacing w:line="400" w:lineRule="exact"/>
              <w:contextualSpacing/>
              <w:jc w:val="left"/>
              <w:outlineLvl w:val="2"/>
              <w:rPr>
                <w:rFonts w:ascii="Times New Roman" w:hAnsi="Times New Roman" w:eastAsia="宋体" w:cstheme="minorBidi"/>
                <w:b/>
                <w:color w:val="auto"/>
                <w:kern w:val="2"/>
                <w:sz w:val="24"/>
                <w:szCs w:val="32"/>
                <w:lang w:val="en-US" w:eastAsia="zh-CN" w:bidi="ar-SA"/>
                <w14:ligatures w14:val="standardContextual"/>
              </w:rPr>
            </w:pPr>
            <w:r>
              <w:rPr>
                <w:rFonts w:hint="eastAsia" w:ascii="Times New Roman" w:hAnsi="Times New Roman" w:eastAsia="宋体" w:cstheme="minorBidi"/>
                <w:b/>
                <w:color w:val="auto"/>
                <w:kern w:val="2"/>
                <w:sz w:val="24"/>
                <w:szCs w:val="32"/>
                <w:lang w:val="en-US" w:eastAsia="zh-CN" w:bidi="ar-SA"/>
                <w14:ligatures w14:val="standardContextual"/>
              </w:rPr>
              <w:t>生态环境保护措施</w:t>
            </w:r>
          </w:p>
          <w:p w14:paraId="763F7FFB">
            <w:pPr>
              <w:pStyle w:val="21"/>
              <w:bidi w:val="0"/>
              <w:rPr>
                <w:rFonts w:hint="eastAsia"/>
                <w:color w:val="auto"/>
              </w:rPr>
            </w:pPr>
            <w:r>
              <w:rPr>
                <w:rFonts w:hint="eastAsia"/>
                <w:color w:val="auto"/>
                <w:lang w:val="en-US" w:eastAsia="zh-CN"/>
              </w:rPr>
              <w:t>本项目</w:t>
            </w:r>
            <w:r>
              <w:rPr>
                <w:rFonts w:hint="eastAsia"/>
                <w:color w:val="auto"/>
              </w:rPr>
              <w:t>应按道路</w:t>
            </w:r>
            <w:r>
              <w:rPr>
                <w:rFonts w:hint="eastAsia"/>
                <w:color w:val="auto"/>
                <w:lang w:val="en-US" w:eastAsia="zh-CN"/>
              </w:rPr>
              <w:t>景观</w:t>
            </w:r>
            <w:r>
              <w:rPr>
                <w:rFonts w:hint="eastAsia"/>
                <w:color w:val="auto"/>
              </w:rPr>
              <w:t>绿化设计的要求，完成道路边坡、绿化带以及道路征地范围内可绿化地面的植树种草工作，以达到恢复植被、减少水土流失、减少雨季路面径流污染路侧水体等目的。</w:t>
            </w:r>
          </w:p>
          <w:p w14:paraId="61D1887A">
            <w:pPr>
              <w:pStyle w:val="4"/>
              <w:bidi w:val="0"/>
              <w:rPr>
                <w:color w:val="auto"/>
              </w:rPr>
            </w:pPr>
            <w:r>
              <w:rPr>
                <w:rFonts w:hint="eastAsia"/>
                <w:color w:val="auto"/>
              </w:rPr>
              <w:t>地表水污染防治</w:t>
            </w:r>
            <w:r>
              <w:rPr>
                <w:color w:val="auto"/>
              </w:rPr>
              <w:t>措施</w:t>
            </w:r>
          </w:p>
          <w:p w14:paraId="6CD2920E">
            <w:pPr>
              <w:pStyle w:val="21"/>
              <w:bidi w:val="0"/>
              <w:rPr>
                <w:rFonts w:hint="eastAsia"/>
                <w:color w:val="auto"/>
                <w:lang w:val="zh-CN"/>
              </w:rPr>
            </w:pPr>
            <w:r>
              <w:rPr>
                <w:rFonts w:hint="eastAsia"/>
                <w:color w:val="auto"/>
                <w:lang w:val="zh-CN"/>
              </w:rPr>
              <w:t>（1）加强道路清扫、保持路面清洁，避免垃圾、泥土等汇入地表水污染水质。</w:t>
            </w:r>
          </w:p>
          <w:p w14:paraId="68BE9A19">
            <w:pPr>
              <w:pStyle w:val="21"/>
              <w:bidi w:val="0"/>
              <w:rPr>
                <w:rFonts w:hint="eastAsia"/>
                <w:color w:val="auto"/>
                <w:lang w:val="zh-CN"/>
              </w:rPr>
            </w:pPr>
            <w:r>
              <w:rPr>
                <w:rFonts w:hint="eastAsia"/>
                <w:color w:val="auto"/>
                <w:lang w:val="zh-CN"/>
              </w:rPr>
              <w:t>（2）雨水经</w:t>
            </w:r>
            <w:r>
              <w:rPr>
                <w:rFonts w:hint="eastAsia"/>
                <w:color w:val="auto"/>
                <w:lang w:val="zh-CN" w:eastAsia="zh-CN"/>
              </w:rPr>
              <w:t>雨水管网</w:t>
            </w:r>
            <w:r>
              <w:rPr>
                <w:rFonts w:hint="eastAsia"/>
                <w:color w:val="auto"/>
                <w:lang w:val="zh-CN"/>
              </w:rPr>
              <w:t>收集后排入</w:t>
            </w:r>
            <w:r>
              <w:rPr>
                <w:rFonts w:hint="eastAsia"/>
                <w:color w:val="auto"/>
                <w:lang w:val="zh-CN" w:eastAsia="zh-CN"/>
              </w:rPr>
              <w:t>现状</w:t>
            </w:r>
            <w:r>
              <w:rPr>
                <w:rFonts w:hint="eastAsia"/>
                <w:color w:val="auto"/>
                <w:lang w:val="zh-CN"/>
              </w:rPr>
              <w:t>市政雨水管网；运营期加强排水系统维护，定期检查，确保降水畅通排泄。</w:t>
            </w:r>
          </w:p>
          <w:p w14:paraId="2B8989E9">
            <w:pPr>
              <w:pStyle w:val="21"/>
              <w:bidi w:val="0"/>
              <w:rPr>
                <w:rFonts w:hint="eastAsia"/>
                <w:color w:val="auto"/>
                <w:lang w:val="zh-CN"/>
              </w:rPr>
            </w:pPr>
            <w:r>
              <w:rPr>
                <w:rFonts w:hint="eastAsia"/>
                <w:color w:val="auto"/>
                <w:lang w:val="zh-CN"/>
              </w:rPr>
              <w:t>（3）及时更换维护损坏的排水井盖，避免垃圾进入排水系统，造成排水堵塞。</w:t>
            </w:r>
          </w:p>
          <w:p w14:paraId="048A528A">
            <w:pPr>
              <w:pStyle w:val="21"/>
              <w:bidi w:val="0"/>
              <w:rPr>
                <w:rFonts w:hint="eastAsia"/>
                <w:color w:val="auto"/>
                <w:lang w:val="zh-CN"/>
              </w:rPr>
            </w:pPr>
            <w:r>
              <w:rPr>
                <w:rFonts w:hint="eastAsia"/>
                <w:color w:val="auto"/>
                <w:lang w:val="zh-CN"/>
              </w:rPr>
              <w:t>本</w:t>
            </w:r>
            <w:r>
              <w:rPr>
                <w:rFonts w:hint="eastAsia"/>
                <w:color w:val="auto"/>
                <w:lang w:val="en-US" w:eastAsia="zh-CN"/>
              </w:rPr>
              <w:t>项目</w:t>
            </w:r>
            <w:r>
              <w:rPr>
                <w:rFonts w:hint="eastAsia"/>
                <w:color w:val="auto"/>
                <w:lang w:val="zh-CN"/>
              </w:rPr>
              <w:t>上述运营期地表水污染防治措施经济技术可行，严格落实后可有效降低对区域地表水环境的影响。</w:t>
            </w:r>
          </w:p>
          <w:p w14:paraId="5D5A49F7">
            <w:pPr>
              <w:pStyle w:val="4"/>
              <w:bidi w:val="0"/>
              <w:rPr>
                <w:color w:val="auto"/>
              </w:rPr>
            </w:pPr>
            <w:r>
              <w:rPr>
                <w:rFonts w:hint="eastAsia"/>
                <w:color w:val="auto"/>
              </w:rPr>
              <w:t>环境空气污染防治措施</w:t>
            </w:r>
          </w:p>
          <w:p w14:paraId="0D036939">
            <w:pPr>
              <w:pStyle w:val="21"/>
              <w:bidi w:val="0"/>
              <w:rPr>
                <w:color w:val="auto"/>
              </w:rPr>
            </w:pPr>
            <w:r>
              <w:rPr>
                <w:rFonts w:hint="eastAsia"/>
                <w:color w:val="auto"/>
              </w:rPr>
              <w:t>（1）</w:t>
            </w:r>
            <w:r>
              <w:rPr>
                <w:rFonts w:hint="eastAsia"/>
                <w:color w:val="auto"/>
                <w:lang w:val="zh-CN"/>
              </w:rPr>
              <w:t>加强道路沿线两侧绿化带建设，做到点、线、面结合，乔、灌、花、草有机搭配，利用植被的吸收吸附作用，降低废气影响。</w:t>
            </w:r>
          </w:p>
          <w:p w14:paraId="7B82BF58">
            <w:pPr>
              <w:pStyle w:val="21"/>
              <w:bidi w:val="0"/>
              <w:rPr>
                <w:rFonts w:hint="eastAsia"/>
                <w:color w:val="auto"/>
                <w:lang w:val="zh-CN"/>
              </w:rPr>
            </w:pPr>
            <w:r>
              <w:rPr>
                <w:rFonts w:hint="eastAsia"/>
                <w:color w:val="auto"/>
              </w:rPr>
              <w:t>（2）</w:t>
            </w:r>
            <w:r>
              <w:rPr>
                <w:rFonts w:hint="eastAsia"/>
                <w:color w:val="auto"/>
                <w:lang w:val="zh-CN"/>
              </w:rPr>
              <w:t>合理设置禁停标志，禁止违章停车，防止因交通堵塞、车辆怠速而增大汽车尾气污染。</w:t>
            </w:r>
          </w:p>
          <w:p w14:paraId="6D5E9442">
            <w:pPr>
              <w:pStyle w:val="21"/>
              <w:bidi w:val="0"/>
              <w:rPr>
                <w:rFonts w:hint="eastAsia"/>
                <w:color w:val="auto"/>
                <w:lang w:val="zh-CN"/>
              </w:rPr>
            </w:pPr>
            <w:r>
              <w:rPr>
                <w:rFonts w:hint="eastAsia"/>
                <w:color w:val="auto"/>
                <w:lang w:val="zh-CN"/>
              </w:rPr>
              <w:t>（</w:t>
            </w:r>
            <w:r>
              <w:rPr>
                <w:rFonts w:hint="eastAsia"/>
                <w:color w:val="auto"/>
                <w:lang w:val="en-US" w:eastAsia="zh-CN"/>
              </w:rPr>
              <w:t>3</w:t>
            </w:r>
            <w:r>
              <w:rPr>
                <w:rFonts w:hint="eastAsia"/>
                <w:color w:val="auto"/>
                <w:lang w:val="zh-CN"/>
              </w:rPr>
              <w:t>）严格执行汽车排放车检制度，限制尾气排放</w:t>
            </w:r>
            <w:r>
              <w:rPr>
                <w:rFonts w:hint="eastAsia"/>
                <w:color w:val="auto"/>
                <w:lang w:val="zh-CN" w:eastAsia="zh-CN"/>
              </w:rPr>
              <w:t>不达标</w:t>
            </w:r>
            <w:r>
              <w:rPr>
                <w:rFonts w:hint="eastAsia"/>
                <w:color w:val="auto"/>
                <w:lang w:val="zh-CN"/>
              </w:rPr>
              <w:t>车辆上路。</w:t>
            </w:r>
          </w:p>
          <w:p w14:paraId="16BDE1C0">
            <w:pPr>
              <w:pStyle w:val="21"/>
              <w:bidi w:val="0"/>
              <w:rPr>
                <w:rFonts w:hint="eastAsia"/>
                <w:color w:val="auto"/>
                <w:lang w:val="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zh-CN"/>
              </w:rPr>
              <w:t>加强路面清扫，降低道路扬尘污染。实施高效清洁的清扫作业方式，提高机械化作业面积。</w:t>
            </w:r>
          </w:p>
          <w:p w14:paraId="6650DFAE">
            <w:pPr>
              <w:pStyle w:val="21"/>
              <w:bidi w:val="0"/>
              <w:rPr>
                <w:rFonts w:hint="eastAsia"/>
                <w:color w:val="auto"/>
                <w:lang w:val="zh-CN"/>
              </w:rPr>
            </w:pPr>
            <w:r>
              <w:rPr>
                <w:rFonts w:hint="eastAsia"/>
                <w:color w:val="auto"/>
                <w:lang w:val="zh-CN"/>
              </w:rPr>
              <w:t>本</w:t>
            </w:r>
            <w:r>
              <w:rPr>
                <w:rFonts w:hint="eastAsia"/>
                <w:color w:val="auto"/>
                <w:lang w:val="en-US" w:eastAsia="zh-CN"/>
              </w:rPr>
              <w:t>项目</w:t>
            </w:r>
            <w:r>
              <w:rPr>
                <w:rFonts w:hint="eastAsia"/>
                <w:color w:val="auto"/>
                <w:lang w:val="zh-CN"/>
              </w:rPr>
              <w:t>上述大气污染防治措施经济技术可行，严格落实后可减轻对区域大气环境的影响。</w:t>
            </w:r>
          </w:p>
          <w:p w14:paraId="34B8ED0D">
            <w:pPr>
              <w:pStyle w:val="4"/>
              <w:bidi w:val="0"/>
              <w:rPr>
                <w:color w:val="auto"/>
              </w:rPr>
            </w:pPr>
            <w:r>
              <w:rPr>
                <w:rFonts w:hint="eastAsia"/>
                <w:color w:val="auto"/>
              </w:rPr>
              <w:t>噪声污染防治措施</w:t>
            </w:r>
          </w:p>
          <w:p w14:paraId="238D2753">
            <w:pPr>
              <w:pStyle w:val="21"/>
              <w:numPr>
                <w:ilvl w:val="0"/>
                <w:numId w:val="5"/>
              </w:numPr>
              <w:bidi w:val="0"/>
              <w:rPr>
                <w:rFonts w:hint="eastAsia"/>
                <w:color w:val="auto"/>
                <w:lang w:val="en-US" w:eastAsia="zh-CN"/>
              </w:rPr>
            </w:pPr>
            <w:r>
              <w:rPr>
                <w:rFonts w:hint="eastAsia"/>
                <w:color w:val="auto"/>
                <w:lang w:val="en-US" w:eastAsia="zh-CN"/>
              </w:rPr>
              <w:t>为进一步减轻交通噪声对敏感点影响，建议加强道路两侧绿化，合理种植乔、灌、草，以利用树木的散射、吸声、隔声作用，增加噪声衰减，降低道路交通的噪声影响。</w:t>
            </w:r>
          </w:p>
          <w:p w14:paraId="1AAC034E">
            <w:pPr>
              <w:pStyle w:val="21"/>
              <w:numPr>
                <w:ilvl w:val="0"/>
                <w:numId w:val="5"/>
              </w:numPr>
              <w:bidi w:val="0"/>
              <w:ind w:left="0" w:leftChars="0" w:firstLine="480" w:firstLineChars="200"/>
              <w:rPr>
                <w:rFonts w:hint="eastAsia"/>
                <w:color w:val="auto"/>
                <w:lang w:eastAsia="zh-CN"/>
              </w:rPr>
            </w:pPr>
            <w:r>
              <w:rPr>
                <w:rFonts w:hint="eastAsia"/>
                <w:color w:val="auto"/>
              </w:rPr>
              <w:t>加强道路运营期管理，合理设置禁鸣标志、限速标志，严格机动车限速、限行和禁行管理</w:t>
            </w:r>
            <w:r>
              <w:rPr>
                <w:rFonts w:hint="eastAsia"/>
                <w:color w:val="auto"/>
                <w:lang w:eastAsia="zh-CN"/>
              </w:rPr>
              <w:t>，加强交通疏导，保持道路畅通，减少鸣笛噪声扰民及高峰段交通噪声的影响。</w:t>
            </w:r>
          </w:p>
          <w:p w14:paraId="13B375F2">
            <w:pPr>
              <w:pStyle w:val="21"/>
              <w:numPr>
                <w:ilvl w:val="0"/>
                <w:numId w:val="5"/>
              </w:numPr>
              <w:bidi w:val="0"/>
              <w:ind w:left="0" w:leftChars="0" w:firstLine="480" w:firstLineChars="200"/>
              <w:rPr>
                <w:color w:val="auto"/>
              </w:rPr>
            </w:pPr>
            <w:r>
              <w:rPr>
                <w:rFonts w:hint="eastAsia"/>
                <w:color w:val="auto"/>
              </w:rPr>
              <w:t>加大交通管理执法力度，严禁“带病”机动车辆上路行驶</w:t>
            </w:r>
            <w:r>
              <w:rPr>
                <w:rFonts w:hint="eastAsia"/>
                <w:color w:val="auto"/>
                <w:lang w:eastAsia="zh-CN"/>
              </w:rPr>
              <w:t>。</w:t>
            </w:r>
          </w:p>
          <w:p w14:paraId="3509338B">
            <w:pPr>
              <w:pStyle w:val="21"/>
              <w:numPr>
                <w:ilvl w:val="0"/>
                <w:numId w:val="5"/>
              </w:numPr>
              <w:bidi w:val="0"/>
              <w:ind w:left="0" w:leftChars="0" w:firstLine="480" w:firstLineChars="200"/>
              <w:rPr>
                <w:color w:val="auto"/>
              </w:rPr>
            </w:pPr>
            <w:r>
              <w:rPr>
                <w:rFonts w:hint="eastAsia"/>
                <w:color w:val="auto"/>
                <w:lang w:val="en-US" w:eastAsia="zh-CN"/>
              </w:rPr>
              <w:t>加强</w:t>
            </w:r>
            <w:r>
              <w:rPr>
                <w:rFonts w:hint="eastAsia"/>
                <w:color w:val="auto"/>
              </w:rPr>
              <w:t>维护路面平整，避免路况不佳造成车辆颠簸增大噪声。</w:t>
            </w:r>
          </w:p>
          <w:p w14:paraId="03AFF16F">
            <w:pPr>
              <w:pStyle w:val="21"/>
              <w:numPr>
                <w:ilvl w:val="0"/>
                <w:numId w:val="5"/>
              </w:numPr>
              <w:bidi w:val="0"/>
              <w:ind w:left="0" w:leftChars="0" w:firstLine="480" w:firstLineChars="200"/>
              <w:rPr>
                <w:rFonts w:hint="eastAsia"/>
                <w:color w:val="auto"/>
              </w:rPr>
            </w:pPr>
            <w:r>
              <w:rPr>
                <w:rFonts w:hint="eastAsia"/>
                <w:color w:val="auto"/>
                <w:lang w:val="en-US" w:eastAsia="zh-CN"/>
              </w:rPr>
              <w:t>根据预测结果，各声环境保护目标近期、中期、远期昼夜间噪声均能满足相应的《声环境质量标准》（GB3096-2008）4a类、2类标准要求。且根据调查，本项目除连接道路左侧规划行政办公用地、商业用地、广场用地地块暂未开发外，道路声环境评价范围内其余地块均已建设完成或正在建设中，已建成或正在建设的声环境保护目标均已安装或设计安装中空隔声窗，满足GB50118-2010 民用建筑隔声设计规范和GB55016-2021建筑环境通用规范，隔声窗隔声量在5~25dB，可进一步降低交通噪声影响</w:t>
            </w:r>
            <w:r>
              <w:rPr>
                <w:rFonts w:hint="eastAsia"/>
                <w:color w:val="auto"/>
              </w:rPr>
              <w:t>。</w:t>
            </w:r>
            <w:r>
              <w:rPr>
                <w:rFonts w:hint="eastAsia"/>
                <w:color w:val="auto"/>
                <w:lang w:val="en-US" w:eastAsia="zh-CN"/>
              </w:rPr>
              <w:t>后续规划行政办公用地开发建议设计安装中空隔声窗。</w:t>
            </w:r>
          </w:p>
          <w:p w14:paraId="0087C1BF">
            <w:pPr>
              <w:pStyle w:val="21"/>
              <w:numPr>
                <w:ilvl w:val="0"/>
                <w:numId w:val="5"/>
              </w:numPr>
              <w:bidi w:val="0"/>
              <w:ind w:left="0" w:leftChars="0" w:firstLine="480" w:firstLineChars="200"/>
              <w:rPr>
                <w:rFonts w:hint="eastAsia"/>
                <w:color w:val="auto"/>
              </w:rPr>
            </w:pPr>
            <w:r>
              <w:rPr>
                <w:rFonts w:hint="eastAsia"/>
                <w:color w:val="auto"/>
              </w:rPr>
              <w:t>建设单位预留部分环保资金对沿线环境</w:t>
            </w:r>
            <w:r>
              <w:rPr>
                <w:rFonts w:hint="eastAsia"/>
                <w:color w:val="auto"/>
                <w:lang w:val="en-US" w:eastAsia="zh-CN"/>
              </w:rPr>
              <w:t>保护目标</w:t>
            </w:r>
            <w:r>
              <w:rPr>
                <w:rFonts w:hint="eastAsia"/>
                <w:color w:val="auto"/>
              </w:rPr>
              <w:t>进行跟踪监测，根据跟踪监测结果及相关交通噪声扰民投诉情况，启用预留资金采取其他噪声防护措施，以确保交通噪声达标不扰民。</w:t>
            </w:r>
          </w:p>
          <w:p w14:paraId="23AA4275">
            <w:pPr>
              <w:pStyle w:val="21"/>
              <w:bidi w:val="0"/>
              <w:rPr>
                <w:color w:val="auto"/>
              </w:rPr>
            </w:pPr>
            <w:r>
              <w:rPr>
                <w:rFonts w:hint="eastAsia"/>
                <w:color w:val="auto"/>
                <w:lang w:val="zh-CN"/>
              </w:rPr>
              <w:t>本</w:t>
            </w:r>
            <w:r>
              <w:rPr>
                <w:rFonts w:hint="eastAsia"/>
                <w:color w:val="auto"/>
                <w:lang w:val="en-US" w:eastAsia="zh-CN"/>
              </w:rPr>
              <w:t>项目</w:t>
            </w:r>
            <w:r>
              <w:rPr>
                <w:rFonts w:hint="eastAsia"/>
                <w:color w:val="auto"/>
                <w:lang w:val="zh-CN"/>
              </w:rPr>
              <w:t>上述</w:t>
            </w:r>
            <w:r>
              <w:rPr>
                <w:rFonts w:hint="eastAsia"/>
                <w:color w:val="auto"/>
              </w:rPr>
              <w:t>噪声污染防治措施经济技术可行，严格落实后可有效减轻交通噪声对区域声环境的影响。</w:t>
            </w:r>
          </w:p>
          <w:p w14:paraId="0B822528">
            <w:pPr>
              <w:pStyle w:val="4"/>
              <w:bidi w:val="0"/>
              <w:rPr>
                <w:color w:val="auto"/>
              </w:rPr>
            </w:pPr>
            <w:r>
              <w:rPr>
                <w:rFonts w:hint="eastAsia"/>
                <w:color w:val="auto"/>
              </w:rPr>
              <w:t>固废防治</w:t>
            </w:r>
            <w:r>
              <w:rPr>
                <w:color w:val="auto"/>
              </w:rPr>
              <w:t>措施</w:t>
            </w:r>
          </w:p>
          <w:p w14:paraId="28CD55DA">
            <w:pPr>
              <w:pStyle w:val="21"/>
              <w:bidi w:val="0"/>
              <w:rPr>
                <w:rFonts w:ascii="Times New Roman" w:hAnsi="Times New Roman" w:eastAsia="宋体"/>
                <w:color w:val="auto"/>
              </w:rPr>
            </w:pPr>
            <w:r>
              <w:rPr>
                <w:rFonts w:hint="eastAsia"/>
                <w:color w:val="auto"/>
                <w:lang w:val="en-US" w:eastAsia="zh-CN"/>
              </w:rPr>
              <w:t>本项目</w:t>
            </w:r>
            <w:r>
              <w:rPr>
                <w:color w:val="auto"/>
              </w:rPr>
              <w:t>营运期不设服务区、收费站等，</w:t>
            </w:r>
            <w:r>
              <w:rPr>
                <w:rFonts w:hint="eastAsia"/>
                <w:color w:val="auto"/>
              </w:rPr>
              <w:t>固废主要来自行驶车辆及过往人员丢弃的垃圾，</w:t>
            </w:r>
            <w:r>
              <w:rPr>
                <w:rFonts w:hint="eastAsia"/>
                <w:color w:val="auto"/>
                <w:lang w:val="en-US" w:eastAsia="zh-CN"/>
              </w:rPr>
              <w:t>由</w:t>
            </w:r>
            <w:r>
              <w:rPr>
                <w:rFonts w:hint="eastAsia"/>
                <w:color w:val="auto"/>
              </w:rPr>
              <w:t>环卫部门统一清扫</w:t>
            </w:r>
            <w:r>
              <w:rPr>
                <w:rFonts w:hint="eastAsia"/>
                <w:color w:val="auto"/>
                <w:lang w:val="en-US" w:eastAsia="zh-CN"/>
              </w:rPr>
              <w:t>处置</w:t>
            </w:r>
            <w:r>
              <w:rPr>
                <w:color w:val="auto"/>
              </w:rPr>
              <w:t>。</w:t>
            </w:r>
          </w:p>
        </w:tc>
      </w:tr>
      <w:tr w14:paraId="2ABC20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7" w:type="dxa"/>
            <w:vAlign w:val="center"/>
          </w:tcPr>
          <w:p w14:paraId="05F0C337">
            <w:pPr>
              <w:rPr>
                <w:rFonts w:hint="eastAsia" w:ascii="Times New Roman" w:hAnsi="Times New Roman" w:eastAsia="宋体"/>
                <w:color w:val="auto"/>
              </w:rPr>
            </w:pPr>
            <w:r>
              <w:rPr>
                <w:rFonts w:hint="eastAsia" w:ascii="Times New Roman" w:hAnsi="Times New Roman" w:eastAsia="宋体"/>
                <w:color w:val="auto"/>
              </w:rPr>
              <w:t>其他</w:t>
            </w:r>
          </w:p>
        </w:tc>
        <w:tc>
          <w:tcPr>
            <w:tcW w:w="8493" w:type="dxa"/>
            <w:vAlign w:val="center"/>
          </w:tcPr>
          <w:p w14:paraId="0C5F5534">
            <w:pPr>
              <w:pStyle w:val="3"/>
              <w:bidi w:val="0"/>
              <w:rPr>
                <w:color w:val="auto"/>
              </w:rPr>
            </w:pPr>
            <w:r>
              <w:rPr>
                <w:rFonts w:hint="eastAsia"/>
                <w:color w:val="auto"/>
              </w:rPr>
              <w:t>环境管理</w:t>
            </w:r>
          </w:p>
          <w:p w14:paraId="2726D3F2">
            <w:pPr>
              <w:pStyle w:val="21"/>
              <w:bidi w:val="0"/>
              <w:rPr>
                <w:rFonts w:hint="eastAsia"/>
                <w:color w:val="auto"/>
              </w:rPr>
            </w:pPr>
            <w:r>
              <w:rPr>
                <w:rFonts w:hint="eastAsia"/>
                <w:color w:val="auto"/>
              </w:rPr>
              <w:t>环境管理是保证环评制度得以实现的重要工作，其主要作用是督促建设单位在设计和施工过程中严格执行相关的各项环保制度，落实环评及批复中的有关环保措施和要求，保证污染治理设施的正常运行，实现污染物达标排放，实施环境污染监测。</w:t>
            </w:r>
          </w:p>
          <w:p w14:paraId="631C49B0">
            <w:pPr>
              <w:pStyle w:val="21"/>
              <w:bidi w:val="0"/>
              <w:rPr>
                <w:rFonts w:hint="eastAsia"/>
                <w:color w:val="auto"/>
              </w:rPr>
            </w:pPr>
            <w:r>
              <w:rPr>
                <w:rFonts w:hint="eastAsia"/>
                <w:color w:val="auto"/>
              </w:rPr>
              <w:t>建设单位在设置工程管理机构中应建立环境保护管理机构，以便对施工期和运营期的环境保护工作进行监督和管理，设1名环保兼职人员，主要职责：</w:t>
            </w:r>
          </w:p>
          <w:p w14:paraId="56E4BF8D">
            <w:pPr>
              <w:pStyle w:val="21"/>
              <w:bidi w:val="0"/>
              <w:rPr>
                <w:rFonts w:hint="eastAsia" w:eastAsia="宋体"/>
                <w:color w:val="auto"/>
                <w:lang w:eastAsia="zh-CN"/>
              </w:rPr>
            </w:pPr>
            <w:r>
              <w:rPr>
                <w:rFonts w:hint="eastAsia"/>
                <w:color w:val="auto"/>
              </w:rPr>
              <w:t>（1）贯彻执行国家、省、市的有关环保法规、标准和政策</w:t>
            </w:r>
            <w:r>
              <w:rPr>
                <w:rFonts w:hint="eastAsia"/>
                <w:color w:val="auto"/>
                <w:lang w:eastAsia="zh-CN"/>
              </w:rPr>
              <w:t>；</w:t>
            </w:r>
          </w:p>
          <w:p w14:paraId="44A19B51">
            <w:pPr>
              <w:pStyle w:val="21"/>
              <w:bidi w:val="0"/>
              <w:rPr>
                <w:rFonts w:hint="eastAsia"/>
                <w:color w:val="auto"/>
                <w:lang w:eastAsia="zh-CN"/>
              </w:rPr>
            </w:pPr>
            <w:r>
              <w:rPr>
                <w:rFonts w:hint="eastAsia"/>
                <w:color w:val="auto"/>
              </w:rPr>
              <w:t>（2）负责制定本</w:t>
            </w:r>
            <w:r>
              <w:rPr>
                <w:rFonts w:hint="eastAsia"/>
                <w:color w:val="auto"/>
                <w:lang w:val="en-US" w:eastAsia="zh-CN"/>
              </w:rPr>
              <w:t>项目</w:t>
            </w:r>
            <w:r>
              <w:rPr>
                <w:rFonts w:hint="eastAsia"/>
                <w:color w:val="auto"/>
              </w:rPr>
              <w:t>的环境保护监督管理工作制度，制定环境保护条例、条规和工作计划</w:t>
            </w:r>
            <w:r>
              <w:rPr>
                <w:rFonts w:hint="eastAsia"/>
                <w:color w:val="auto"/>
                <w:lang w:eastAsia="zh-CN"/>
              </w:rPr>
              <w:t>；</w:t>
            </w:r>
          </w:p>
          <w:p w14:paraId="6B7CD35D">
            <w:pPr>
              <w:pStyle w:val="21"/>
              <w:bidi w:val="0"/>
              <w:rPr>
                <w:rFonts w:hint="eastAsia"/>
                <w:color w:val="auto"/>
              </w:rPr>
            </w:pPr>
            <w:r>
              <w:rPr>
                <w:rFonts w:hint="eastAsia"/>
                <w:color w:val="auto"/>
              </w:rPr>
              <w:t>（3）负责组织、实施施工期及运营期的环境管理和环境监测计划，及时向上级环保主管部门报告工程</w:t>
            </w:r>
            <w:r>
              <w:rPr>
                <w:rFonts w:hint="eastAsia"/>
                <w:color w:val="auto"/>
                <w:lang w:val="en-US" w:eastAsia="zh-CN"/>
              </w:rPr>
              <w:t>施工</w:t>
            </w:r>
            <w:r>
              <w:rPr>
                <w:rFonts w:hint="eastAsia"/>
                <w:color w:val="auto"/>
              </w:rPr>
              <w:t>期及运营期的环境管理工作开展情况；</w:t>
            </w:r>
          </w:p>
          <w:p w14:paraId="6776B03B">
            <w:pPr>
              <w:pStyle w:val="21"/>
              <w:bidi w:val="0"/>
              <w:rPr>
                <w:rFonts w:hint="eastAsia"/>
                <w:color w:val="auto"/>
              </w:rPr>
            </w:pPr>
            <w:r>
              <w:rPr>
                <w:rFonts w:hint="eastAsia"/>
                <w:color w:val="auto"/>
              </w:rPr>
              <w:t>（4）编制年度环境保护计划及环境监测计划，并负责安排组织实施；</w:t>
            </w:r>
          </w:p>
          <w:p w14:paraId="5BEE8A43">
            <w:pPr>
              <w:pStyle w:val="21"/>
              <w:bidi w:val="0"/>
              <w:rPr>
                <w:rFonts w:hint="eastAsia"/>
                <w:color w:val="auto"/>
              </w:rPr>
            </w:pPr>
            <w:r>
              <w:rPr>
                <w:rFonts w:hint="eastAsia"/>
                <w:color w:val="auto"/>
              </w:rPr>
              <w:t>（5）协调各有关部门之间的环保工作和处理监控中出现的环保问题。</w:t>
            </w:r>
          </w:p>
          <w:p w14:paraId="3ACD1C7D">
            <w:pPr>
              <w:pStyle w:val="6"/>
              <w:bidi w:val="0"/>
              <w:rPr>
                <w:color w:val="auto"/>
              </w:rPr>
            </w:pPr>
            <w:r>
              <w:rPr>
                <w:rFonts w:hint="eastAsia"/>
                <w:color w:val="auto"/>
              </w:rPr>
              <w:t>环境管理计划</w:t>
            </w:r>
          </w:p>
          <w:tbl>
            <w:tblPr>
              <w:tblStyle w:val="1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139"/>
              <w:gridCol w:w="4992"/>
              <w:gridCol w:w="1138"/>
            </w:tblGrid>
            <w:tr w14:paraId="24C38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9" w:type="pct"/>
                  <w:tcBorders>
                    <w:tl2br w:val="nil"/>
                    <w:tr2bl w:val="nil"/>
                  </w:tcBorders>
                  <w:shd w:val="clear" w:color="auto" w:fill="auto"/>
                  <w:vAlign w:val="center"/>
                </w:tcPr>
                <w:p w14:paraId="3E0FCCCA">
                  <w:pPr>
                    <w:pStyle w:val="23"/>
                    <w:bidi w:val="0"/>
                    <w:rPr>
                      <w:color w:val="auto"/>
                    </w:rPr>
                  </w:pPr>
                  <w:r>
                    <w:rPr>
                      <w:rFonts w:hint="eastAsia"/>
                      <w:color w:val="auto"/>
                    </w:rPr>
                    <w:t>时段</w:t>
                  </w:r>
                </w:p>
              </w:tc>
              <w:tc>
                <w:tcPr>
                  <w:tcW w:w="688" w:type="pct"/>
                  <w:tcBorders>
                    <w:tl2br w:val="nil"/>
                    <w:tr2bl w:val="nil"/>
                  </w:tcBorders>
                  <w:shd w:val="clear" w:color="auto" w:fill="auto"/>
                  <w:vAlign w:val="center"/>
                </w:tcPr>
                <w:p w14:paraId="6D590A6D">
                  <w:pPr>
                    <w:pStyle w:val="23"/>
                    <w:bidi w:val="0"/>
                    <w:rPr>
                      <w:color w:val="auto"/>
                    </w:rPr>
                  </w:pPr>
                  <w:r>
                    <w:rPr>
                      <w:rFonts w:hint="eastAsia"/>
                      <w:color w:val="auto"/>
                    </w:rPr>
                    <w:t>环境单元</w:t>
                  </w:r>
                </w:p>
              </w:tc>
              <w:tc>
                <w:tcPr>
                  <w:tcW w:w="3014" w:type="pct"/>
                  <w:tcBorders>
                    <w:tl2br w:val="nil"/>
                    <w:tr2bl w:val="nil"/>
                  </w:tcBorders>
                  <w:shd w:val="clear" w:color="auto" w:fill="auto"/>
                  <w:vAlign w:val="center"/>
                </w:tcPr>
                <w:p w14:paraId="77725E6B">
                  <w:pPr>
                    <w:pStyle w:val="23"/>
                    <w:bidi w:val="0"/>
                    <w:rPr>
                      <w:color w:val="auto"/>
                    </w:rPr>
                  </w:pPr>
                  <w:r>
                    <w:rPr>
                      <w:rFonts w:hint="eastAsia"/>
                      <w:color w:val="auto"/>
                    </w:rPr>
                    <w:t>管理目标</w:t>
                  </w:r>
                </w:p>
              </w:tc>
              <w:tc>
                <w:tcPr>
                  <w:tcW w:w="687" w:type="pct"/>
                  <w:tcBorders>
                    <w:tl2br w:val="nil"/>
                    <w:tr2bl w:val="nil"/>
                  </w:tcBorders>
                  <w:shd w:val="clear" w:color="auto" w:fill="auto"/>
                  <w:vAlign w:val="center"/>
                </w:tcPr>
                <w:p w14:paraId="52DBDD74">
                  <w:pPr>
                    <w:pStyle w:val="23"/>
                    <w:bidi w:val="0"/>
                    <w:rPr>
                      <w:color w:val="auto"/>
                    </w:rPr>
                  </w:pPr>
                  <w:r>
                    <w:rPr>
                      <w:rFonts w:hint="eastAsia"/>
                      <w:color w:val="auto"/>
                    </w:rPr>
                    <w:t>实施机构</w:t>
                  </w:r>
                </w:p>
              </w:tc>
            </w:tr>
            <w:tr w14:paraId="16118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9" w:type="pct"/>
                  <w:vMerge w:val="restart"/>
                  <w:tcBorders>
                    <w:tl2br w:val="nil"/>
                    <w:tr2bl w:val="nil"/>
                  </w:tcBorders>
                  <w:shd w:val="clear" w:color="auto" w:fill="auto"/>
                  <w:vAlign w:val="center"/>
                </w:tcPr>
                <w:p w14:paraId="0549D9A4">
                  <w:pPr>
                    <w:pStyle w:val="23"/>
                    <w:bidi w:val="0"/>
                    <w:rPr>
                      <w:color w:val="auto"/>
                    </w:rPr>
                  </w:pPr>
                  <w:r>
                    <w:rPr>
                      <w:rFonts w:hint="eastAsia"/>
                      <w:color w:val="auto"/>
                    </w:rPr>
                    <w:t>施工期</w:t>
                  </w:r>
                </w:p>
              </w:tc>
              <w:tc>
                <w:tcPr>
                  <w:tcW w:w="688" w:type="pct"/>
                  <w:tcBorders>
                    <w:tl2br w:val="nil"/>
                    <w:tr2bl w:val="nil"/>
                  </w:tcBorders>
                  <w:shd w:val="clear" w:color="auto" w:fill="auto"/>
                  <w:vAlign w:val="center"/>
                </w:tcPr>
                <w:p w14:paraId="63AA352D">
                  <w:pPr>
                    <w:pStyle w:val="23"/>
                    <w:bidi w:val="0"/>
                    <w:rPr>
                      <w:rFonts w:hint="default" w:eastAsia="宋体"/>
                      <w:color w:val="auto"/>
                      <w:lang w:val="en-US" w:eastAsia="zh-CN"/>
                    </w:rPr>
                  </w:pPr>
                  <w:r>
                    <w:rPr>
                      <w:rFonts w:hint="eastAsia"/>
                      <w:color w:val="auto"/>
                      <w:lang w:val="en-US" w:eastAsia="zh-CN"/>
                    </w:rPr>
                    <w:t>大气环境</w:t>
                  </w:r>
                </w:p>
              </w:tc>
              <w:tc>
                <w:tcPr>
                  <w:tcW w:w="3014" w:type="pct"/>
                  <w:tcBorders>
                    <w:tl2br w:val="nil"/>
                    <w:tr2bl w:val="nil"/>
                  </w:tcBorders>
                  <w:shd w:val="clear" w:color="auto" w:fill="auto"/>
                  <w:vAlign w:val="center"/>
                </w:tcPr>
                <w:p w14:paraId="18535936">
                  <w:pPr>
                    <w:pStyle w:val="23"/>
                    <w:bidi w:val="0"/>
                    <w:jc w:val="both"/>
                    <w:rPr>
                      <w:rFonts w:hint="eastAsia" w:eastAsia="宋体"/>
                      <w:color w:val="auto"/>
                      <w:lang w:eastAsia="zh-CN"/>
                    </w:rPr>
                  </w:pPr>
                  <w:r>
                    <w:rPr>
                      <w:rFonts w:hint="eastAsia"/>
                      <w:color w:val="auto"/>
                      <w:lang w:val="en-US" w:eastAsia="zh-CN"/>
                    </w:rPr>
                    <w:t>施工场地采取湿式作业，降低施工扬尘；施工场地及道路</w:t>
                  </w:r>
                  <w:r>
                    <w:rPr>
                      <w:rFonts w:hint="eastAsia"/>
                      <w:color w:val="auto"/>
                    </w:rPr>
                    <w:t>定期清扫和洒水，以降低道路扬尘，减少大气污染</w:t>
                  </w:r>
                  <w:r>
                    <w:rPr>
                      <w:rFonts w:hint="eastAsia"/>
                      <w:color w:val="auto"/>
                      <w:lang w:eastAsia="zh-CN"/>
                    </w:rPr>
                    <w:t>；</w:t>
                  </w:r>
                  <w:r>
                    <w:rPr>
                      <w:rFonts w:hint="eastAsia"/>
                      <w:color w:val="auto"/>
                      <w:lang w:val="en-US" w:eastAsia="zh-CN"/>
                    </w:rPr>
                    <w:t>运输车辆严禁带泥上路</w:t>
                  </w:r>
                  <w:r>
                    <w:rPr>
                      <w:rFonts w:hint="eastAsia"/>
                      <w:color w:val="auto"/>
                      <w:lang w:eastAsia="zh-CN"/>
                    </w:rPr>
                    <w:t>，</w:t>
                  </w:r>
                  <w:r>
                    <w:rPr>
                      <w:rFonts w:hint="eastAsia"/>
                      <w:color w:val="auto"/>
                    </w:rPr>
                    <w:t>运送建筑材料</w:t>
                  </w:r>
                  <w:r>
                    <w:rPr>
                      <w:rFonts w:hint="eastAsia"/>
                      <w:color w:val="auto"/>
                      <w:lang w:eastAsia="zh-CN"/>
                    </w:rPr>
                    <w:t>、</w:t>
                  </w:r>
                  <w:r>
                    <w:rPr>
                      <w:rFonts w:hint="eastAsia"/>
                      <w:color w:val="auto"/>
                      <w:lang w:val="en-US" w:eastAsia="zh-CN"/>
                    </w:rPr>
                    <w:t>弃土</w:t>
                  </w:r>
                  <w:r>
                    <w:rPr>
                      <w:rFonts w:hint="eastAsia"/>
                      <w:color w:val="auto"/>
                    </w:rPr>
                    <w:t>的</w:t>
                  </w:r>
                  <w:r>
                    <w:rPr>
                      <w:rFonts w:hint="eastAsia"/>
                      <w:color w:val="auto"/>
                      <w:lang w:val="en-US" w:eastAsia="zh-CN"/>
                    </w:rPr>
                    <w:t>车辆</w:t>
                  </w:r>
                  <w:r>
                    <w:rPr>
                      <w:rFonts w:hint="eastAsia"/>
                      <w:color w:val="auto"/>
                    </w:rPr>
                    <w:t>采取遮盖措施，减少物料洒落</w:t>
                  </w:r>
                  <w:r>
                    <w:rPr>
                      <w:rFonts w:hint="eastAsia"/>
                      <w:color w:val="auto"/>
                      <w:lang w:eastAsia="zh-CN"/>
                    </w:rPr>
                    <w:t>；</w:t>
                  </w:r>
                  <w:r>
                    <w:rPr>
                      <w:rFonts w:hint="eastAsia"/>
                      <w:color w:val="auto"/>
                      <w:lang w:val="en-US" w:eastAsia="zh-CN"/>
                    </w:rPr>
                    <w:t>材料及弃土</w:t>
                  </w:r>
                  <w:r>
                    <w:rPr>
                      <w:rFonts w:hint="eastAsia"/>
                      <w:color w:val="auto"/>
                      <w:lang w:eastAsia="zh-CN"/>
                    </w:rPr>
                    <w:t>须遮盖或洒水以防止扬尘污染。</w:t>
                  </w:r>
                </w:p>
              </w:tc>
              <w:tc>
                <w:tcPr>
                  <w:tcW w:w="687" w:type="pct"/>
                  <w:vMerge w:val="restart"/>
                  <w:tcBorders>
                    <w:tl2br w:val="nil"/>
                    <w:tr2bl w:val="nil"/>
                  </w:tcBorders>
                  <w:shd w:val="clear" w:color="auto" w:fill="auto"/>
                  <w:vAlign w:val="center"/>
                </w:tcPr>
                <w:p w14:paraId="0F13652B">
                  <w:pPr>
                    <w:pStyle w:val="23"/>
                    <w:bidi w:val="0"/>
                    <w:rPr>
                      <w:color w:val="auto"/>
                    </w:rPr>
                  </w:pPr>
                  <w:r>
                    <w:rPr>
                      <w:rFonts w:hint="eastAsia"/>
                      <w:color w:val="auto"/>
                    </w:rPr>
                    <w:t>施工单位</w:t>
                  </w:r>
                </w:p>
              </w:tc>
            </w:tr>
            <w:tr w14:paraId="2B8E3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9" w:type="pct"/>
                  <w:vMerge w:val="continue"/>
                  <w:tcBorders>
                    <w:tl2br w:val="nil"/>
                    <w:tr2bl w:val="nil"/>
                  </w:tcBorders>
                  <w:shd w:val="clear" w:color="auto" w:fill="auto"/>
                  <w:vAlign w:val="center"/>
                </w:tcPr>
                <w:p w14:paraId="6FD321AB">
                  <w:pPr>
                    <w:pStyle w:val="23"/>
                    <w:bidi w:val="0"/>
                    <w:rPr>
                      <w:color w:val="auto"/>
                    </w:rPr>
                  </w:pPr>
                </w:p>
              </w:tc>
              <w:tc>
                <w:tcPr>
                  <w:tcW w:w="688" w:type="pct"/>
                  <w:tcBorders>
                    <w:tl2br w:val="nil"/>
                    <w:tr2bl w:val="nil"/>
                  </w:tcBorders>
                  <w:shd w:val="clear" w:color="auto" w:fill="auto"/>
                  <w:vAlign w:val="center"/>
                </w:tcPr>
                <w:p w14:paraId="3AFAE2ED">
                  <w:pPr>
                    <w:pStyle w:val="23"/>
                    <w:bidi w:val="0"/>
                    <w:rPr>
                      <w:color w:val="auto"/>
                    </w:rPr>
                  </w:pPr>
                  <w:r>
                    <w:rPr>
                      <w:rFonts w:hint="eastAsia"/>
                      <w:color w:val="auto"/>
                    </w:rPr>
                    <w:t>地表水</w:t>
                  </w:r>
                </w:p>
              </w:tc>
              <w:tc>
                <w:tcPr>
                  <w:tcW w:w="3014" w:type="pct"/>
                  <w:tcBorders>
                    <w:tl2br w:val="nil"/>
                    <w:tr2bl w:val="nil"/>
                  </w:tcBorders>
                  <w:shd w:val="clear" w:color="auto" w:fill="auto"/>
                  <w:vAlign w:val="center"/>
                </w:tcPr>
                <w:p w14:paraId="01EA80DB">
                  <w:pPr>
                    <w:pStyle w:val="23"/>
                    <w:bidi w:val="0"/>
                    <w:jc w:val="both"/>
                    <w:rPr>
                      <w:rFonts w:hint="eastAsia" w:eastAsia="宋体"/>
                      <w:color w:val="auto"/>
                      <w:lang w:eastAsia="zh-CN"/>
                    </w:rPr>
                  </w:pPr>
                  <w:r>
                    <w:rPr>
                      <w:rFonts w:hint="eastAsia"/>
                      <w:color w:val="auto"/>
                    </w:rPr>
                    <w:t>加强施工现场污废水管理，施工废水经处理后回用</w:t>
                  </w:r>
                  <w:r>
                    <w:rPr>
                      <w:rFonts w:hint="eastAsia"/>
                      <w:color w:val="auto"/>
                      <w:lang w:val="en-US" w:eastAsia="zh-CN"/>
                    </w:rPr>
                    <w:t>于洒水降尘</w:t>
                  </w:r>
                  <w:r>
                    <w:rPr>
                      <w:rFonts w:hint="eastAsia"/>
                      <w:color w:val="auto"/>
                      <w:lang w:eastAsia="zh-CN"/>
                    </w:rPr>
                    <w:t>；</w:t>
                  </w:r>
                  <w:r>
                    <w:rPr>
                      <w:rFonts w:hint="eastAsia"/>
                      <w:color w:val="auto"/>
                      <w:lang w:val="en-US" w:eastAsia="zh-CN"/>
                    </w:rPr>
                    <w:t>生活污水依托周边现有的污水设施处理后经市政污水管网进入奉节西部新区污水处理厂处理。</w:t>
                  </w:r>
                </w:p>
              </w:tc>
              <w:tc>
                <w:tcPr>
                  <w:tcW w:w="687" w:type="pct"/>
                  <w:vMerge w:val="continue"/>
                  <w:tcBorders>
                    <w:tl2br w:val="nil"/>
                    <w:tr2bl w:val="nil"/>
                  </w:tcBorders>
                  <w:shd w:val="clear" w:color="auto" w:fill="auto"/>
                  <w:vAlign w:val="center"/>
                </w:tcPr>
                <w:p w14:paraId="6242AAE1">
                  <w:pPr>
                    <w:pStyle w:val="23"/>
                    <w:bidi w:val="0"/>
                    <w:rPr>
                      <w:color w:val="auto"/>
                    </w:rPr>
                  </w:pPr>
                </w:p>
              </w:tc>
            </w:tr>
            <w:tr w14:paraId="44B8D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9" w:type="pct"/>
                  <w:vMerge w:val="continue"/>
                  <w:tcBorders>
                    <w:tl2br w:val="nil"/>
                    <w:tr2bl w:val="nil"/>
                  </w:tcBorders>
                  <w:shd w:val="clear" w:color="auto" w:fill="auto"/>
                  <w:vAlign w:val="center"/>
                </w:tcPr>
                <w:p w14:paraId="6B981C35">
                  <w:pPr>
                    <w:pStyle w:val="23"/>
                    <w:bidi w:val="0"/>
                    <w:rPr>
                      <w:color w:val="auto"/>
                    </w:rPr>
                  </w:pPr>
                </w:p>
              </w:tc>
              <w:tc>
                <w:tcPr>
                  <w:tcW w:w="688" w:type="pct"/>
                  <w:tcBorders>
                    <w:tl2br w:val="nil"/>
                    <w:tr2bl w:val="nil"/>
                  </w:tcBorders>
                  <w:shd w:val="clear" w:color="auto" w:fill="auto"/>
                  <w:vAlign w:val="center"/>
                </w:tcPr>
                <w:p w14:paraId="48A05F59">
                  <w:pPr>
                    <w:pStyle w:val="23"/>
                    <w:bidi w:val="0"/>
                    <w:rPr>
                      <w:color w:val="auto"/>
                    </w:rPr>
                  </w:pPr>
                  <w:r>
                    <w:rPr>
                      <w:rFonts w:hint="eastAsia"/>
                      <w:color w:val="auto"/>
                    </w:rPr>
                    <w:t>声环境</w:t>
                  </w:r>
                </w:p>
              </w:tc>
              <w:tc>
                <w:tcPr>
                  <w:tcW w:w="3014" w:type="pct"/>
                  <w:tcBorders>
                    <w:tl2br w:val="nil"/>
                    <w:tr2bl w:val="nil"/>
                  </w:tcBorders>
                  <w:shd w:val="clear" w:color="auto" w:fill="auto"/>
                  <w:vAlign w:val="center"/>
                </w:tcPr>
                <w:p w14:paraId="44D01751">
                  <w:pPr>
                    <w:pStyle w:val="23"/>
                    <w:bidi w:val="0"/>
                    <w:jc w:val="both"/>
                    <w:rPr>
                      <w:rFonts w:hint="eastAsia" w:eastAsia="宋体"/>
                      <w:color w:val="auto"/>
                      <w:lang w:eastAsia="zh-CN"/>
                    </w:rPr>
                  </w:pPr>
                  <w:r>
                    <w:rPr>
                      <w:rFonts w:hint="eastAsia"/>
                      <w:color w:val="auto"/>
                    </w:rPr>
                    <w:t>禁止高噪声机械夜间作业；采用先进设备，加强机械和车辆维修保养，保持其低噪声水平；合理安排施工</w:t>
                  </w:r>
                  <w:r>
                    <w:rPr>
                      <w:rFonts w:hint="eastAsia"/>
                      <w:color w:val="auto"/>
                      <w:lang w:val="en-US" w:eastAsia="zh-CN"/>
                    </w:rPr>
                    <w:t>时间和平面布局</w:t>
                  </w:r>
                  <w:r>
                    <w:rPr>
                      <w:rFonts w:hint="eastAsia"/>
                      <w:color w:val="auto"/>
                      <w:lang w:eastAsia="zh-CN"/>
                    </w:rPr>
                    <w:t>。</w:t>
                  </w:r>
                </w:p>
              </w:tc>
              <w:tc>
                <w:tcPr>
                  <w:tcW w:w="687" w:type="pct"/>
                  <w:vMerge w:val="continue"/>
                  <w:tcBorders>
                    <w:tl2br w:val="nil"/>
                    <w:tr2bl w:val="nil"/>
                  </w:tcBorders>
                  <w:shd w:val="clear" w:color="auto" w:fill="auto"/>
                  <w:vAlign w:val="center"/>
                </w:tcPr>
                <w:p w14:paraId="1A67F823">
                  <w:pPr>
                    <w:pStyle w:val="23"/>
                    <w:bidi w:val="0"/>
                    <w:rPr>
                      <w:color w:val="auto"/>
                    </w:rPr>
                  </w:pPr>
                </w:p>
              </w:tc>
            </w:tr>
            <w:tr w14:paraId="32109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9" w:type="pct"/>
                  <w:vMerge w:val="continue"/>
                  <w:tcBorders>
                    <w:tl2br w:val="nil"/>
                    <w:tr2bl w:val="nil"/>
                  </w:tcBorders>
                  <w:shd w:val="clear" w:color="auto" w:fill="auto"/>
                  <w:vAlign w:val="center"/>
                </w:tcPr>
                <w:p w14:paraId="29D9E4BB">
                  <w:pPr>
                    <w:pStyle w:val="23"/>
                    <w:bidi w:val="0"/>
                    <w:rPr>
                      <w:color w:val="auto"/>
                    </w:rPr>
                  </w:pPr>
                </w:p>
              </w:tc>
              <w:tc>
                <w:tcPr>
                  <w:tcW w:w="688" w:type="pct"/>
                  <w:tcBorders>
                    <w:tl2br w:val="nil"/>
                    <w:tr2bl w:val="nil"/>
                  </w:tcBorders>
                  <w:shd w:val="clear" w:color="auto" w:fill="auto"/>
                  <w:vAlign w:val="center"/>
                </w:tcPr>
                <w:p w14:paraId="0AF11CD9">
                  <w:pPr>
                    <w:pStyle w:val="23"/>
                    <w:bidi w:val="0"/>
                    <w:rPr>
                      <w:color w:val="auto"/>
                    </w:rPr>
                  </w:pPr>
                  <w:r>
                    <w:rPr>
                      <w:rFonts w:hint="eastAsia"/>
                      <w:color w:val="auto"/>
                    </w:rPr>
                    <w:t>固体废物</w:t>
                  </w:r>
                </w:p>
              </w:tc>
              <w:tc>
                <w:tcPr>
                  <w:tcW w:w="3014" w:type="pct"/>
                  <w:tcBorders>
                    <w:tl2br w:val="nil"/>
                    <w:tr2bl w:val="nil"/>
                  </w:tcBorders>
                  <w:shd w:val="clear" w:color="auto" w:fill="auto"/>
                  <w:vAlign w:val="center"/>
                </w:tcPr>
                <w:p w14:paraId="1FF8E254">
                  <w:pPr>
                    <w:pStyle w:val="23"/>
                    <w:bidi w:val="0"/>
                    <w:jc w:val="both"/>
                    <w:rPr>
                      <w:rFonts w:hint="eastAsia" w:eastAsia="宋体"/>
                      <w:color w:val="auto"/>
                      <w:lang w:eastAsia="zh-CN"/>
                    </w:rPr>
                  </w:pPr>
                  <w:r>
                    <w:rPr>
                      <w:rFonts w:hint="eastAsia"/>
                      <w:color w:val="auto"/>
                    </w:rPr>
                    <w:t>加强施工现场生活垃圾、渣土等固体废物管理，按要求分类处置，禁止违规倾倒。</w:t>
                  </w:r>
                </w:p>
              </w:tc>
              <w:tc>
                <w:tcPr>
                  <w:tcW w:w="687" w:type="pct"/>
                  <w:vMerge w:val="continue"/>
                  <w:tcBorders>
                    <w:tl2br w:val="nil"/>
                    <w:tr2bl w:val="nil"/>
                  </w:tcBorders>
                  <w:shd w:val="clear" w:color="auto" w:fill="auto"/>
                  <w:vAlign w:val="center"/>
                </w:tcPr>
                <w:p w14:paraId="64A50C04">
                  <w:pPr>
                    <w:pStyle w:val="23"/>
                    <w:bidi w:val="0"/>
                    <w:rPr>
                      <w:color w:val="auto"/>
                    </w:rPr>
                  </w:pPr>
                </w:p>
              </w:tc>
            </w:tr>
            <w:tr w14:paraId="6363E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09" w:type="pct"/>
                  <w:vMerge w:val="continue"/>
                  <w:tcBorders>
                    <w:tl2br w:val="nil"/>
                    <w:tr2bl w:val="nil"/>
                  </w:tcBorders>
                  <w:shd w:val="clear" w:color="auto" w:fill="auto"/>
                  <w:vAlign w:val="center"/>
                </w:tcPr>
                <w:p w14:paraId="20C58AD6">
                  <w:pPr>
                    <w:pStyle w:val="23"/>
                    <w:bidi w:val="0"/>
                    <w:rPr>
                      <w:color w:val="auto"/>
                    </w:rPr>
                  </w:pPr>
                </w:p>
              </w:tc>
              <w:tc>
                <w:tcPr>
                  <w:tcW w:w="688" w:type="pct"/>
                  <w:tcBorders>
                    <w:tl2br w:val="nil"/>
                    <w:tr2bl w:val="nil"/>
                  </w:tcBorders>
                  <w:shd w:val="clear" w:color="auto" w:fill="auto"/>
                  <w:vAlign w:val="center"/>
                </w:tcPr>
                <w:p w14:paraId="73DCD30D">
                  <w:pPr>
                    <w:pStyle w:val="23"/>
                    <w:bidi w:val="0"/>
                    <w:rPr>
                      <w:color w:val="auto"/>
                    </w:rPr>
                  </w:pPr>
                  <w:r>
                    <w:rPr>
                      <w:rFonts w:hint="eastAsia"/>
                      <w:color w:val="auto"/>
                    </w:rPr>
                    <w:t>生态环境</w:t>
                  </w:r>
                </w:p>
              </w:tc>
              <w:tc>
                <w:tcPr>
                  <w:tcW w:w="3014" w:type="pct"/>
                  <w:tcBorders>
                    <w:tl2br w:val="nil"/>
                    <w:tr2bl w:val="nil"/>
                  </w:tcBorders>
                  <w:shd w:val="clear" w:color="auto" w:fill="auto"/>
                  <w:vAlign w:val="center"/>
                </w:tcPr>
                <w:p w14:paraId="6890E8C5">
                  <w:pPr>
                    <w:pStyle w:val="23"/>
                    <w:bidi w:val="0"/>
                    <w:jc w:val="both"/>
                    <w:rPr>
                      <w:color w:val="auto"/>
                    </w:rPr>
                  </w:pPr>
                  <w:r>
                    <w:rPr>
                      <w:rFonts w:hint="eastAsia"/>
                      <w:color w:val="auto"/>
                    </w:rPr>
                    <w:t>严控施工范围；加强临时占地管理，施工结束后及时进行绿化恢复。</w:t>
                  </w:r>
                </w:p>
              </w:tc>
              <w:tc>
                <w:tcPr>
                  <w:tcW w:w="687" w:type="pct"/>
                  <w:vMerge w:val="continue"/>
                  <w:tcBorders>
                    <w:tl2br w:val="nil"/>
                    <w:tr2bl w:val="nil"/>
                  </w:tcBorders>
                  <w:shd w:val="clear" w:color="auto" w:fill="auto"/>
                  <w:vAlign w:val="center"/>
                </w:tcPr>
                <w:p w14:paraId="5C812257">
                  <w:pPr>
                    <w:pStyle w:val="23"/>
                    <w:bidi w:val="0"/>
                    <w:rPr>
                      <w:color w:val="auto"/>
                    </w:rPr>
                  </w:pPr>
                </w:p>
              </w:tc>
            </w:tr>
            <w:tr w14:paraId="6CB96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09" w:type="pct"/>
                  <w:tcBorders>
                    <w:tl2br w:val="nil"/>
                    <w:tr2bl w:val="nil"/>
                  </w:tcBorders>
                  <w:shd w:val="clear" w:color="auto" w:fill="auto"/>
                  <w:vAlign w:val="center"/>
                </w:tcPr>
                <w:p w14:paraId="16826E15">
                  <w:pPr>
                    <w:pStyle w:val="23"/>
                    <w:bidi w:val="0"/>
                    <w:rPr>
                      <w:color w:val="auto"/>
                    </w:rPr>
                  </w:pPr>
                  <w:r>
                    <w:rPr>
                      <w:rFonts w:hint="eastAsia"/>
                      <w:color w:val="auto"/>
                    </w:rPr>
                    <w:t>运营期</w:t>
                  </w:r>
                </w:p>
              </w:tc>
              <w:tc>
                <w:tcPr>
                  <w:tcW w:w="3703" w:type="pct"/>
                  <w:gridSpan w:val="2"/>
                  <w:tcBorders>
                    <w:tl2br w:val="nil"/>
                    <w:tr2bl w:val="nil"/>
                  </w:tcBorders>
                  <w:shd w:val="clear" w:color="auto" w:fill="auto"/>
                  <w:vAlign w:val="center"/>
                </w:tcPr>
                <w:p w14:paraId="751AC7BB">
                  <w:pPr>
                    <w:pStyle w:val="23"/>
                    <w:bidi w:val="0"/>
                    <w:jc w:val="both"/>
                    <w:rPr>
                      <w:color w:val="auto"/>
                    </w:rPr>
                  </w:pPr>
                  <w:r>
                    <w:rPr>
                      <w:color w:val="auto"/>
                    </w:rPr>
                    <w:t>道路建成正式投入运营后，道路全部管理工作将纳入所在区域城市市政管理部门统一管理，加强对道路</w:t>
                  </w:r>
                  <w:r>
                    <w:rPr>
                      <w:rFonts w:hint="eastAsia"/>
                      <w:color w:val="auto"/>
                      <w:lang w:val="en-US" w:eastAsia="zh-CN"/>
                    </w:rPr>
                    <w:t>路面及</w:t>
                  </w:r>
                  <w:r>
                    <w:rPr>
                      <w:color w:val="auto"/>
                    </w:rPr>
                    <w:t>绿化维护管理</w:t>
                  </w:r>
                  <w:r>
                    <w:rPr>
                      <w:rFonts w:hint="eastAsia"/>
                      <w:color w:val="auto"/>
                      <w:lang w:eastAsia="zh-CN"/>
                    </w:rPr>
                    <w:t>、路面清洁</w:t>
                  </w:r>
                  <w:r>
                    <w:rPr>
                      <w:color w:val="auto"/>
                    </w:rPr>
                    <w:t>。</w:t>
                  </w:r>
                </w:p>
              </w:tc>
              <w:tc>
                <w:tcPr>
                  <w:tcW w:w="687" w:type="pct"/>
                  <w:tcBorders>
                    <w:tl2br w:val="nil"/>
                    <w:tr2bl w:val="nil"/>
                  </w:tcBorders>
                  <w:shd w:val="clear" w:color="auto" w:fill="auto"/>
                  <w:vAlign w:val="center"/>
                </w:tcPr>
                <w:p w14:paraId="73BC962B">
                  <w:pPr>
                    <w:pStyle w:val="23"/>
                    <w:bidi w:val="0"/>
                    <w:rPr>
                      <w:color w:val="auto"/>
                    </w:rPr>
                  </w:pPr>
                  <w:r>
                    <w:rPr>
                      <w:rFonts w:hint="eastAsia"/>
                      <w:color w:val="auto"/>
                    </w:rPr>
                    <w:t>市政管理部门</w:t>
                  </w:r>
                </w:p>
              </w:tc>
            </w:tr>
          </w:tbl>
          <w:p w14:paraId="0B4C5619">
            <w:pPr>
              <w:keepNext/>
              <w:keepLines/>
              <w:widowControl w:val="0"/>
              <w:numPr>
                <w:ilvl w:val="1"/>
                <w:numId w:val="1"/>
              </w:numPr>
              <w:bidi w:val="0"/>
              <w:spacing w:line="400" w:lineRule="exact"/>
              <w:jc w:val="left"/>
              <w:outlineLvl w:val="1"/>
              <w:rPr>
                <w:rFonts w:ascii="Times New Roman" w:hAnsi="Times New Roman" w:eastAsia="宋体" w:cstheme="majorBidi"/>
                <w:b/>
                <w:bCs/>
                <w:color w:val="auto"/>
                <w:kern w:val="2"/>
                <w:sz w:val="24"/>
                <w:szCs w:val="32"/>
                <w:lang w:val="en-US" w:eastAsia="zh-CN" w:bidi="ar-SA"/>
                <w14:ligatures w14:val="standardContextual"/>
              </w:rPr>
            </w:pPr>
            <w:r>
              <w:rPr>
                <w:rFonts w:hint="eastAsia" w:ascii="Times New Roman" w:hAnsi="Times New Roman" w:eastAsia="宋体" w:cstheme="majorBidi"/>
                <w:b/>
                <w:bCs/>
                <w:color w:val="auto"/>
                <w:kern w:val="2"/>
                <w:sz w:val="24"/>
                <w:szCs w:val="32"/>
                <w:lang w:val="en-US" w:eastAsia="zh-CN" w:bidi="ar-SA"/>
                <w14:ligatures w14:val="standardContextual"/>
              </w:rPr>
              <w:t>环境监测计划</w:t>
            </w:r>
          </w:p>
          <w:p w14:paraId="5B60E3A2">
            <w:pPr>
              <w:widowControl w:val="0"/>
              <w:bidi w:val="0"/>
              <w:adjustRightInd w:val="0"/>
              <w:snapToGrid w:val="0"/>
              <w:spacing w:line="460" w:lineRule="exact"/>
              <w:ind w:firstLine="480" w:firstLineChars="200"/>
              <w:jc w:val="both"/>
              <w:rPr>
                <w:rFonts w:ascii="Times New Roman" w:hAnsi="Times New Roman" w:eastAsia="宋体" w:cstheme="minorBidi"/>
                <w:color w:val="auto"/>
                <w:kern w:val="2"/>
                <w:sz w:val="24"/>
                <w:szCs w:val="21"/>
                <w:lang w:val="en-US" w:eastAsia="zh-CN" w:bidi="ar-SA"/>
                <w14:ligatures w14:val="standardContextual"/>
              </w:rPr>
            </w:pPr>
            <w:r>
              <w:rPr>
                <w:rFonts w:hint="eastAsia" w:ascii="Times New Roman" w:hAnsi="Times New Roman" w:eastAsia="宋体" w:cstheme="minorBidi"/>
                <w:color w:val="auto"/>
                <w:kern w:val="2"/>
                <w:sz w:val="24"/>
                <w:szCs w:val="21"/>
                <w:lang w:val="en-US" w:eastAsia="zh-CN" w:bidi="ar-SA"/>
                <w14:ligatures w14:val="standardContextual"/>
              </w:rPr>
              <w:t>施工期主要环境影响是施工噪声和扬尘，运营期的主要环境影响是交通噪声，监测实施主体机构为建设单位。本项目监测计划见下表。</w:t>
            </w:r>
          </w:p>
          <w:p w14:paraId="218CABBA">
            <w:pPr>
              <w:pStyle w:val="6"/>
              <w:bidi w:val="0"/>
              <w:rPr>
                <w:color w:val="auto"/>
                <w:lang w:val="en-US" w:eastAsia="zh-CN"/>
              </w:rPr>
            </w:pPr>
            <w:r>
              <w:rPr>
                <w:rFonts w:hint="eastAsia"/>
                <w:color w:val="auto"/>
                <w:lang w:val="en-US" w:eastAsia="zh-CN"/>
              </w:rPr>
              <w:t>运营期环境监测计划一览表</w:t>
            </w:r>
          </w:p>
          <w:tbl>
            <w:tblPr>
              <w:tblStyle w:val="1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2976"/>
              <w:gridCol w:w="2069"/>
              <w:gridCol w:w="2070"/>
            </w:tblGrid>
            <w:tr w14:paraId="4A3AC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tcBorders>
                    <w:tl2br w:val="nil"/>
                    <w:tr2bl w:val="nil"/>
                  </w:tcBorders>
                  <w:shd w:val="clear" w:color="auto" w:fill="auto"/>
                  <w:vAlign w:val="center"/>
                </w:tcPr>
                <w:p w14:paraId="432937F4">
                  <w:pPr>
                    <w:pStyle w:val="23"/>
                    <w:bidi w:val="0"/>
                    <w:rPr>
                      <w:color w:val="auto"/>
                      <w:lang w:val="en-US" w:eastAsia="zh-CN"/>
                    </w:rPr>
                  </w:pPr>
                  <w:r>
                    <w:rPr>
                      <w:rFonts w:hint="eastAsia"/>
                      <w:color w:val="auto"/>
                      <w:lang w:val="en-US" w:eastAsia="zh-CN"/>
                    </w:rPr>
                    <w:t>监测因子</w:t>
                  </w:r>
                </w:p>
              </w:tc>
              <w:tc>
                <w:tcPr>
                  <w:tcW w:w="1798" w:type="pct"/>
                  <w:tcBorders>
                    <w:tl2br w:val="nil"/>
                    <w:tr2bl w:val="nil"/>
                  </w:tcBorders>
                  <w:shd w:val="clear" w:color="auto" w:fill="auto"/>
                  <w:vAlign w:val="center"/>
                </w:tcPr>
                <w:p w14:paraId="77C8098D">
                  <w:pPr>
                    <w:pStyle w:val="23"/>
                    <w:bidi w:val="0"/>
                    <w:rPr>
                      <w:color w:val="auto"/>
                      <w:lang w:val="en-US" w:eastAsia="zh-CN"/>
                    </w:rPr>
                  </w:pPr>
                  <w:r>
                    <w:rPr>
                      <w:rFonts w:hint="eastAsia"/>
                      <w:color w:val="auto"/>
                      <w:lang w:val="en-US" w:eastAsia="zh-CN"/>
                    </w:rPr>
                    <w:t>监测点位</w:t>
                  </w:r>
                </w:p>
              </w:tc>
              <w:tc>
                <w:tcPr>
                  <w:tcW w:w="1250" w:type="pct"/>
                  <w:tcBorders>
                    <w:tl2br w:val="nil"/>
                    <w:tr2bl w:val="nil"/>
                  </w:tcBorders>
                  <w:shd w:val="clear" w:color="auto" w:fill="auto"/>
                  <w:vAlign w:val="center"/>
                </w:tcPr>
                <w:p w14:paraId="61D7575B">
                  <w:pPr>
                    <w:pStyle w:val="23"/>
                    <w:bidi w:val="0"/>
                    <w:rPr>
                      <w:color w:val="auto"/>
                      <w:lang w:val="en-US" w:eastAsia="zh-CN"/>
                    </w:rPr>
                  </w:pPr>
                  <w:r>
                    <w:rPr>
                      <w:rFonts w:hint="eastAsia"/>
                      <w:color w:val="auto"/>
                      <w:lang w:val="en-US" w:eastAsia="zh-CN"/>
                    </w:rPr>
                    <w:t>监测项目</w:t>
                  </w:r>
                </w:p>
              </w:tc>
              <w:tc>
                <w:tcPr>
                  <w:tcW w:w="1250" w:type="pct"/>
                  <w:tcBorders>
                    <w:tl2br w:val="nil"/>
                    <w:tr2bl w:val="nil"/>
                  </w:tcBorders>
                  <w:shd w:val="clear" w:color="auto" w:fill="auto"/>
                  <w:vAlign w:val="center"/>
                </w:tcPr>
                <w:p w14:paraId="69AD2431">
                  <w:pPr>
                    <w:pStyle w:val="23"/>
                    <w:bidi w:val="0"/>
                    <w:rPr>
                      <w:color w:val="auto"/>
                      <w:lang w:val="en-US" w:eastAsia="zh-CN"/>
                    </w:rPr>
                  </w:pPr>
                  <w:r>
                    <w:rPr>
                      <w:rFonts w:hint="eastAsia"/>
                      <w:color w:val="auto"/>
                      <w:lang w:val="en-US" w:eastAsia="zh-CN"/>
                    </w:rPr>
                    <w:t>监测频次</w:t>
                  </w:r>
                </w:p>
              </w:tc>
            </w:tr>
            <w:tr w14:paraId="2B270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pct"/>
                  <w:tcBorders>
                    <w:tl2br w:val="nil"/>
                    <w:tr2bl w:val="nil"/>
                  </w:tcBorders>
                  <w:shd w:val="clear" w:color="auto" w:fill="auto"/>
                  <w:vAlign w:val="center"/>
                </w:tcPr>
                <w:p w14:paraId="69FD7D5D">
                  <w:pPr>
                    <w:pStyle w:val="23"/>
                    <w:bidi w:val="0"/>
                    <w:rPr>
                      <w:color w:val="auto"/>
                      <w:lang w:val="en-US" w:eastAsia="zh-CN"/>
                    </w:rPr>
                  </w:pPr>
                  <w:r>
                    <w:rPr>
                      <w:rFonts w:hint="eastAsia"/>
                      <w:color w:val="auto"/>
                      <w:lang w:val="en-US" w:eastAsia="zh-CN"/>
                    </w:rPr>
                    <w:t>噪声</w:t>
                  </w:r>
                </w:p>
              </w:tc>
              <w:tc>
                <w:tcPr>
                  <w:tcW w:w="1798" w:type="pct"/>
                  <w:tcBorders>
                    <w:tl2br w:val="nil"/>
                    <w:tr2bl w:val="nil"/>
                  </w:tcBorders>
                  <w:shd w:val="clear" w:color="auto" w:fill="auto"/>
                  <w:vAlign w:val="center"/>
                </w:tcPr>
                <w:p w14:paraId="3FEBF69E">
                  <w:pPr>
                    <w:pStyle w:val="23"/>
                    <w:bidi w:val="0"/>
                    <w:rPr>
                      <w:rFonts w:hint="default"/>
                      <w:color w:val="auto"/>
                      <w:lang w:val="en-US" w:eastAsia="zh-CN"/>
                    </w:rPr>
                  </w:pPr>
                  <w:r>
                    <w:rPr>
                      <w:rFonts w:hint="eastAsia"/>
                      <w:color w:val="auto"/>
                      <w:lang w:val="en-US" w:eastAsia="zh-CN"/>
                    </w:rPr>
                    <w:t>西宸御府临路侧楼栋</w:t>
                  </w:r>
                </w:p>
              </w:tc>
              <w:tc>
                <w:tcPr>
                  <w:tcW w:w="1250" w:type="pct"/>
                  <w:tcBorders>
                    <w:tl2br w:val="nil"/>
                    <w:tr2bl w:val="nil"/>
                  </w:tcBorders>
                  <w:shd w:val="clear" w:color="auto" w:fill="auto"/>
                  <w:vAlign w:val="center"/>
                </w:tcPr>
                <w:p w14:paraId="283D93DF">
                  <w:pPr>
                    <w:pStyle w:val="23"/>
                    <w:bidi w:val="0"/>
                    <w:rPr>
                      <w:color w:val="auto"/>
                      <w:lang w:val="en-US" w:eastAsia="zh-CN"/>
                    </w:rPr>
                  </w:pPr>
                  <w:r>
                    <w:rPr>
                      <w:rFonts w:hint="eastAsia"/>
                      <w:color w:val="auto"/>
                      <w:lang w:val="en-US" w:eastAsia="zh-CN"/>
                    </w:rPr>
                    <w:t>等效连续A声级</w:t>
                  </w:r>
                </w:p>
              </w:tc>
              <w:tc>
                <w:tcPr>
                  <w:tcW w:w="1250" w:type="pct"/>
                  <w:tcBorders>
                    <w:tl2br w:val="nil"/>
                    <w:tr2bl w:val="nil"/>
                  </w:tcBorders>
                  <w:shd w:val="clear" w:color="auto" w:fill="auto"/>
                  <w:vAlign w:val="center"/>
                </w:tcPr>
                <w:p w14:paraId="0F9BC399">
                  <w:pPr>
                    <w:pStyle w:val="23"/>
                    <w:bidi w:val="0"/>
                    <w:rPr>
                      <w:color w:val="auto"/>
                      <w:lang w:val="en-US" w:eastAsia="zh-CN"/>
                    </w:rPr>
                  </w:pPr>
                  <w:r>
                    <w:rPr>
                      <w:rFonts w:hint="eastAsia"/>
                      <w:color w:val="auto"/>
                      <w:lang w:val="en-US" w:eastAsia="zh-CN"/>
                    </w:rPr>
                    <w:t>每年监测一次</w:t>
                  </w:r>
                </w:p>
              </w:tc>
            </w:tr>
          </w:tbl>
          <w:p w14:paraId="706D2461">
            <w:pPr>
              <w:jc w:val="both"/>
              <w:rPr>
                <w:rFonts w:ascii="Times New Roman" w:hAnsi="Times New Roman" w:eastAsia="宋体"/>
                <w:color w:val="auto"/>
              </w:rPr>
            </w:pPr>
          </w:p>
        </w:tc>
      </w:tr>
      <w:tr w14:paraId="7E7D2D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57" w:type="dxa"/>
            <w:vAlign w:val="center"/>
          </w:tcPr>
          <w:p w14:paraId="4654216C">
            <w:pPr>
              <w:rPr>
                <w:rFonts w:hint="eastAsia" w:ascii="Times New Roman" w:hAnsi="Times New Roman" w:eastAsia="宋体"/>
                <w:color w:val="auto"/>
              </w:rPr>
            </w:pPr>
            <w:r>
              <w:rPr>
                <w:rFonts w:hint="eastAsia" w:ascii="Times New Roman" w:hAnsi="Times New Roman" w:eastAsia="宋体"/>
                <w:color w:val="auto"/>
              </w:rPr>
              <w:t>环保投资</w:t>
            </w:r>
          </w:p>
        </w:tc>
        <w:tc>
          <w:tcPr>
            <w:tcW w:w="8493" w:type="dxa"/>
            <w:vAlign w:val="center"/>
          </w:tcPr>
          <w:p w14:paraId="486A5DBD">
            <w:pPr>
              <w:pStyle w:val="3"/>
              <w:bidi w:val="0"/>
              <w:rPr>
                <w:color w:val="auto"/>
              </w:rPr>
            </w:pPr>
            <w:r>
              <w:rPr>
                <w:rFonts w:hint="eastAsia"/>
                <w:color w:val="auto"/>
              </w:rPr>
              <w:t>环保投资</w:t>
            </w:r>
          </w:p>
          <w:p w14:paraId="6C41B2B8">
            <w:pPr>
              <w:pStyle w:val="21"/>
              <w:bidi w:val="0"/>
              <w:rPr>
                <w:color w:val="auto"/>
              </w:rPr>
            </w:pPr>
            <w:r>
              <w:rPr>
                <w:color w:val="auto"/>
              </w:rPr>
              <w:t>本</w:t>
            </w:r>
            <w:r>
              <w:rPr>
                <w:rFonts w:hint="eastAsia"/>
                <w:color w:val="auto"/>
              </w:rPr>
              <w:t>项目</w:t>
            </w:r>
            <w:r>
              <w:rPr>
                <w:color w:val="auto"/>
              </w:rPr>
              <w:t>总投资</w:t>
            </w:r>
            <w:r>
              <w:rPr>
                <w:rFonts w:hint="eastAsia"/>
                <w:color w:val="auto"/>
                <w:lang w:val="en-US" w:eastAsia="zh-CN"/>
              </w:rPr>
              <w:t>3267.56</w:t>
            </w:r>
            <w:r>
              <w:rPr>
                <w:color w:val="auto"/>
              </w:rPr>
              <w:t>万元，其中环保投资约</w:t>
            </w:r>
            <w:r>
              <w:rPr>
                <w:rFonts w:hint="eastAsia"/>
                <w:color w:val="auto"/>
                <w:lang w:val="en-US" w:eastAsia="zh-CN"/>
              </w:rPr>
              <w:t>52.0</w:t>
            </w:r>
            <w:r>
              <w:rPr>
                <w:color w:val="auto"/>
              </w:rPr>
              <w:t>万元，占总投资的</w:t>
            </w:r>
            <w:r>
              <w:rPr>
                <w:rFonts w:hint="eastAsia"/>
                <w:color w:val="auto"/>
                <w:lang w:val="en-US" w:eastAsia="zh-CN"/>
              </w:rPr>
              <w:t>1.59</w:t>
            </w:r>
            <w:r>
              <w:rPr>
                <w:color w:val="auto"/>
              </w:rPr>
              <w:t>%，</w:t>
            </w:r>
            <w:r>
              <w:rPr>
                <w:rFonts w:hint="eastAsia"/>
                <w:color w:val="auto"/>
                <w:lang w:val="en-US" w:eastAsia="zh-CN"/>
              </w:rPr>
              <w:t>具体</w:t>
            </w:r>
            <w:r>
              <w:rPr>
                <w:color w:val="auto"/>
              </w:rPr>
              <w:t>见</w:t>
            </w:r>
            <w:r>
              <w:rPr>
                <w:rFonts w:hint="eastAsia"/>
                <w:color w:val="auto"/>
                <w:lang w:val="en-US" w:eastAsia="zh-CN"/>
              </w:rPr>
              <w:t>下</w:t>
            </w:r>
            <w:r>
              <w:rPr>
                <w:color w:val="auto"/>
              </w:rPr>
              <w:t>表。</w:t>
            </w:r>
          </w:p>
          <w:p w14:paraId="1C8353C0">
            <w:pPr>
              <w:pStyle w:val="6"/>
              <w:bidi w:val="0"/>
              <w:rPr>
                <w:color w:val="auto"/>
              </w:rPr>
            </w:pPr>
            <w:r>
              <w:rPr>
                <w:color w:val="auto"/>
              </w:rPr>
              <w:t>污染治理及生态保护措施汇总表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49"/>
              <w:gridCol w:w="754"/>
              <w:gridCol w:w="1274"/>
              <w:gridCol w:w="4427"/>
              <w:gridCol w:w="1273"/>
            </w:tblGrid>
            <w:tr w14:paraId="74D1B9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tcBorders>
                    <w:tl2br w:val="nil"/>
                    <w:tr2bl w:val="nil"/>
                  </w:tcBorders>
                  <w:vAlign w:val="center"/>
                </w:tcPr>
                <w:p w14:paraId="27C0CED3">
                  <w:pPr>
                    <w:pStyle w:val="23"/>
                    <w:bidi w:val="0"/>
                    <w:rPr>
                      <w:color w:val="auto"/>
                    </w:rPr>
                  </w:pPr>
                  <w:r>
                    <w:rPr>
                      <w:color w:val="auto"/>
                    </w:rPr>
                    <w:t>时段</w:t>
                  </w:r>
                </w:p>
              </w:tc>
              <w:tc>
                <w:tcPr>
                  <w:tcW w:w="754" w:type="dxa"/>
                  <w:tcBorders>
                    <w:tl2br w:val="nil"/>
                    <w:tr2bl w:val="nil"/>
                  </w:tcBorders>
                  <w:vAlign w:val="center"/>
                </w:tcPr>
                <w:p w14:paraId="72FABCA3">
                  <w:pPr>
                    <w:pStyle w:val="23"/>
                    <w:bidi w:val="0"/>
                    <w:rPr>
                      <w:color w:val="auto"/>
                    </w:rPr>
                  </w:pPr>
                  <w:r>
                    <w:rPr>
                      <w:color w:val="auto"/>
                    </w:rPr>
                    <w:t>环境</w:t>
                  </w:r>
                </w:p>
                <w:p w14:paraId="64F10674">
                  <w:pPr>
                    <w:pStyle w:val="23"/>
                    <w:bidi w:val="0"/>
                    <w:rPr>
                      <w:color w:val="auto"/>
                    </w:rPr>
                  </w:pPr>
                  <w:r>
                    <w:rPr>
                      <w:color w:val="auto"/>
                    </w:rPr>
                    <w:t>要素</w:t>
                  </w:r>
                </w:p>
              </w:tc>
              <w:tc>
                <w:tcPr>
                  <w:tcW w:w="1274" w:type="dxa"/>
                  <w:tcBorders>
                    <w:tl2br w:val="nil"/>
                    <w:tr2bl w:val="nil"/>
                  </w:tcBorders>
                  <w:vAlign w:val="center"/>
                </w:tcPr>
                <w:p w14:paraId="77FA2662">
                  <w:pPr>
                    <w:pStyle w:val="23"/>
                    <w:bidi w:val="0"/>
                    <w:rPr>
                      <w:color w:val="auto"/>
                    </w:rPr>
                  </w:pPr>
                  <w:r>
                    <w:rPr>
                      <w:color w:val="auto"/>
                    </w:rPr>
                    <w:t>治理项目</w:t>
                  </w:r>
                </w:p>
              </w:tc>
              <w:tc>
                <w:tcPr>
                  <w:tcW w:w="4427" w:type="dxa"/>
                  <w:tcBorders>
                    <w:tl2br w:val="nil"/>
                    <w:tr2bl w:val="nil"/>
                  </w:tcBorders>
                  <w:vAlign w:val="center"/>
                </w:tcPr>
                <w:p w14:paraId="05A7A8AD">
                  <w:pPr>
                    <w:pStyle w:val="23"/>
                    <w:bidi w:val="0"/>
                    <w:rPr>
                      <w:color w:val="auto"/>
                    </w:rPr>
                  </w:pPr>
                  <w:r>
                    <w:rPr>
                      <w:color w:val="auto"/>
                    </w:rPr>
                    <w:t>治理措施</w:t>
                  </w:r>
                </w:p>
              </w:tc>
              <w:tc>
                <w:tcPr>
                  <w:tcW w:w="1273" w:type="dxa"/>
                  <w:tcBorders>
                    <w:tl2br w:val="nil"/>
                    <w:tr2bl w:val="nil"/>
                  </w:tcBorders>
                  <w:vAlign w:val="center"/>
                </w:tcPr>
                <w:p w14:paraId="7C890253">
                  <w:pPr>
                    <w:pStyle w:val="23"/>
                    <w:bidi w:val="0"/>
                    <w:rPr>
                      <w:color w:val="auto"/>
                    </w:rPr>
                  </w:pPr>
                  <w:r>
                    <w:rPr>
                      <w:rFonts w:hint="eastAsia"/>
                      <w:color w:val="auto"/>
                      <w:lang w:val="en-US" w:eastAsia="zh-CN"/>
                    </w:rPr>
                    <w:t>环保</w:t>
                  </w:r>
                  <w:r>
                    <w:rPr>
                      <w:color w:val="auto"/>
                    </w:rPr>
                    <w:t>投资估算（万元）</w:t>
                  </w:r>
                </w:p>
              </w:tc>
            </w:tr>
            <w:tr w14:paraId="08E91E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restart"/>
                  <w:tcBorders>
                    <w:tl2br w:val="nil"/>
                    <w:tr2bl w:val="nil"/>
                  </w:tcBorders>
                  <w:vAlign w:val="center"/>
                </w:tcPr>
                <w:p w14:paraId="38B34263">
                  <w:pPr>
                    <w:pStyle w:val="23"/>
                    <w:bidi w:val="0"/>
                    <w:rPr>
                      <w:color w:val="auto"/>
                    </w:rPr>
                  </w:pPr>
                  <w:r>
                    <w:rPr>
                      <w:color w:val="auto"/>
                    </w:rPr>
                    <w:t>施工期</w:t>
                  </w:r>
                </w:p>
              </w:tc>
              <w:tc>
                <w:tcPr>
                  <w:tcW w:w="754" w:type="dxa"/>
                  <w:tcBorders>
                    <w:tl2br w:val="nil"/>
                    <w:tr2bl w:val="nil"/>
                  </w:tcBorders>
                  <w:vAlign w:val="center"/>
                </w:tcPr>
                <w:p w14:paraId="30531655">
                  <w:pPr>
                    <w:pStyle w:val="23"/>
                    <w:bidi w:val="0"/>
                    <w:rPr>
                      <w:color w:val="auto"/>
                    </w:rPr>
                  </w:pPr>
                  <w:r>
                    <w:rPr>
                      <w:color w:val="auto"/>
                    </w:rPr>
                    <w:t>环境空气</w:t>
                  </w:r>
                </w:p>
              </w:tc>
              <w:tc>
                <w:tcPr>
                  <w:tcW w:w="1274" w:type="dxa"/>
                  <w:tcBorders>
                    <w:tl2br w:val="nil"/>
                    <w:tr2bl w:val="nil"/>
                  </w:tcBorders>
                  <w:vAlign w:val="center"/>
                </w:tcPr>
                <w:p w14:paraId="441F1F1F">
                  <w:pPr>
                    <w:pStyle w:val="23"/>
                    <w:bidi w:val="0"/>
                    <w:rPr>
                      <w:rFonts w:hint="default" w:eastAsia="宋体"/>
                      <w:color w:val="auto"/>
                      <w:lang w:val="en-US" w:eastAsia="zh-CN"/>
                    </w:rPr>
                  </w:pPr>
                  <w:r>
                    <w:rPr>
                      <w:color w:val="auto"/>
                    </w:rPr>
                    <w:t>扬尘、</w:t>
                  </w:r>
                  <w:r>
                    <w:rPr>
                      <w:rFonts w:hint="eastAsia"/>
                      <w:color w:val="auto"/>
                      <w:lang w:val="en-US" w:eastAsia="zh-CN"/>
                    </w:rPr>
                    <w:t>施工机械尾气</w:t>
                  </w:r>
                </w:p>
              </w:tc>
              <w:tc>
                <w:tcPr>
                  <w:tcW w:w="4427" w:type="dxa"/>
                  <w:tcBorders>
                    <w:tl2br w:val="nil"/>
                    <w:tr2bl w:val="nil"/>
                  </w:tcBorders>
                  <w:vAlign w:val="center"/>
                </w:tcPr>
                <w:p w14:paraId="7DEABB81">
                  <w:pPr>
                    <w:pStyle w:val="23"/>
                    <w:bidi w:val="0"/>
                    <w:jc w:val="both"/>
                    <w:rPr>
                      <w:rFonts w:hint="eastAsia" w:eastAsia="宋体"/>
                      <w:color w:val="auto"/>
                      <w:lang w:eastAsia="zh-CN"/>
                    </w:rPr>
                  </w:pPr>
                  <w:r>
                    <w:rPr>
                      <w:rFonts w:hint="eastAsia"/>
                      <w:bCs/>
                      <w:color w:val="auto"/>
                      <w:sz w:val="21"/>
                      <w:szCs w:val="21"/>
                      <w:lang w:val="en-US" w:eastAsia="zh-CN"/>
                    </w:rPr>
                    <w:t>施工场地采取湿式作业，配备洒水、喷淋等降尘措施；设置车辆冲洗设施，严禁带泥上路；施工场地周围设围挡；易撒漏物料采用密闭运输，易扬尘物料、表土堆放过程采取覆盖措施；加强施工机械维护和保养</w:t>
                  </w:r>
                  <w:r>
                    <w:rPr>
                      <w:rFonts w:hint="eastAsia"/>
                      <w:bCs/>
                      <w:color w:val="auto"/>
                      <w:sz w:val="21"/>
                      <w:szCs w:val="21"/>
                      <w:lang w:eastAsia="zh-CN"/>
                    </w:rPr>
                    <w:t>。</w:t>
                  </w:r>
                </w:p>
              </w:tc>
              <w:tc>
                <w:tcPr>
                  <w:tcW w:w="1273" w:type="dxa"/>
                  <w:tcBorders>
                    <w:tl2br w:val="nil"/>
                    <w:tr2bl w:val="nil"/>
                  </w:tcBorders>
                  <w:vAlign w:val="center"/>
                </w:tcPr>
                <w:p w14:paraId="60F34AFE">
                  <w:pPr>
                    <w:pStyle w:val="23"/>
                    <w:bidi w:val="0"/>
                    <w:rPr>
                      <w:rFonts w:hint="default" w:eastAsia="宋体"/>
                      <w:color w:val="auto"/>
                      <w:lang w:val="en-US" w:eastAsia="zh-CN"/>
                    </w:rPr>
                  </w:pPr>
                  <w:r>
                    <w:rPr>
                      <w:rFonts w:hint="eastAsia"/>
                      <w:color w:val="auto"/>
                      <w:lang w:val="en-US" w:eastAsia="zh-CN"/>
                    </w:rPr>
                    <w:t>10.0</w:t>
                  </w:r>
                </w:p>
              </w:tc>
            </w:tr>
            <w:tr w14:paraId="65D9DB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continue"/>
                  <w:tcBorders>
                    <w:tl2br w:val="nil"/>
                    <w:tr2bl w:val="nil"/>
                  </w:tcBorders>
                  <w:vAlign w:val="center"/>
                </w:tcPr>
                <w:p w14:paraId="70DC989B">
                  <w:pPr>
                    <w:pStyle w:val="23"/>
                    <w:bidi w:val="0"/>
                    <w:rPr>
                      <w:color w:val="auto"/>
                    </w:rPr>
                  </w:pPr>
                </w:p>
              </w:tc>
              <w:tc>
                <w:tcPr>
                  <w:tcW w:w="754" w:type="dxa"/>
                  <w:vMerge w:val="restart"/>
                  <w:tcBorders>
                    <w:tl2br w:val="nil"/>
                    <w:tr2bl w:val="nil"/>
                  </w:tcBorders>
                  <w:vAlign w:val="center"/>
                </w:tcPr>
                <w:p w14:paraId="577799BD">
                  <w:pPr>
                    <w:pStyle w:val="23"/>
                    <w:bidi w:val="0"/>
                    <w:rPr>
                      <w:color w:val="auto"/>
                    </w:rPr>
                  </w:pPr>
                  <w:r>
                    <w:rPr>
                      <w:color w:val="auto"/>
                    </w:rPr>
                    <w:t>地表水</w:t>
                  </w:r>
                </w:p>
              </w:tc>
              <w:tc>
                <w:tcPr>
                  <w:tcW w:w="1274" w:type="dxa"/>
                  <w:tcBorders>
                    <w:tl2br w:val="nil"/>
                    <w:tr2bl w:val="nil"/>
                  </w:tcBorders>
                  <w:vAlign w:val="center"/>
                </w:tcPr>
                <w:p w14:paraId="28D8F141">
                  <w:pPr>
                    <w:pStyle w:val="23"/>
                    <w:bidi w:val="0"/>
                    <w:rPr>
                      <w:color w:val="auto"/>
                    </w:rPr>
                  </w:pPr>
                  <w:r>
                    <w:rPr>
                      <w:rFonts w:hint="eastAsia"/>
                      <w:color w:val="auto"/>
                    </w:rPr>
                    <w:t>施工废水</w:t>
                  </w:r>
                </w:p>
              </w:tc>
              <w:tc>
                <w:tcPr>
                  <w:tcW w:w="4427" w:type="dxa"/>
                  <w:tcBorders>
                    <w:tl2br w:val="nil"/>
                    <w:tr2bl w:val="nil"/>
                  </w:tcBorders>
                  <w:vAlign w:val="center"/>
                </w:tcPr>
                <w:p w14:paraId="60D17D66">
                  <w:pPr>
                    <w:pStyle w:val="23"/>
                    <w:bidi w:val="0"/>
                    <w:jc w:val="both"/>
                    <w:rPr>
                      <w:color w:val="auto"/>
                    </w:rPr>
                  </w:pPr>
                  <w:r>
                    <w:rPr>
                      <w:rFonts w:hint="eastAsia"/>
                      <w:color w:val="auto"/>
                      <w:lang w:eastAsia="zh-CN"/>
                    </w:rPr>
                    <w:t>施工场地内设置</w:t>
                  </w:r>
                  <w:r>
                    <w:rPr>
                      <w:rFonts w:hint="eastAsia"/>
                      <w:color w:val="auto"/>
                      <w:lang w:val="en-US" w:eastAsia="zh-CN"/>
                    </w:rPr>
                    <w:t>隔油</w:t>
                  </w:r>
                  <w:r>
                    <w:rPr>
                      <w:rFonts w:hint="eastAsia"/>
                      <w:color w:val="auto"/>
                      <w:lang w:eastAsia="zh-CN"/>
                    </w:rPr>
                    <w:t>沉淀池，场地进出口设置车辆清洗池，</w:t>
                  </w:r>
                  <w:r>
                    <w:rPr>
                      <w:rFonts w:hint="eastAsia"/>
                      <w:color w:val="auto"/>
                      <w:lang w:val="en-US" w:eastAsia="zh-CN"/>
                    </w:rPr>
                    <w:t>设备及</w:t>
                  </w:r>
                  <w:r>
                    <w:rPr>
                      <w:rFonts w:hint="eastAsia"/>
                      <w:color w:val="auto"/>
                      <w:lang w:eastAsia="zh-CN"/>
                    </w:rPr>
                    <w:t>运输车辆冲洗废水、</w:t>
                  </w:r>
                  <w:r>
                    <w:rPr>
                      <w:rFonts w:hint="eastAsia"/>
                      <w:color w:val="auto"/>
                      <w:lang w:val="en-US" w:eastAsia="zh-CN"/>
                    </w:rPr>
                    <w:t>桥梁</w:t>
                  </w:r>
                  <w:r>
                    <w:rPr>
                      <w:rFonts w:hint="eastAsia"/>
                      <w:color w:val="auto"/>
                      <w:lang w:eastAsia="zh-CN"/>
                    </w:rPr>
                    <w:t>基坑废水</w:t>
                  </w:r>
                  <w:r>
                    <w:rPr>
                      <w:rFonts w:hint="eastAsia"/>
                      <w:color w:val="auto"/>
                      <w:lang w:val="en-US" w:eastAsia="zh-CN"/>
                    </w:rPr>
                    <w:t>等</w:t>
                  </w:r>
                  <w:r>
                    <w:rPr>
                      <w:rFonts w:hint="eastAsia"/>
                      <w:color w:val="auto"/>
                      <w:lang w:eastAsia="zh-CN"/>
                    </w:rPr>
                    <w:t>施工废水经</w:t>
                  </w:r>
                  <w:r>
                    <w:rPr>
                      <w:rFonts w:hint="eastAsia"/>
                      <w:color w:val="auto"/>
                      <w:lang w:val="en-US" w:eastAsia="zh-CN"/>
                    </w:rPr>
                    <w:t>隔油</w:t>
                  </w:r>
                  <w:r>
                    <w:rPr>
                      <w:rFonts w:hint="eastAsia"/>
                      <w:color w:val="auto"/>
                      <w:lang w:eastAsia="zh-CN"/>
                    </w:rPr>
                    <w:t>沉淀处理后回用于冲洗、洒水降尘</w:t>
                  </w:r>
                  <w:r>
                    <w:rPr>
                      <w:color w:val="auto"/>
                    </w:rPr>
                    <w:t>。</w:t>
                  </w:r>
                </w:p>
              </w:tc>
              <w:tc>
                <w:tcPr>
                  <w:tcW w:w="1273" w:type="dxa"/>
                  <w:tcBorders>
                    <w:tl2br w:val="nil"/>
                    <w:tr2bl w:val="nil"/>
                  </w:tcBorders>
                  <w:vAlign w:val="center"/>
                </w:tcPr>
                <w:p w14:paraId="7169F70A">
                  <w:pPr>
                    <w:pStyle w:val="23"/>
                    <w:bidi w:val="0"/>
                    <w:rPr>
                      <w:rFonts w:hint="default" w:eastAsia="宋体"/>
                      <w:color w:val="auto"/>
                      <w:lang w:val="en-US" w:eastAsia="zh-CN"/>
                    </w:rPr>
                  </w:pPr>
                  <w:r>
                    <w:rPr>
                      <w:rFonts w:hint="eastAsia"/>
                      <w:color w:val="auto"/>
                      <w:lang w:val="en-US" w:eastAsia="zh-CN"/>
                    </w:rPr>
                    <w:t>2.0</w:t>
                  </w:r>
                </w:p>
              </w:tc>
            </w:tr>
            <w:tr w14:paraId="61B70B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continue"/>
                  <w:tcBorders>
                    <w:tl2br w:val="nil"/>
                    <w:tr2bl w:val="nil"/>
                  </w:tcBorders>
                  <w:vAlign w:val="center"/>
                </w:tcPr>
                <w:p w14:paraId="7311FD96">
                  <w:pPr>
                    <w:pStyle w:val="23"/>
                    <w:bidi w:val="0"/>
                    <w:rPr>
                      <w:color w:val="auto"/>
                    </w:rPr>
                  </w:pPr>
                </w:p>
              </w:tc>
              <w:tc>
                <w:tcPr>
                  <w:tcW w:w="754" w:type="dxa"/>
                  <w:vMerge w:val="continue"/>
                  <w:tcBorders>
                    <w:tl2br w:val="nil"/>
                    <w:tr2bl w:val="nil"/>
                  </w:tcBorders>
                  <w:vAlign w:val="center"/>
                </w:tcPr>
                <w:p w14:paraId="798757F9">
                  <w:pPr>
                    <w:pStyle w:val="23"/>
                    <w:bidi w:val="0"/>
                    <w:rPr>
                      <w:color w:val="auto"/>
                    </w:rPr>
                  </w:pPr>
                </w:p>
              </w:tc>
              <w:tc>
                <w:tcPr>
                  <w:tcW w:w="1274" w:type="dxa"/>
                  <w:tcBorders>
                    <w:tl2br w:val="nil"/>
                    <w:tr2bl w:val="nil"/>
                  </w:tcBorders>
                  <w:vAlign w:val="center"/>
                </w:tcPr>
                <w:p w14:paraId="2FCC606A">
                  <w:pPr>
                    <w:pStyle w:val="23"/>
                    <w:bidi w:val="0"/>
                    <w:rPr>
                      <w:color w:val="auto"/>
                    </w:rPr>
                  </w:pPr>
                  <w:r>
                    <w:rPr>
                      <w:color w:val="auto"/>
                    </w:rPr>
                    <w:t>生活污水</w:t>
                  </w:r>
                </w:p>
              </w:tc>
              <w:tc>
                <w:tcPr>
                  <w:tcW w:w="4427" w:type="dxa"/>
                  <w:tcBorders>
                    <w:tl2br w:val="nil"/>
                    <w:tr2bl w:val="nil"/>
                  </w:tcBorders>
                  <w:vAlign w:val="center"/>
                </w:tcPr>
                <w:p w14:paraId="5DE5A05E">
                  <w:pPr>
                    <w:pStyle w:val="23"/>
                    <w:bidi w:val="0"/>
                    <w:jc w:val="both"/>
                    <w:rPr>
                      <w:color w:val="auto"/>
                    </w:rPr>
                  </w:pPr>
                  <w:r>
                    <w:rPr>
                      <w:rFonts w:hint="eastAsia"/>
                      <w:color w:val="auto"/>
                      <w:lang w:val="en-US" w:eastAsia="zh-CN"/>
                    </w:rPr>
                    <w:t>项目施工办公生活采用租赁周边现有房屋，施工人员办公生活产生的生活污水依托周边现有的污水设施处理后经市政污水管网进入奉节西部新区污水处理厂处理</w:t>
                  </w:r>
                  <w:r>
                    <w:rPr>
                      <w:rFonts w:hint="eastAsia"/>
                      <w:color w:val="auto"/>
                    </w:rPr>
                    <w:t>。</w:t>
                  </w:r>
                </w:p>
              </w:tc>
              <w:tc>
                <w:tcPr>
                  <w:tcW w:w="1273" w:type="dxa"/>
                  <w:tcBorders>
                    <w:tl2br w:val="nil"/>
                    <w:tr2bl w:val="nil"/>
                  </w:tcBorders>
                  <w:vAlign w:val="center"/>
                </w:tcPr>
                <w:p w14:paraId="420E871C">
                  <w:pPr>
                    <w:pStyle w:val="23"/>
                    <w:bidi w:val="0"/>
                    <w:rPr>
                      <w:rFonts w:hint="default" w:eastAsia="宋体"/>
                      <w:color w:val="auto"/>
                      <w:lang w:val="en-US" w:eastAsia="zh-CN"/>
                    </w:rPr>
                  </w:pPr>
                  <w:r>
                    <w:rPr>
                      <w:rFonts w:hint="eastAsia"/>
                      <w:color w:val="auto"/>
                      <w:lang w:val="en-US" w:eastAsia="zh-CN"/>
                    </w:rPr>
                    <w:t>0.5</w:t>
                  </w:r>
                </w:p>
              </w:tc>
            </w:tr>
            <w:tr w14:paraId="5DA025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continue"/>
                  <w:tcBorders>
                    <w:tl2br w:val="nil"/>
                    <w:tr2bl w:val="nil"/>
                  </w:tcBorders>
                  <w:vAlign w:val="center"/>
                </w:tcPr>
                <w:p w14:paraId="677B3BB0">
                  <w:pPr>
                    <w:pStyle w:val="23"/>
                    <w:bidi w:val="0"/>
                    <w:rPr>
                      <w:color w:val="auto"/>
                    </w:rPr>
                  </w:pPr>
                </w:p>
              </w:tc>
              <w:tc>
                <w:tcPr>
                  <w:tcW w:w="754" w:type="dxa"/>
                  <w:tcBorders>
                    <w:tl2br w:val="nil"/>
                    <w:tr2bl w:val="nil"/>
                  </w:tcBorders>
                  <w:vAlign w:val="center"/>
                </w:tcPr>
                <w:p w14:paraId="677D0B4D">
                  <w:pPr>
                    <w:pStyle w:val="23"/>
                    <w:bidi w:val="0"/>
                    <w:rPr>
                      <w:color w:val="auto"/>
                    </w:rPr>
                  </w:pPr>
                  <w:r>
                    <w:rPr>
                      <w:color w:val="auto"/>
                    </w:rPr>
                    <w:t>声环境</w:t>
                  </w:r>
                </w:p>
              </w:tc>
              <w:tc>
                <w:tcPr>
                  <w:tcW w:w="1274" w:type="dxa"/>
                  <w:tcBorders>
                    <w:tl2br w:val="nil"/>
                    <w:tr2bl w:val="nil"/>
                  </w:tcBorders>
                  <w:vAlign w:val="center"/>
                </w:tcPr>
                <w:p w14:paraId="324599C5">
                  <w:pPr>
                    <w:pStyle w:val="23"/>
                    <w:bidi w:val="0"/>
                    <w:rPr>
                      <w:color w:val="auto"/>
                    </w:rPr>
                  </w:pPr>
                  <w:r>
                    <w:rPr>
                      <w:color w:val="auto"/>
                    </w:rPr>
                    <w:t>施工噪声</w:t>
                  </w:r>
                </w:p>
              </w:tc>
              <w:tc>
                <w:tcPr>
                  <w:tcW w:w="4427" w:type="dxa"/>
                  <w:tcBorders>
                    <w:tl2br w:val="nil"/>
                    <w:tr2bl w:val="nil"/>
                  </w:tcBorders>
                  <w:vAlign w:val="center"/>
                </w:tcPr>
                <w:p w14:paraId="6978D591">
                  <w:pPr>
                    <w:pStyle w:val="23"/>
                    <w:bidi w:val="0"/>
                    <w:jc w:val="both"/>
                    <w:rPr>
                      <w:color w:val="auto"/>
                    </w:rPr>
                  </w:pPr>
                  <w:r>
                    <w:rPr>
                      <w:rFonts w:hint="eastAsia"/>
                      <w:color w:val="auto"/>
                      <w:lang w:val="en-US" w:eastAsia="zh-CN"/>
                    </w:rPr>
                    <w:t>合理安排施工时间，选用低噪声设备，施工工地内合理布置施工设备；施工场地周围设围挡，合理安排材料运输路线，运输车辆限速、禁鸣；加强施工现场管理，加强施工设备维护和保养。</w:t>
                  </w:r>
                </w:p>
              </w:tc>
              <w:tc>
                <w:tcPr>
                  <w:tcW w:w="1273" w:type="dxa"/>
                  <w:tcBorders>
                    <w:tl2br w:val="nil"/>
                    <w:tr2bl w:val="nil"/>
                  </w:tcBorders>
                  <w:vAlign w:val="center"/>
                </w:tcPr>
                <w:p w14:paraId="334E8691">
                  <w:pPr>
                    <w:pStyle w:val="23"/>
                    <w:bidi w:val="0"/>
                    <w:rPr>
                      <w:rFonts w:hint="default" w:eastAsia="宋体"/>
                      <w:color w:val="auto"/>
                      <w:lang w:val="en-US" w:eastAsia="zh-CN"/>
                    </w:rPr>
                  </w:pPr>
                  <w:r>
                    <w:rPr>
                      <w:rFonts w:hint="eastAsia"/>
                      <w:color w:val="auto"/>
                      <w:lang w:val="en-US" w:eastAsia="zh-CN"/>
                    </w:rPr>
                    <w:t>2.0</w:t>
                  </w:r>
                </w:p>
              </w:tc>
            </w:tr>
            <w:tr w14:paraId="0C9143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continue"/>
                  <w:tcBorders>
                    <w:tl2br w:val="nil"/>
                    <w:tr2bl w:val="nil"/>
                  </w:tcBorders>
                  <w:vAlign w:val="center"/>
                </w:tcPr>
                <w:p w14:paraId="1FDC4F73">
                  <w:pPr>
                    <w:pStyle w:val="23"/>
                    <w:bidi w:val="0"/>
                    <w:rPr>
                      <w:color w:val="auto"/>
                    </w:rPr>
                  </w:pPr>
                </w:p>
              </w:tc>
              <w:tc>
                <w:tcPr>
                  <w:tcW w:w="754" w:type="dxa"/>
                  <w:vMerge w:val="restart"/>
                  <w:tcBorders>
                    <w:tl2br w:val="nil"/>
                    <w:tr2bl w:val="nil"/>
                  </w:tcBorders>
                  <w:vAlign w:val="center"/>
                </w:tcPr>
                <w:p w14:paraId="125E1EC9">
                  <w:pPr>
                    <w:pStyle w:val="23"/>
                    <w:bidi w:val="0"/>
                    <w:rPr>
                      <w:color w:val="auto"/>
                    </w:rPr>
                  </w:pPr>
                  <w:r>
                    <w:rPr>
                      <w:color w:val="auto"/>
                    </w:rPr>
                    <w:t>固体废物</w:t>
                  </w:r>
                </w:p>
              </w:tc>
              <w:tc>
                <w:tcPr>
                  <w:tcW w:w="1274" w:type="dxa"/>
                  <w:tcBorders>
                    <w:tl2br w:val="nil"/>
                    <w:tr2bl w:val="nil"/>
                  </w:tcBorders>
                  <w:vAlign w:val="center"/>
                </w:tcPr>
                <w:p w14:paraId="666A87B7">
                  <w:pPr>
                    <w:pStyle w:val="23"/>
                    <w:bidi w:val="0"/>
                    <w:rPr>
                      <w:rFonts w:hint="default" w:cstheme="minorBidi"/>
                      <w:color w:val="auto"/>
                      <w:kern w:val="2"/>
                      <w:sz w:val="21"/>
                      <w:szCs w:val="21"/>
                      <w:lang w:val="en-US" w:eastAsia="zh-CN" w:bidi="ar-SA"/>
                      <w14:ligatures w14:val="standardContextual"/>
                    </w:rPr>
                  </w:pPr>
                  <w:r>
                    <w:rPr>
                      <w:rFonts w:hint="eastAsia" w:cstheme="minorBidi"/>
                      <w:color w:val="auto"/>
                      <w:kern w:val="2"/>
                      <w:sz w:val="21"/>
                      <w:szCs w:val="21"/>
                      <w:lang w:val="en-US" w:eastAsia="zh-CN" w:bidi="ar-SA"/>
                      <w14:ligatures w14:val="standardContextual"/>
                    </w:rPr>
                    <w:t>表土</w:t>
                  </w:r>
                </w:p>
              </w:tc>
              <w:tc>
                <w:tcPr>
                  <w:tcW w:w="4427" w:type="dxa"/>
                  <w:tcBorders>
                    <w:tl2br w:val="nil"/>
                    <w:tr2bl w:val="nil"/>
                  </w:tcBorders>
                  <w:vAlign w:val="center"/>
                </w:tcPr>
                <w:p w14:paraId="1BF56DD4">
                  <w:pPr>
                    <w:pStyle w:val="23"/>
                    <w:bidi w:val="0"/>
                    <w:jc w:val="both"/>
                    <w:rPr>
                      <w:rFonts w:hint="eastAsia"/>
                      <w:color w:val="auto"/>
                      <w:lang w:val="en-US" w:eastAsia="zh-CN"/>
                    </w:rPr>
                  </w:pPr>
                  <w:r>
                    <w:rPr>
                      <w:rFonts w:hint="eastAsia"/>
                      <w:color w:val="auto"/>
                      <w:lang w:val="en-US" w:eastAsia="zh-CN"/>
                    </w:rPr>
                    <w:t>表土堆放于施工场地的表土临时堆放区内，堆放过程采取覆盖、拦挡等措施，用于路基边坡、景观绿化用土。</w:t>
                  </w:r>
                </w:p>
              </w:tc>
              <w:tc>
                <w:tcPr>
                  <w:tcW w:w="1273" w:type="dxa"/>
                  <w:tcBorders>
                    <w:tl2br w:val="nil"/>
                    <w:tr2bl w:val="nil"/>
                  </w:tcBorders>
                  <w:vAlign w:val="center"/>
                </w:tcPr>
                <w:p w14:paraId="28A59B2C">
                  <w:pPr>
                    <w:pStyle w:val="23"/>
                    <w:bidi w:val="0"/>
                    <w:rPr>
                      <w:rFonts w:hint="default" w:eastAsia="宋体"/>
                      <w:color w:val="auto"/>
                      <w:lang w:val="en-US" w:eastAsia="zh-CN"/>
                    </w:rPr>
                  </w:pPr>
                  <w:r>
                    <w:rPr>
                      <w:rFonts w:hint="eastAsia"/>
                      <w:color w:val="auto"/>
                      <w:lang w:val="en-US" w:eastAsia="zh-CN"/>
                    </w:rPr>
                    <w:t>0.5</w:t>
                  </w:r>
                </w:p>
              </w:tc>
            </w:tr>
            <w:tr w14:paraId="343183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continue"/>
                  <w:tcBorders>
                    <w:tl2br w:val="nil"/>
                    <w:tr2bl w:val="nil"/>
                  </w:tcBorders>
                  <w:vAlign w:val="center"/>
                </w:tcPr>
                <w:p w14:paraId="1E330461">
                  <w:pPr>
                    <w:pStyle w:val="23"/>
                    <w:bidi w:val="0"/>
                    <w:rPr>
                      <w:color w:val="auto"/>
                    </w:rPr>
                  </w:pPr>
                </w:p>
              </w:tc>
              <w:tc>
                <w:tcPr>
                  <w:tcW w:w="754" w:type="dxa"/>
                  <w:vMerge w:val="continue"/>
                  <w:tcBorders>
                    <w:tl2br w:val="nil"/>
                    <w:tr2bl w:val="nil"/>
                  </w:tcBorders>
                  <w:vAlign w:val="center"/>
                </w:tcPr>
                <w:p w14:paraId="7E3B87D8">
                  <w:pPr>
                    <w:pStyle w:val="23"/>
                    <w:bidi w:val="0"/>
                    <w:rPr>
                      <w:color w:val="auto"/>
                    </w:rPr>
                  </w:pPr>
                </w:p>
              </w:tc>
              <w:tc>
                <w:tcPr>
                  <w:tcW w:w="1274" w:type="dxa"/>
                  <w:tcBorders>
                    <w:tl2br w:val="nil"/>
                    <w:tr2bl w:val="nil"/>
                  </w:tcBorders>
                  <w:vAlign w:val="center"/>
                </w:tcPr>
                <w:p w14:paraId="150545BE">
                  <w:pPr>
                    <w:pStyle w:val="23"/>
                    <w:bidi w:val="0"/>
                    <w:rPr>
                      <w:rFonts w:hint="default" w:ascii="Times New Roman" w:hAnsi="Times New Roman" w:eastAsia="宋体" w:cstheme="minorBidi"/>
                      <w:color w:val="auto"/>
                      <w:kern w:val="2"/>
                      <w:sz w:val="21"/>
                      <w:szCs w:val="21"/>
                      <w:lang w:val="en-US" w:eastAsia="zh-CN" w:bidi="ar-SA"/>
                      <w14:ligatures w14:val="standardContextual"/>
                    </w:rPr>
                  </w:pPr>
                  <w:r>
                    <w:rPr>
                      <w:rFonts w:hint="eastAsia" w:cstheme="minorBidi"/>
                      <w:color w:val="auto"/>
                      <w:kern w:val="2"/>
                      <w:sz w:val="21"/>
                      <w:szCs w:val="21"/>
                      <w:lang w:val="en-US" w:eastAsia="zh-CN" w:bidi="ar-SA"/>
                      <w14:ligatures w14:val="standardContextual"/>
                    </w:rPr>
                    <w:t>弃方</w:t>
                  </w:r>
                </w:p>
              </w:tc>
              <w:tc>
                <w:tcPr>
                  <w:tcW w:w="4427" w:type="dxa"/>
                  <w:tcBorders>
                    <w:tl2br w:val="nil"/>
                    <w:tr2bl w:val="nil"/>
                  </w:tcBorders>
                  <w:vAlign w:val="center"/>
                </w:tcPr>
                <w:p w14:paraId="04FB8CB3">
                  <w:pPr>
                    <w:pStyle w:val="23"/>
                    <w:bidi w:val="0"/>
                    <w:jc w:val="both"/>
                    <w:rPr>
                      <w:rFonts w:hint="eastAsia" w:ascii="Times New Roman" w:hAnsi="Times New Roman" w:eastAsia="宋体" w:cstheme="minorBidi"/>
                      <w:color w:val="auto"/>
                      <w:kern w:val="2"/>
                      <w:sz w:val="21"/>
                      <w:szCs w:val="21"/>
                      <w:lang w:val="en-US" w:eastAsia="zh-CN" w:bidi="ar-SA"/>
                      <w14:ligatures w14:val="standardContextual"/>
                    </w:rPr>
                  </w:pPr>
                  <w:r>
                    <w:rPr>
                      <w:rFonts w:hint="eastAsia"/>
                      <w:color w:val="auto"/>
                      <w:lang w:val="en-US" w:eastAsia="zh-CN"/>
                    </w:rPr>
                    <w:t>调运至</w:t>
                  </w:r>
                  <w:r>
                    <w:rPr>
                      <w:rFonts w:hint="eastAsia"/>
                      <w:color w:val="auto"/>
                      <w:lang w:eastAsia="zh-CN"/>
                    </w:rPr>
                    <w:t>周边</w:t>
                  </w:r>
                  <w:r>
                    <w:rPr>
                      <w:rFonts w:hint="eastAsia"/>
                      <w:color w:val="auto"/>
                      <w:lang w:val="en-US" w:eastAsia="zh-CN"/>
                    </w:rPr>
                    <w:t>建设项目进行平衡，采取密闭运输、车辆禁止带泥上路</w:t>
                  </w:r>
                  <w:r>
                    <w:rPr>
                      <w:rFonts w:hint="eastAsia"/>
                      <w:color w:val="auto"/>
                    </w:rPr>
                    <w:t>。</w:t>
                  </w:r>
                </w:p>
              </w:tc>
              <w:tc>
                <w:tcPr>
                  <w:tcW w:w="1273" w:type="dxa"/>
                  <w:tcBorders>
                    <w:tl2br w:val="nil"/>
                    <w:tr2bl w:val="nil"/>
                  </w:tcBorders>
                  <w:vAlign w:val="center"/>
                </w:tcPr>
                <w:p w14:paraId="09C663C4">
                  <w:pPr>
                    <w:pStyle w:val="23"/>
                    <w:bidi w:val="0"/>
                    <w:rPr>
                      <w:rFonts w:hint="default" w:eastAsia="宋体"/>
                      <w:color w:val="auto"/>
                      <w:lang w:val="en-US" w:eastAsia="zh-CN"/>
                    </w:rPr>
                  </w:pPr>
                  <w:r>
                    <w:rPr>
                      <w:rFonts w:hint="eastAsia"/>
                      <w:color w:val="auto"/>
                      <w:lang w:val="en-US" w:eastAsia="zh-CN"/>
                    </w:rPr>
                    <w:t>1.5</w:t>
                  </w:r>
                </w:p>
              </w:tc>
            </w:tr>
            <w:tr w14:paraId="6D04E5D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continue"/>
                  <w:tcBorders>
                    <w:tl2br w:val="nil"/>
                    <w:tr2bl w:val="nil"/>
                  </w:tcBorders>
                  <w:vAlign w:val="center"/>
                </w:tcPr>
                <w:p w14:paraId="7B098A88">
                  <w:pPr>
                    <w:pStyle w:val="23"/>
                    <w:bidi w:val="0"/>
                    <w:rPr>
                      <w:color w:val="auto"/>
                    </w:rPr>
                  </w:pPr>
                </w:p>
              </w:tc>
              <w:tc>
                <w:tcPr>
                  <w:tcW w:w="754" w:type="dxa"/>
                  <w:vMerge w:val="continue"/>
                  <w:tcBorders>
                    <w:tl2br w:val="nil"/>
                    <w:tr2bl w:val="nil"/>
                  </w:tcBorders>
                  <w:vAlign w:val="center"/>
                </w:tcPr>
                <w:p w14:paraId="65856249">
                  <w:pPr>
                    <w:pStyle w:val="23"/>
                    <w:bidi w:val="0"/>
                    <w:rPr>
                      <w:color w:val="auto"/>
                    </w:rPr>
                  </w:pPr>
                </w:p>
              </w:tc>
              <w:tc>
                <w:tcPr>
                  <w:tcW w:w="1274" w:type="dxa"/>
                  <w:tcBorders>
                    <w:tl2br w:val="nil"/>
                    <w:tr2bl w:val="nil"/>
                  </w:tcBorders>
                  <w:vAlign w:val="center"/>
                </w:tcPr>
                <w:p w14:paraId="796AC2E0">
                  <w:pPr>
                    <w:pStyle w:val="23"/>
                    <w:bidi w:val="0"/>
                    <w:rPr>
                      <w:rFonts w:hint="default" w:eastAsia="宋体"/>
                      <w:color w:val="auto"/>
                      <w:lang w:val="en-US" w:eastAsia="zh-CN"/>
                    </w:rPr>
                  </w:pPr>
                  <w:r>
                    <w:rPr>
                      <w:rFonts w:hint="eastAsia"/>
                      <w:color w:val="auto"/>
                      <w:lang w:val="en-US" w:eastAsia="zh-CN"/>
                    </w:rPr>
                    <w:t>生活垃圾</w:t>
                  </w:r>
                </w:p>
              </w:tc>
              <w:tc>
                <w:tcPr>
                  <w:tcW w:w="4427" w:type="dxa"/>
                  <w:tcBorders>
                    <w:tl2br w:val="nil"/>
                    <w:tr2bl w:val="nil"/>
                  </w:tcBorders>
                  <w:vAlign w:val="center"/>
                </w:tcPr>
                <w:p w14:paraId="68583BDE">
                  <w:pPr>
                    <w:pStyle w:val="23"/>
                    <w:bidi w:val="0"/>
                    <w:jc w:val="both"/>
                    <w:rPr>
                      <w:color w:val="auto"/>
                    </w:rPr>
                  </w:pPr>
                  <w:r>
                    <w:rPr>
                      <w:rFonts w:hint="eastAsia"/>
                      <w:color w:val="auto"/>
                      <w:lang w:val="en-US" w:eastAsia="zh-CN"/>
                    </w:rPr>
                    <w:t>依托周边收集设施收集并由当地环卫系统收运处置。</w:t>
                  </w:r>
                </w:p>
              </w:tc>
              <w:tc>
                <w:tcPr>
                  <w:tcW w:w="1273" w:type="dxa"/>
                  <w:tcBorders>
                    <w:tl2br w:val="nil"/>
                    <w:tr2bl w:val="nil"/>
                  </w:tcBorders>
                  <w:vAlign w:val="center"/>
                </w:tcPr>
                <w:p w14:paraId="4A5F3C92">
                  <w:pPr>
                    <w:pStyle w:val="23"/>
                    <w:bidi w:val="0"/>
                    <w:rPr>
                      <w:rFonts w:hint="default" w:eastAsia="宋体"/>
                      <w:color w:val="auto"/>
                      <w:lang w:val="en-US" w:eastAsia="zh-CN"/>
                    </w:rPr>
                  </w:pPr>
                  <w:r>
                    <w:rPr>
                      <w:rFonts w:hint="eastAsia"/>
                      <w:color w:val="auto"/>
                      <w:lang w:val="en-US" w:eastAsia="zh-CN"/>
                    </w:rPr>
                    <w:t>0.5</w:t>
                  </w:r>
                </w:p>
              </w:tc>
            </w:tr>
            <w:tr w14:paraId="1CBB57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continue"/>
                  <w:tcBorders>
                    <w:tl2br w:val="nil"/>
                    <w:tr2bl w:val="nil"/>
                  </w:tcBorders>
                  <w:vAlign w:val="center"/>
                </w:tcPr>
                <w:p w14:paraId="7700AA13">
                  <w:pPr>
                    <w:pStyle w:val="23"/>
                    <w:bidi w:val="0"/>
                    <w:rPr>
                      <w:color w:val="auto"/>
                    </w:rPr>
                  </w:pPr>
                </w:p>
              </w:tc>
              <w:tc>
                <w:tcPr>
                  <w:tcW w:w="754" w:type="dxa"/>
                  <w:tcBorders>
                    <w:tl2br w:val="nil"/>
                    <w:tr2bl w:val="nil"/>
                  </w:tcBorders>
                  <w:vAlign w:val="center"/>
                </w:tcPr>
                <w:p w14:paraId="26742992">
                  <w:pPr>
                    <w:pStyle w:val="23"/>
                    <w:bidi w:val="0"/>
                    <w:rPr>
                      <w:color w:val="auto"/>
                    </w:rPr>
                  </w:pPr>
                  <w:r>
                    <w:rPr>
                      <w:color w:val="auto"/>
                    </w:rPr>
                    <w:t>生态环境</w:t>
                  </w:r>
                </w:p>
              </w:tc>
              <w:tc>
                <w:tcPr>
                  <w:tcW w:w="1274" w:type="dxa"/>
                  <w:tcBorders>
                    <w:tl2br w:val="nil"/>
                    <w:tr2bl w:val="nil"/>
                  </w:tcBorders>
                  <w:vAlign w:val="center"/>
                </w:tcPr>
                <w:p w14:paraId="25201ECC">
                  <w:pPr>
                    <w:pStyle w:val="23"/>
                    <w:bidi w:val="0"/>
                    <w:rPr>
                      <w:rFonts w:hint="default" w:eastAsia="宋体"/>
                      <w:color w:val="auto"/>
                      <w:lang w:val="en-US" w:eastAsia="zh-CN"/>
                    </w:rPr>
                  </w:pPr>
                  <w:r>
                    <w:rPr>
                      <w:rFonts w:hint="eastAsia"/>
                      <w:color w:val="auto"/>
                      <w:lang w:val="en-US" w:eastAsia="zh-CN"/>
                    </w:rPr>
                    <w:t>水土流失、占地、景观绿化等</w:t>
                  </w:r>
                </w:p>
              </w:tc>
              <w:tc>
                <w:tcPr>
                  <w:tcW w:w="4427" w:type="dxa"/>
                  <w:tcBorders>
                    <w:tl2br w:val="nil"/>
                    <w:tr2bl w:val="nil"/>
                  </w:tcBorders>
                  <w:vAlign w:val="center"/>
                </w:tcPr>
                <w:p w14:paraId="6A8C5763">
                  <w:pPr>
                    <w:pStyle w:val="23"/>
                    <w:bidi w:val="0"/>
                    <w:jc w:val="both"/>
                    <w:rPr>
                      <w:color w:val="auto"/>
                    </w:rPr>
                  </w:pPr>
                  <w:r>
                    <w:rPr>
                      <w:rFonts w:hint="eastAsia"/>
                      <w:color w:val="auto"/>
                      <w:lang w:val="en-US" w:eastAsia="zh-CN"/>
                    </w:rPr>
                    <w:t>严格控制施工作业范围，不占用划定范围之外的用地；进行占地范围内表土剥离并堆放于表土临时堆放区内，堆放过程采取覆盖、拦挡等措施，后期用于路基边坡、景观绿化用土；路基开挖尽量避开雨季施工，做好排水措施；完成道路边坡绿化、景观绿化；按水土保持方案实施水土保持措施；施工结束后拆除施工场地内的设施，进行场地清理和平整，该施工场地占地范围经修建为万达广场商业广场，无需进行生态恢复。</w:t>
                  </w:r>
                </w:p>
              </w:tc>
              <w:tc>
                <w:tcPr>
                  <w:tcW w:w="1273" w:type="dxa"/>
                  <w:tcBorders>
                    <w:tl2br w:val="nil"/>
                    <w:tr2bl w:val="nil"/>
                  </w:tcBorders>
                  <w:vAlign w:val="center"/>
                </w:tcPr>
                <w:p w14:paraId="342E4D59">
                  <w:pPr>
                    <w:pStyle w:val="23"/>
                    <w:bidi w:val="0"/>
                    <w:rPr>
                      <w:color w:val="auto"/>
                    </w:rPr>
                  </w:pPr>
                  <w:r>
                    <w:rPr>
                      <w:rFonts w:hint="eastAsia"/>
                      <w:color w:val="auto"/>
                    </w:rPr>
                    <w:t>纳入</w:t>
                  </w:r>
                  <w:r>
                    <w:rPr>
                      <w:color w:val="auto"/>
                    </w:rPr>
                    <w:t>水保</w:t>
                  </w:r>
                  <w:r>
                    <w:rPr>
                      <w:rFonts w:hint="eastAsia"/>
                      <w:color w:val="auto"/>
                    </w:rPr>
                    <w:t>工程</w:t>
                  </w:r>
                  <w:r>
                    <w:rPr>
                      <w:color w:val="auto"/>
                    </w:rPr>
                    <w:t>和主体</w:t>
                  </w:r>
                  <w:r>
                    <w:rPr>
                      <w:rFonts w:hint="eastAsia"/>
                      <w:color w:val="auto"/>
                    </w:rPr>
                    <w:t>工程</w:t>
                  </w:r>
                </w:p>
              </w:tc>
            </w:tr>
            <w:tr w14:paraId="771AB7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restart"/>
                  <w:tcBorders>
                    <w:tl2br w:val="nil"/>
                    <w:tr2bl w:val="nil"/>
                  </w:tcBorders>
                  <w:vAlign w:val="center"/>
                </w:tcPr>
                <w:p w14:paraId="0E4A8CF3">
                  <w:pPr>
                    <w:pStyle w:val="23"/>
                    <w:bidi w:val="0"/>
                    <w:rPr>
                      <w:color w:val="auto"/>
                    </w:rPr>
                  </w:pPr>
                  <w:r>
                    <w:rPr>
                      <w:color w:val="auto"/>
                    </w:rPr>
                    <w:t>运营期</w:t>
                  </w:r>
                </w:p>
              </w:tc>
              <w:tc>
                <w:tcPr>
                  <w:tcW w:w="754" w:type="dxa"/>
                  <w:tcBorders>
                    <w:tl2br w:val="nil"/>
                    <w:tr2bl w:val="nil"/>
                  </w:tcBorders>
                  <w:vAlign w:val="center"/>
                </w:tcPr>
                <w:p w14:paraId="7F69AC8A">
                  <w:pPr>
                    <w:pStyle w:val="23"/>
                    <w:bidi w:val="0"/>
                    <w:rPr>
                      <w:color w:val="auto"/>
                    </w:rPr>
                  </w:pPr>
                  <w:r>
                    <w:rPr>
                      <w:color w:val="auto"/>
                    </w:rPr>
                    <w:t>地表水</w:t>
                  </w:r>
                </w:p>
              </w:tc>
              <w:tc>
                <w:tcPr>
                  <w:tcW w:w="1274" w:type="dxa"/>
                  <w:tcBorders>
                    <w:tl2br w:val="nil"/>
                    <w:tr2bl w:val="nil"/>
                  </w:tcBorders>
                  <w:vAlign w:val="center"/>
                </w:tcPr>
                <w:p w14:paraId="148C3C61">
                  <w:pPr>
                    <w:pStyle w:val="23"/>
                    <w:bidi w:val="0"/>
                    <w:rPr>
                      <w:color w:val="auto"/>
                    </w:rPr>
                  </w:pPr>
                  <w:r>
                    <w:rPr>
                      <w:color w:val="auto"/>
                    </w:rPr>
                    <w:t>排水系统</w:t>
                  </w:r>
                </w:p>
              </w:tc>
              <w:tc>
                <w:tcPr>
                  <w:tcW w:w="4427" w:type="dxa"/>
                  <w:tcBorders>
                    <w:tl2br w:val="nil"/>
                    <w:tr2bl w:val="nil"/>
                  </w:tcBorders>
                  <w:vAlign w:val="center"/>
                </w:tcPr>
                <w:p w14:paraId="48997F2A">
                  <w:pPr>
                    <w:pStyle w:val="23"/>
                    <w:bidi w:val="0"/>
                    <w:jc w:val="both"/>
                    <w:rPr>
                      <w:rFonts w:hint="eastAsia" w:eastAsia="宋体"/>
                      <w:color w:val="auto"/>
                      <w:lang w:eastAsia="zh-CN"/>
                    </w:rPr>
                  </w:pPr>
                  <w:r>
                    <w:rPr>
                      <w:color w:val="auto"/>
                    </w:rPr>
                    <w:t>雨水经</w:t>
                  </w:r>
                  <w:r>
                    <w:rPr>
                      <w:rFonts w:hint="eastAsia"/>
                      <w:color w:val="auto"/>
                      <w:lang w:val="en-US" w:eastAsia="zh-CN"/>
                    </w:rPr>
                    <w:t>管网</w:t>
                  </w:r>
                  <w:r>
                    <w:rPr>
                      <w:color w:val="auto"/>
                    </w:rPr>
                    <w:t>收集后排入周边市政雨水管网；加强排水系统维护，定期检查，确保降水畅通排泄。</w:t>
                  </w:r>
                </w:p>
              </w:tc>
              <w:tc>
                <w:tcPr>
                  <w:tcW w:w="1273" w:type="dxa"/>
                  <w:tcBorders>
                    <w:tl2br w:val="nil"/>
                    <w:tr2bl w:val="nil"/>
                  </w:tcBorders>
                  <w:vAlign w:val="center"/>
                </w:tcPr>
                <w:p w14:paraId="5C22A6B5">
                  <w:pPr>
                    <w:pStyle w:val="23"/>
                    <w:bidi w:val="0"/>
                    <w:rPr>
                      <w:color w:val="auto"/>
                    </w:rPr>
                  </w:pPr>
                  <w:r>
                    <w:rPr>
                      <w:rFonts w:hint="eastAsia"/>
                      <w:color w:val="auto"/>
                    </w:rPr>
                    <w:t>纳入</w:t>
                  </w:r>
                  <w:r>
                    <w:rPr>
                      <w:color w:val="auto"/>
                    </w:rPr>
                    <w:t>主体</w:t>
                  </w:r>
                  <w:r>
                    <w:rPr>
                      <w:rFonts w:hint="eastAsia"/>
                      <w:color w:val="auto"/>
                    </w:rPr>
                    <w:t>工程</w:t>
                  </w:r>
                </w:p>
              </w:tc>
            </w:tr>
            <w:tr w14:paraId="131BE5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continue"/>
                  <w:tcBorders>
                    <w:tl2br w:val="nil"/>
                    <w:tr2bl w:val="nil"/>
                  </w:tcBorders>
                  <w:vAlign w:val="center"/>
                </w:tcPr>
                <w:p w14:paraId="0B57D169">
                  <w:pPr>
                    <w:pStyle w:val="23"/>
                    <w:bidi w:val="0"/>
                    <w:rPr>
                      <w:color w:val="auto"/>
                    </w:rPr>
                  </w:pPr>
                </w:p>
              </w:tc>
              <w:tc>
                <w:tcPr>
                  <w:tcW w:w="754" w:type="dxa"/>
                  <w:tcBorders>
                    <w:tl2br w:val="nil"/>
                    <w:tr2bl w:val="nil"/>
                  </w:tcBorders>
                  <w:vAlign w:val="center"/>
                </w:tcPr>
                <w:p w14:paraId="4FBD197C">
                  <w:pPr>
                    <w:pStyle w:val="23"/>
                    <w:bidi w:val="0"/>
                    <w:rPr>
                      <w:color w:val="auto"/>
                    </w:rPr>
                  </w:pPr>
                  <w:r>
                    <w:rPr>
                      <w:color w:val="auto"/>
                    </w:rPr>
                    <w:t>环境空气</w:t>
                  </w:r>
                </w:p>
              </w:tc>
              <w:tc>
                <w:tcPr>
                  <w:tcW w:w="1274" w:type="dxa"/>
                  <w:tcBorders>
                    <w:tl2br w:val="nil"/>
                    <w:tr2bl w:val="nil"/>
                  </w:tcBorders>
                  <w:vAlign w:val="center"/>
                </w:tcPr>
                <w:p w14:paraId="5C1593F5">
                  <w:pPr>
                    <w:pStyle w:val="23"/>
                    <w:bidi w:val="0"/>
                    <w:rPr>
                      <w:rFonts w:hint="default" w:eastAsia="宋体"/>
                      <w:color w:val="auto"/>
                      <w:lang w:val="en-US" w:eastAsia="zh-CN"/>
                    </w:rPr>
                  </w:pPr>
                  <w:r>
                    <w:rPr>
                      <w:rFonts w:hint="eastAsia"/>
                      <w:color w:val="auto"/>
                      <w:lang w:val="en-US" w:eastAsia="zh-CN"/>
                    </w:rPr>
                    <w:t>汽车尾气、扬尘</w:t>
                  </w:r>
                </w:p>
              </w:tc>
              <w:tc>
                <w:tcPr>
                  <w:tcW w:w="4427" w:type="dxa"/>
                  <w:tcBorders>
                    <w:tl2br w:val="nil"/>
                    <w:tr2bl w:val="nil"/>
                  </w:tcBorders>
                  <w:vAlign w:val="center"/>
                </w:tcPr>
                <w:p w14:paraId="497DF872">
                  <w:pPr>
                    <w:pStyle w:val="23"/>
                    <w:bidi w:val="0"/>
                    <w:jc w:val="both"/>
                    <w:rPr>
                      <w:rFonts w:hint="eastAsia" w:eastAsia="宋体"/>
                      <w:color w:val="auto"/>
                      <w:lang w:eastAsia="zh-CN"/>
                    </w:rPr>
                  </w:pPr>
                  <w:r>
                    <w:rPr>
                      <w:color w:val="auto"/>
                    </w:rPr>
                    <w:t>加强绿化；严格执行汽车排放车检制度，限制尾气排放</w:t>
                  </w:r>
                  <w:r>
                    <w:rPr>
                      <w:rFonts w:hint="eastAsia"/>
                      <w:color w:val="auto"/>
                      <w:lang w:val="en-US" w:eastAsia="zh-CN"/>
                    </w:rPr>
                    <w:t>不达标</w:t>
                  </w:r>
                  <w:r>
                    <w:rPr>
                      <w:color w:val="auto"/>
                    </w:rPr>
                    <w:t>车辆上路；加强路面的清扫。</w:t>
                  </w:r>
                </w:p>
              </w:tc>
              <w:tc>
                <w:tcPr>
                  <w:tcW w:w="1273" w:type="dxa"/>
                  <w:tcBorders>
                    <w:tl2br w:val="nil"/>
                    <w:tr2bl w:val="nil"/>
                  </w:tcBorders>
                  <w:vAlign w:val="center"/>
                </w:tcPr>
                <w:p w14:paraId="32866985">
                  <w:pPr>
                    <w:pStyle w:val="23"/>
                    <w:bidi w:val="0"/>
                    <w:rPr>
                      <w:color w:val="auto"/>
                    </w:rPr>
                  </w:pPr>
                  <w:r>
                    <w:rPr>
                      <w:rFonts w:hint="eastAsia"/>
                      <w:color w:val="auto"/>
                    </w:rPr>
                    <w:t>纳入主体投资</w:t>
                  </w:r>
                </w:p>
              </w:tc>
            </w:tr>
            <w:tr w14:paraId="50D6979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continue"/>
                  <w:tcBorders>
                    <w:tl2br w:val="nil"/>
                    <w:tr2bl w:val="nil"/>
                  </w:tcBorders>
                  <w:vAlign w:val="center"/>
                </w:tcPr>
                <w:p w14:paraId="1AC193F0">
                  <w:pPr>
                    <w:pStyle w:val="23"/>
                    <w:bidi w:val="0"/>
                    <w:rPr>
                      <w:color w:val="auto"/>
                    </w:rPr>
                  </w:pPr>
                </w:p>
              </w:tc>
              <w:tc>
                <w:tcPr>
                  <w:tcW w:w="754" w:type="dxa"/>
                  <w:tcBorders>
                    <w:tl2br w:val="nil"/>
                    <w:tr2bl w:val="nil"/>
                  </w:tcBorders>
                  <w:vAlign w:val="center"/>
                </w:tcPr>
                <w:p w14:paraId="0879D864">
                  <w:pPr>
                    <w:pStyle w:val="23"/>
                    <w:bidi w:val="0"/>
                    <w:rPr>
                      <w:color w:val="auto"/>
                    </w:rPr>
                  </w:pPr>
                  <w:r>
                    <w:rPr>
                      <w:color w:val="auto"/>
                    </w:rPr>
                    <w:t>声环境</w:t>
                  </w:r>
                </w:p>
              </w:tc>
              <w:tc>
                <w:tcPr>
                  <w:tcW w:w="1274" w:type="dxa"/>
                  <w:tcBorders>
                    <w:tl2br w:val="nil"/>
                    <w:tr2bl w:val="nil"/>
                  </w:tcBorders>
                  <w:vAlign w:val="center"/>
                </w:tcPr>
                <w:p w14:paraId="3BCBA846">
                  <w:pPr>
                    <w:pStyle w:val="23"/>
                    <w:bidi w:val="0"/>
                    <w:rPr>
                      <w:color w:val="auto"/>
                    </w:rPr>
                  </w:pPr>
                  <w:r>
                    <w:rPr>
                      <w:color w:val="auto"/>
                    </w:rPr>
                    <w:t>交通噪声</w:t>
                  </w:r>
                </w:p>
              </w:tc>
              <w:tc>
                <w:tcPr>
                  <w:tcW w:w="4427" w:type="dxa"/>
                  <w:tcBorders>
                    <w:tl2br w:val="nil"/>
                    <w:tr2bl w:val="nil"/>
                  </w:tcBorders>
                  <w:vAlign w:val="center"/>
                </w:tcPr>
                <w:p w14:paraId="08C17B4A">
                  <w:pPr>
                    <w:pStyle w:val="23"/>
                    <w:bidi w:val="0"/>
                    <w:jc w:val="both"/>
                    <w:rPr>
                      <w:color w:val="auto"/>
                    </w:rPr>
                  </w:pPr>
                  <w:r>
                    <w:rPr>
                      <w:rFonts w:hint="eastAsia"/>
                      <w:color w:val="auto"/>
                      <w:lang w:val="en-US" w:eastAsia="zh-CN"/>
                    </w:rPr>
                    <w:t>加强绿化；加强道路运营期管理，合理设置禁鸣标志、限速标志；加强维护路面平整；预留跟踪监测及噪声治理等费用</w:t>
                  </w:r>
                  <w:r>
                    <w:rPr>
                      <w:color w:val="auto"/>
                    </w:rPr>
                    <w:t>。</w:t>
                  </w:r>
                </w:p>
              </w:tc>
              <w:tc>
                <w:tcPr>
                  <w:tcW w:w="1273" w:type="dxa"/>
                  <w:tcBorders>
                    <w:tl2br w:val="nil"/>
                    <w:tr2bl w:val="nil"/>
                  </w:tcBorders>
                  <w:vAlign w:val="center"/>
                </w:tcPr>
                <w:p w14:paraId="17075B28">
                  <w:pPr>
                    <w:pStyle w:val="23"/>
                    <w:bidi w:val="0"/>
                    <w:rPr>
                      <w:rFonts w:hint="default" w:eastAsia="宋体"/>
                      <w:color w:val="auto"/>
                      <w:lang w:val="en-US" w:eastAsia="zh-CN"/>
                    </w:rPr>
                  </w:pPr>
                  <w:r>
                    <w:rPr>
                      <w:rFonts w:hint="eastAsia"/>
                      <w:color w:val="auto"/>
                      <w:lang w:val="en-US" w:eastAsia="zh-CN"/>
                    </w:rPr>
                    <w:t>30.0</w:t>
                  </w:r>
                </w:p>
              </w:tc>
            </w:tr>
            <w:tr w14:paraId="1BEAB8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continue"/>
                  <w:tcBorders>
                    <w:tl2br w:val="nil"/>
                    <w:tr2bl w:val="nil"/>
                  </w:tcBorders>
                  <w:vAlign w:val="center"/>
                </w:tcPr>
                <w:p w14:paraId="2CD1420F">
                  <w:pPr>
                    <w:pStyle w:val="23"/>
                    <w:bidi w:val="0"/>
                    <w:rPr>
                      <w:color w:val="auto"/>
                    </w:rPr>
                  </w:pPr>
                </w:p>
              </w:tc>
              <w:tc>
                <w:tcPr>
                  <w:tcW w:w="754" w:type="dxa"/>
                  <w:tcBorders>
                    <w:tl2br w:val="nil"/>
                    <w:tr2bl w:val="nil"/>
                  </w:tcBorders>
                  <w:vAlign w:val="center"/>
                </w:tcPr>
                <w:p w14:paraId="7DC95E83">
                  <w:pPr>
                    <w:pStyle w:val="23"/>
                    <w:bidi w:val="0"/>
                    <w:rPr>
                      <w:rFonts w:hint="default" w:eastAsia="宋体"/>
                      <w:color w:val="auto"/>
                      <w:lang w:val="en-US" w:eastAsia="zh-CN"/>
                    </w:rPr>
                  </w:pPr>
                  <w:r>
                    <w:rPr>
                      <w:rFonts w:hint="eastAsia"/>
                      <w:color w:val="auto"/>
                      <w:lang w:val="en-US" w:eastAsia="zh-CN"/>
                    </w:rPr>
                    <w:t>固体废物</w:t>
                  </w:r>
                </w:p>
              </w:tc>
              <w:tc>
                <w:tcPr>
                  <w:tcW w:w="1274" w:type="dxa"/>
                  <w:tcBorders>
                    <w:tl2br w:val="nil"/>
                    <w:tr2bl w:val="nil"/>
                  </w:tcBorders>
                  <w:vAlign w:val="center"/>
                </w:tcPr>
                <w:p w14:paraId="21F1A582">
                  <w:pPr>
                    <w:pStyle w:val="23"/>
                    <w:bidi w:val="0"/>
                    <w:rPr>
                      <w:rFonts w:hint="default" w:eastAsia="宋体"/>
                      <w:color w:val="auto"/>
                      <w:lang w:val="en-US" w:eastAsia="zh-CN"/>
                    </w:rPr>
                  </w:pPr>
                  <w:r>
                    <w:rPr>
                      <w:rFonts w:hint="eastAsia"/>
                      <w:color w:val="auto"/>
                      <w:lang w:val="en-US" w:eastAsia="zh-CN"/>
                    </w:rPr>
                    <w:t>路面垃圾</w:t>
                  </w:r>
                </w:p>
              </w:tc>
              <w:tc>
                <w:tcPr>
                  <w:tcW w:w="4427" w:type="dxa"/>
                  <w:tcBorders>
                    <w:tl2br w:val="nil"/>
                    <w:tr2bl w:val="nil"/>
                  </w:tcBorders>
                  <w:vAlign w:val="center"/>
                </w:tcPr>
                <w:p w14:paraId="2C04C75A">
                  <w:pPr>
                    <w:pStyle w:val="23"/>
                    <w:bidi w:val="0"/>
                    <w:jc w:val="both"/>
                    <w:rPr>
                      <w:rFonts w:hint="eastAsia"/>
                      <w:color w:val="auto"/>
                    </w:rPr>
                  </w:pPr>
                  <w:r>
                    <w:rPr>
                      <w:rFonts w:hint="eastAsia"/>
                      <w:color w:val="auto"/>
                      <w:lang w:val="en-US" w:eastAsia="zh-CN"/>
                    </w:rPr>
                    <w:t>定期清理路面垃圾，交由当地环卫系统收运处置。</w:t>
                  </w:r>
                </w:p>
              </w:tc>
              <w:tc>
                <w:tcPr>
                  <w:tcW w:w="1273" w:type="dxa"/>
                  <w:tcBorders>
                    <w:tl2br w:val="nil"/>
                    <w:tr2bl w:val="nil"/>
                  </w:tcBorders>
                  <w:vAlign w:val="center"/>
                </w:tcPr>
                <w:p w14:paraId="6495226F">
                  <w:pPr>
                    <w:pStyle w:val="23"/>
                    <w:bidi w:val="0"/>
                    <w:rPr>
                      <w:rFonts w:hint="default" w:eastAsia="宋体"/>
                      <w:color w:val="auto"/>
                      <w:lang w:val="en-US" w:eastAsia="zh-CN"/>
                    </w:rPr>
                  </w:pPr>
                  <w:r>
                    <w:rPr>
                      <w:rFonts w:hint="eastAsia"/>
                      <w:color w:val="auto"/>
                      <w:lang w:val="en-US" w:eastAsia="zh-CN"/>
                    </w:rPr>
                    <w:t>0.5</w:t>
                  </w:r>
                </w:p>
              </w:tc>
            </w:tr>
            <w:tr w14:paraId="0C33F7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49" w:type="dxa"/>
                  <w:vMerge w:val="continue"/>
                  <w:tcBorders>
                    <w:tl2br w:val="nil"/>
                    <w:tr2bl w:val="nil"/>
                  </w:tcBorders>
                  <w:vAlign w:val="center"/>
                </w:tcPr>
                <w:p w14:paraId="25EE173F">
                  <w:pPr>
                    <w:pStyle w:val="23"/>
                    <w:bidi w:val="0"/>
                    <w:rPr>
                      <w:color w:val="auto"/>
                    </w:rPr>
                  </w:pPr>
                </w:p>
              </w:tc>
              <w:tc>
                <w:tcPr>
                  <w:tcW w:w="754" w:type="dxa"/>
                  <w:tcBorders>
                    <w:tl2br w:val="nil"/>
                    <w:tr2bl w:val="nil"/>
                  </w:tcBorders>
                  <w:vAlign w:val="center"/>
                </w:tcPr>
                <w:p w14:paraId="4D6CDCE4">
                  <w:pPr>
                    <w:pStyle w:val="23"/>
                    <w:bidi w:val="0"/>
                    <w:rPr>
                      <w:color w:val="auto"/>
                    </w:rPr>
                  </w:pPr>
                  <w:r>
                    <w:rPr>
                      <w:color w:val="auto"/>
                    </w:rPr>
                    <w:t>生态环境</w:t>
                  </w:r>
                </w:p>
              </w:tc>
              <w:tc>
                <w:tcPr>
                  <w:tcW w:w="1274" w:type="dxa"/>
                  <w:tcBorders>
                    <w:tl2br w:val="nil"/>
                    <w:tr2bl w:val="nil"/>
                  </w:tcBorders>
                  <w:vAlign w:val="center"/>
                </w:tcPr>
                <w:p w14:paraId="79EA71BA">
                  <w:pPr>
                    <w:pStyle w:val="23"/>
                    <w:bidi w:val="0"/>
                    <w:rPr>
                      <w:color w:val="auto"/>
                    </w:rPr>
                  </w:pPr>
                  <w:r>
                    <w:rPr>
                      <w:color w:val="auto"/>
                    </w:rPr>
                    <w:t>景观绿化</w:t>
                  </w:r>
                </w:p>
              </w:tc>
              <w:tc>
                <w:tcPr>
                  <w:tcW w:w="4427" w:type="dxa"/>
                  <w:tcBorders>
                    <w:tl2br w:val="nil"/>
                    <w:tr2bl w:val="nil"/>
                  </w:tcBorders>
                  <w:vAlign w:val="center"/>
                </w:tcPr>
                <w:p w14:paraId="305D3330">
                  <w:pPr>
                    <w:pStyle w:val="23"/>
                    <w:bidi w:val="0"/>
                    <w:jc w:val="both"/>
                    <w:rPr>
                      <w:rFonts w:hint="eastAsia" w:eastAsia="宋体"/>
                      <w:color w:val="auto"/>
                      <w:lang w:eastAsia="zh-CN"/>
                    </w:rPr>
                  </w:pPr>
                  <w:r>
                    <w:rPr>
                      <w:rFonts w:hint="eastAsia"/>
                      <w:color w:val="auto"/>
                      <w:lang w:val="en-US" w:eastAsia="zh-CN"/>
                    </w:rPr>
                    <w:t>加强</w:t>
                  </w:r>
                  <w:r>
                    <w:rPr>
                      <w:rFonts w:hint="eastAsia"/>
                      <w:color w:val="auto"/>
                    </w:rPr>
                    <w:t>道路边坡</w:t>
                  </w:r>
                  <w:r>
                    <w:rPr>
                      <w:rFonts w:hint="eastAsia"/>
                      <w:color w:val="auto"/>
                      <w:lang w:val="en-US" w:eastAsia="zh-CN"/>
                    </w:rPr>
                    <w:t>绿化</w:t>
                  </w:r>
                  <w:r>
                    <w:rPr>
                      <w:rFonts w:hint="eastAsia"/>
                      <w:color w:val="auto"/>
                    </w:rPr>
                    <w:t>、</w:t>
                  </w:r>
                  <w:r>
                    <w:rPr>
                      <w:rFonts w:hint="eastAsia"/>
                      <w:color w:val="auto"/>
                      <w:lang w:val="en-US" w:eastAsia="zh-CN"/>
                    </w:rPr>
                    <w:t>景观</w:t>
                  </w:r>
                  <w:r>
                    <w:rPr>
                      <w:rFonts w:hint="eastAsia"/>
                      <w:color w:val="auto"/>
                    </w:rPr>
                    <w:t>绿化</w:t>
                  </w:r>
                  <w:r>
                    <w:rPr>
                      <w:rFonts w:hint="eastAsia"/>
                      <w:color w:val="auto"/>
                      <w:lang w:val="en-US" w:eastAsia="zh-CN"/>
                    </w:rPr>
                    <w:t>维护</w:t>
                  </w:r>
                  <w:r>
                    <w:rPr>
                      <w:rFonts w:hint="eastAsia"/>
                      <w:color w:val="auto"/>
                      <w:lang w:eastAsia="zh-CN"/>
                    </w:rPr>
                    <w:t>。</w:t>
                  </w:r>
                </w:p>
              </w:tc>
              <w:tc>
                <w:tcPr>
                  <w:tcW w:w="1273" w:type="dxa"/>
                  <w:tcBorders>
                    <w:tl2br w:val="nil"/>
                    <w:tr2bl w:val="nil"/>
                  </w:tcBorders>
                  <w:vAlign w:val="center"/>
                </w:tcPr>
                <w:p w14:paraId="5991ACD1">
                  <w:pPr>
                    <w:pStyle w:val="23"/>
                    <w:bidi w:val="0"/>
                    <w:rPr>
                      <w:color w:val="auto"/>
                    </w:rPr>
                  </w:pPr>
                  <w:r>
                    <w:rPr>
                      <w:rFonts w:hint="eastAsia"/>
                      <w:color w:val="auto"/>
                    </w:rPr>
                    <w:t>纳入主体投资</w:t>
                  </w:r>
                </w:p>
              </w:tc>
            </w:tr>
            <w:tr w14:paraId="43CBFA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2577" w:type="dxa"/>
                  <w:gridSpan w:val="3"/>
                  <w:tcBorders>
                    <w:tl2br w:val="nil"/>
                    <w:tr2bl w:val="nil"/>
                  </w:tcBorders>
                  <w:vAlign w:val="center"/>
                </w:tcPr>
                <w:p w14:paraId="36527D11">
                  <w:pPr>
                    <w:pStyle w:val="23"/>
                    <w:bidi w:val="0"/>
                    <w:rPr>
                      <w:color w:val="auto"/>
                    </w:rPr>
                  </w:pPr>
                  <w:r>
                    <w:rPr>
                      <w:color w:val="auto"/>
                    </w:rPr>
                    <w:t>环境管理</w:t>
                  </w:r>
                </w:p>
              </w:tc>
              <w:tc>
                <w:tcPr>
                  <w:tcW w:w="4427" w:type="dxa"/>
                  <w:tcBorders>
                    <w:tl2br w:val="nil"/>
                    <w:tr2bl w:val="nil"/>
                  </w:tcBorders>
                  <w:vAlign w:val="center"/>
                </w:tcPr>
                <w:p w14:paraId="299B60BA">
                  <w:pPr>
                    <w:pStyle w:val="23"/>
                    <w:bidi w:val="0"/>
                    <w:jc w:val="both"/>
                    <w:rPr>
                      <w:rFonts w:hint="eastAsia" w:eastAsia="宋体"/>
                      <w:color w:val="auto"/>
                      <w:lang w:eastAsia="zh-CN"/>
                    </w:rPr>
                  </w:pPr>
                  <w:r>
                    <w:rPr>
                      <w:rFonts w:hint="eastAsia"/>
                      <w:color w:val="auto"/>
                    </w:rPr>
                    <w:t>施工期环境监理、环境监测，运营期环境管理等</w:t>
                  </w:r>
                  <w:r>
                    <w:rPr>
                      <w:rFonts w:hint="eastAsia"/>
                      <w:color w:val="auto"/>
                      <w:lang w:eastAsia="zh-CN"/>
                    </w:rPr>
                    <w:t>。</w:t>
                  </w:r>
                </w:p>
              </w:tc>
              <w:tc>
                <w:tcPr>
                  <w:tcW w:w="1273" w:type="dxa"/>
                  <w:tcBorders>
                    <w:tl2br w:val="nil"/>
                    <w:tr2bl w:val="nil"/>
                  </w:tcBorders>
                  <w:vAlign w:val="center"/>
                </w:tcPr>
                <w:p w14:paraId="3DA24EF3">
                  <w:pPr>
                    <w:pStyle w:val="23"/>
                    <w:bidi w:val="0"/>
                    <w:rPr>
                      <w:rFonts w:hint="default" w:eastAsia="宋体"/>
                      <w:color w:val="auto"/>
                      <w:lang w:val="en-US" w:eastAsia="zh-CN"/>
                    </w:rPr>
                  </w:pPr>
                  <w:r>
                    <w:rPr>
                      <w:rFonts w:hint="eastAsia"/>
                      <w:color w:val="auto"/>
                      <w:lang w:val="en-US" w:eastAsia="zh-CN"/>
                    </w:rPr>
                    <w:t>4.5</w:t>
                  </w:r>
                </w:p>
              </w:tc>
            </w:tr>
            <w:tr w14:paraId="500F8F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7004" w:type="dxa"/>
                  <w:gridSpan w:val="4"/>
                  <w:tcBorders>
                    <w:tl2br w:val="nil"/>
                    <w:tr2bl w:val="nil"/>
                  </w:tcBorders>
                  <w:vAlign w:val="center"/>
                </w:tcPr>
                <w:p w14:paraId="3107E9B9">
                  <w:pPr>
                    <w:pStyle w:val="23"/>
                    <w:bidi w:val="0"/>
                    <w:rPr>
                      <w:color w:val="auto"/>
                    </w:rPr>
                  </w:pPr>
                  <w:r>
                    <w:rPr>
                      <w:color w:val="auto"/>
                    </w:rPr>
                    <w:t>合计</w:t>
                  </w:r>
                </w:p>
              </w:tc>
              <w:tc>
                <w:tcPr>
                  <w:tcW w:w="1273" w:type="dxa"/>
                  <w:tcBorders>
                    <w:tl2br w:val="nil"/>
                    <w:tr2bl w:val="nil"/>
                  </w:tcBorders>
                  <w:vAlign w:val="center"/>
                </w:tcPr>
                <w:p w14:paraId="36A815B0">
                  <w:pPr>
                    <w:pStyle w:val="23"/>
                    <w:bidi w:val="0"/>
                    <w:rPr>
                      <w:rFonts w:hint="default" w:eastAsia="宋体"/>
                      <w:color w:val="auto"/>
                      <w:lang w:val="en-US" w:eastAsia="zh-CN"/>
                    </w:rPr>
                  </w:pPr>
                  <w:r>
                    <w:rPr>
                      <w:rFonts w:hint="eastAsia"/>
                      <w:color w:val="auto"/>
                      <w:lang w:val="en-US" w:eastAsia="zh-CN"/>
                    </w:rPr>
                    <w:t>52.0</w:t>
                  </w:r>
                </w:p>
              </w:tc>
            </w:tr>
          </w:tbl>
          <w:p w14:paraId="6961528D">
            <w:pPr>
              <w:pStyle w:val="21"/>
              <w:bidi w:val="0"/>
              <w:rPr>
                <w:color w:val="auto"/>
              </w:rPr>
            </w:pPr>
          </w:p>
        </w:tc>
      </w:tr>
    </w:tbl>
    <w:p w14:paraId="7646E044">
      <w:pPr>
        <w:rPr>
          <w:color w:val="auto"/>
        </w:rPr>
      </w:pPr>
      <w:r>
        <w:rPr>
          <w:rFonts w:hint="eastAsia"/>
          <w:color w:val="auto"/>
        </w:rPr>
        <w:br w:type="page"/>
      </w:r>
    </w:p>
    <w:p w14:paraId="6FF09778">
      <w:pPr>
        <w:pStyle w:val="2"/>
        <w:spacing w:after="312"/>
        <w:rPr>
          <w:rFonts w:hint="eastAsia"/>
          <w:color w:val="auto"/>
        </w:rPr>
      </w:pPr>
      <w:r>
        <w:rPr>
          <w:rFonts w:hint="eastAsia"/>
          <w:color w:val="auto"/>
        </w:rPr>
        <w:t>生态环境保护措施监督检查清单</w:t>
      </w: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2527"/>
        <w:gridCol w:w="1800"/>
        <w:gridCol w:w="1715"/>
        <w:gridCol w:w="1841"/>
      </w:tblGrid>
      <w:tr w14:paraId="4EC69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55" w:type="pct"/>
            <w:vMerge w:val="restart"/>
            <w:tcBorders>
              <w:tl2br w:val="single" w:color="auto" w:sz="4" w:space="0"/>
            </w:tcBorders>
            <w:noWrap w:val="0"/>
            <w:vAlign w:val="top"/>
          </w:tcPr>
          <w:p w14:paraId="3B762998">
            <w:pPr>
              <w:pStyle w:val="23"/>
              <w:bidi w:val="0"/>
              <w:jc w:val="right"/>
              <w:rPr>
                <w:rFonts w:hint="eastAsia"/>
                <w:color w:val="auto"/>
              </w:rPr>
            </w:pPr>
            <w:r>
              <w:rPr>
                <w:rFonts w:hint="eastAsia"/>
                <w:color w:val="auto"/>
              </w:rPr>
              <w:t>内容</w:t>
            </w:r>
          </w:p>
          <w:p w14:paraId="64E8940E">
            <w:pPr>
              <w:pStyle w:val="23"/>
              <w:bidi w:val="0"/>
              <w:rPr>
                <w:rFonts w:hint="eastAsia"/>
                <w:color w:val="auto"/>
              </w:rPr>
            </w:pPr>
          </w:p>
          <w:p w14:paraId="5A76A4D1">
            <w:pPr>
              <w:pStyle w:val="23"/>
              <w:bidi w:val="0"/>
              <w:jc w:val="left"/>
              <w:rPr>
                <w:rFonts w:hint="eastAsia"/>
                <w:color w:val="auto"/>
              </w:rPr>
            </w:pPr>
            <w:r>
              <w:rPr>
                <w:rFonts w:hint="eastAsia"/>
                <w:color w:val="auto"/>
              </w:rPr>
              <w:t>要素</w:t>
            </w:r>
          </w:p>
        </w:tc>
        <w:tc>
          <w:tcPr>
            <w:tcW w:w="2329" w:type="pct"/>
            <w:gridSpan w:val="2"/>
            <w:noWrap w:val="0"/>
            <w:vAlign w:val="center"/>
          </w:tcPr>
          <w:p w14:paraId="7809BFEC">
            <w:pPr>
              <w:pStyle w:val="23"/>
              <w:bidi w:val="0"/>
              <w:rPr>
                <w:rFonts w:hint="eastAsia"/>
                <w:color w:val="auto"/>
              </w:rPr>
            </w:pPr>
            <w:r>
              <w:rPr>
                <w:rFonts w:hint="eastAsia"/>
                <w:color w:val="auto"/>
              </w:rPr>
              <w:t>施工期</w:t>
            </w:r>
          </w:p>
        </w:tc>
        <w:tc>
          <w:tcPr>
            <w:tcW w:w="1914" w:type="pct"/>
            <w:gridSpan w:val="2"/>
            <w:noWrap w:val="0"/>
            <w:vAlign w:val="center"/>
          </w:tcPr>
          <w:p w14:paraId="1CA1B822">
            <w:pPr>
              <w:pStyle w:val="23"/>
              <w:bidi w:val="0"/>
              <w:rPr>
                <w:rFonts w:hint="eastAsia"/>
                <w:color w:val="auto"/>
              </w:rPr>
            </w:pPr>
            <w:r>
              <w:rPr>
                <w:rFonts w:hint="eastAsia"/>
                <w:color w:val="auto"/>
              </w:rPr>
              <w:t>运营期</w:t>
            </w:r>
          </w:p>
        </w:tc>
      </w:tr>
      <w:tr w14:paraId="3C7E43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55" w:type="pct"/>
            <w:vMerge w:val="continue"/>
            <w:noWrap w:val="0"/>
            <w:vAlign w:val="top"/>
          </w:tcPr>
          <w:p w14:paraId="644CE3AB">
            <w:pPr>
              <w:pStyle w:val="23"/>
              <w:bidi w:val="0"/>
              <w:rPr>
                <w:rFonts w:hint="eastAsia"/>
                <w:color w:val="auto"/>
              </w:rPr>
            </w:pPr>
          </w:p>
        </w:tc>
        <w:tc>
          <w:tcPr>
            <w:tcW w:w="1360" w:type="pct"/>
            <w:noWrap w:val="0"/>
            <w:vAlign w:val="center"/>
          </w:tcPr>
          <w:p w14:paraId="6176CF7D">
            <w:pPr>
              <w:pStyle w:val="23"/>
              <w:bidi w:val="0"/>
              <w:rPr>
                <w:rFonts w:hint="eastAsia"/>
                <w:color w:val="auto"/>
              </w:rPr>
            </w:pPr>
            <w:r>
              <w:rPr>
                <w:rFonts w:hint="eastAsia"/>
                <w:color w:val="auto"/>
              </w:rPr>
              <w:t>环境保护措施</w:t>
            </w:r>
          </w:p>
        </w:tc>
        <w:tc>
          <w:tcPr>
            <w:tcW w:w="969" w:type="pct"/>
            <w:noWrap w:val="0"/>
            <w:vAlign w:val="center"/>
          </w:tcPr>
          <w:p w14:paraId="2496A74F">
            <w:pPr>
              <w:pStyle w:val="23"/>
              <w:bidi w:val="0"/>
              <w:rPr>
                <w:rFonts w:hint="eastAsia"/>
                <w:color w:val="auto"/>
              </w:rPr>
            </w:pPr>
            <w:r>
              <w:rPr>
                <w:rFonts w:hint="eastAsia"/>
                <w:color w:val="auto"/>
              </w:rPr>
              <w:t>验收要求</w:t>
            </w:r>
          </w:p>
        </w:tc>
        <w:tc>
          <w:tcPr>
            <w:tcW w:w="923" w:type="pct"/>
            <w:noWrap w:val="0"/>
            <w:vAlign w:val="center"/>
          </w:tcPr>
          <w:p w14:paraId="2F5184EC">
            <w:pPr>
              <w:pStyle w:val="23"/>
              <w:bidi w:val="0"/>
              <w:rPr>
                <w:rFonts w:hint="eastAsia"/>
                <w:color w:val="auto"/>
              </w:rPr>
            </w:pPr>
            <w:r>
              <w:rPr>
                <w:rFonts w:hint="eastAsia"/>
                <w:color w:val="auto"/>
              </w:rPr>
              <w:t>环境保护措施</w:t>
            </w:r>
          </w:p>
        </w:tc>
        <w:tc>
          <w:tcPr>
            <w:tcW w:w="991" w:type="pct"/>
            <w:noWrap w:val="0"/>
            <w:vAlign w:val="center"/>
          </w:tcPr>
          <w:p w14:paraId="229B3932">
            <w:pPr>
              <w:pStyle w:val="23"/>
              <w:bidi w:val="0"/>
              <w:rPr>
                <w:rFonts w:hint="eastAsia"/>
                <w:color w:val="auto"/>
              </w:rPr>
            </w:pPr>
            <w:r>
              <w:rPr>
                <w:rFonts w:hint="eastAsia"/>
                <w:color w:val="auto"/>
              </w:rPr>
              <w:t>验收要求</w:t>
            </w:r>
          </w:p>
        </w:tc>
      </w:tr>
      <w:tr w14:paraId="6F87C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5" w:type="pct"/>
            <w:noWrap w:val="0"/>
            <w:vAlign w:val="center"/>
          </w:tcPr>
          <w:p w14:paraId="2E67667E">
            <w:pPr>
              <w:pStyle w:val="23"/>
              <w:bidi w:val="0"/>
              <w:rPr>
                <w:rFonts w:hint="eastAsia"/>
                <w:color w:val="auto"/>
              </w:rPr>
            </w:pPr>
            <w:r>
              <w:rPr>
                <w:rFonts w:hint="eastAsia"/>
                <w:color w:val="auto"/>
              </w:rPr>
              <w:t>陆生生态</w:t>
            </w:r>
          </w:p>
        </w:tc>
        <w:tc>
          <w:tcPr>
            <w:tcW w:w="1360" w:type="pct"/>
            <w:noWrap w:val="0"/>
            <w:vAlign w:val="center"/>
          </w:tcPr>
          <w:p w14:paraId="2BE5841F">
            <w:pPr>
              <w:pStyle w:val="23"/>
              <w:bidi w:val="0"/>
              <w:jc w:val="both"/>
              <w:rPr>
                <w:rFonts w:hint="eastAsia" w:eastAsia="宋体"/>
                <w:color w:val="auto"/>
                <w:lang w:val="en-US" w:eastAsia="zh-CN"/>
              </w:rPr>
            </w:pPr>
            <w:r>
              <w:rPr>
                <w:color w:val="auto"/>
              </w:rPr>
              <w:t>不占用划定范围之外的用地；表土保护；拆除</w:t>
            </w:r>
            <w:r>
              <w:rPr>
                <w:rFonts w:hint="eastAsia"/>
                <w:color w:val="auto"/>
              </w:rPr>
              <w:t>施工场地</w:t>
            </w:r>
            <w:r>
              <w:rPr>
                <w:color w:val="auto"/>
              </w:rPr>
              <w:t>设施，对废弃杂物及时清理，并进行</w:t>
            </w:r>
            <w:r>
              <w:rPr>
                <w:rFonts w:hint="eastAsia"/>
                <w:color w:val="auto"/>
              </w:rPr>
              <w:t>场地平整</w:t>
            </w:r>
            <w:r>
              <w:rPr>
                <w:rFonts w:hint="eastAsia"/>
                <w:color w:val="auto"/>
                <w:lang w:eastAsia="zh-CN"/>
              </w:rPr>
              <w:t>。</w:t>
            </w:r>
          </w:p>
        </w:tc>
        <w:tc>
          <w:tcPr>
            <w:tcW w:w="969" w:type="pct"/>
            <w:noWrap w:val="0"/>
            <w:vAlign w:val="center"/>
          </w:tcPr>
          <w:p w14:paraId="45A1526C">
            <w:pPr>
              <w:pStyle w:val="23"/>
              <w:bidi w:val="0"/>
              <w:jc w:val="both"/>
              <w:rPr>
                <w:rFonts w:hint="eastAsia" w:eastAsia="宋体"/>
                <w:color w:val="auto"/>
                <w:lang w:val="en-US" w:eastAsia="zh-CN"/>
              </w:rPr>
            </w:pPr>
            <w:r>
              <w:rPr>
                <w:color w:val="auto"/>
              </w:rPr>
              <w:t>施工迹地清理，</w:t>
            </w:r>
            <w:r>
              <w:rPr>
                <w:rFonts w:hint="eastAsia"/>
                <w:color w:val="auto"/>
              </w:rPr>
              <w:t>道路施工范围内无明显裸露土地</w:t>
            </w:r>
            <w:r>
              <w:rPr>
                <w:rFonts w:hint="eastAsia"/>
                <w:color w:val="auto"/>
                <w:lang w:eastAsia="zh-CN"/>
              </w:rPr>
              <w:t>，</w:t>
            </w:r>
            <w:r>
              <w:rPr>
                <w:color w:val="auto"/>
              </w:rPr>
              <w:t>无明显水土流失</w:t>
            </w:r>
            <w:r>
              <w:rPr>
                <w:rFonts w:hint="eastAsia"/>
                <w:color w:val="auto"/>
                <w:lang w:eastAsia="zh-CN"/>
              </w:rPr>
              <w:t>。</w:t>
            </w:r>
          </w:p>
        </w:tc>
        <w:tc>
          <w:tcPr>
            <w:tcW w:w="923" w:type="pct"/>
            <w:noWrap w:val="0"/>
            <w:vAlign w:val="center"/>
          </w:tcPr>
          <w:p w14:paraId="7CE0617F">
            <w:pPr>
              <w:pStyle w:val="23"/>
              <w:bidi w:val="0"/>
              <w:jc w:val="both"/>
              <w:rPr>
                <w:rFonts w:hint="eastAsia" w:eastAsia="宋体"/>
                <w:color w:val="auto"/>
                <w:lang w:val="en-US" w:eastAsia="zh-CN"/>
              </w:rPr>
            </w:pPr>
            <w:r>
              <w:rPr>
                <w:color w:val="auto"/>
              </w:rPr>
              <w:t>道路景观绿化</w:t>
            </w:r>
            <w:r>
              <w:rPr>
                <w:rFonts w:hint="eastAsia"/>
                <w:color w:val="auto"/>
                <w:lang w:eastAsia="zh-CN"/>
              </w:rPr>
              <w:t>。</w:t>
            </w:r>
          </w:p>
        </w:tc>
        <w:tc>
          <w:tcPr>
            <w:tcW w:w="991" w:type="pct"/>
            <w:noWrap w:val="0"/>
            <w:vAlign w:val="center"/>
          </w:tcPr>
          <w:p w14:paraId="6850D522">
            <w:pPr>
              <w:pStyle w:val="23"/>
              <w:bidi w:val="0"/>
              <w:jc w:val="both"/>
              <w:rPr>
                <w:rFonts w:hint="eastAsia" w:eastAsia="宋体"/>
                <w:color w:val="auto"/>
                <w:lang w:val="en-US" w:eastAsia="zh-CN"/>
              </w:rPr>
            </w:pPr>
            <w:r>
              <w:rPr>
                <w:color w:val="auto"/>
              </w:rPr>
              <w:t>满足绿化设计要求</w:t>
            </w:r>
            <w:r>
              <w:rPr>
                <w:rFonts w:hint="eastAsia"/>
                <w:color w:val="auto"/>
                <w:lang w:eastAsia="zh-CN"/>
              </w:rPr>
              <w:t>。</w:t>
            </w:r>
          </w:p>
        </w:tc>
      </w:tr>
      <w:tr w14:paraId="02E74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5" w:type="pct"/>
            <w:noWrap w:val="0"/>
            <w:vAlign w:val="center"/>
          </w:tcPr>
          <w:p w14:paraId="53C91814">
            <w:pPr>
              <w:pStyle w:val="23"/>
              <w:bidi w:val="0"/>
              <w:rPr>
                <w:rFonts w:hint="eastAsia"/>
                <w:color w:val="auto"/>
              </w:rPr>
            </w:pPr>
            <w:r>
              <w:rPr>
                <w:rFonts w:hint="eastAsia"/>
                <w:color w:val="auto"/>
              </w:rPr>
              <w:t>水生生态</w:t>
            </w:r>
          </w:p>
        </w:tc>
        <w:tc>
          <w:tcPr>
            <w:tcW w:w="1360" w:type="pct"/>
            <w:noWrap w:val="0"/>
            <w:vAlign w:val="center"/>
          </w:tcPr>
          <w:p w14:paraId="3BA1C54F">
            <w:pPr>
              <w:pStyle w:val="23"/>
              <w:bidi w:val="0"/>
              <w:jc w:val="both"/>
              <w:rPr>
                <w:rFonts w:hint="eastAsia"/>
                <w:color w:val="auto"/>
                <w:lang w:val="en-US" w:eastAsia="zh-CN"/>
              </w:rPr>
            </w:pPr>
            <w:r>
              <w:rPr>
                <w:rFonts w:hint="eastAsia"/>
                <w:color w:val="auto"/>
              </w:rPr>
              <w:t>妥善处理施工期废水、固废。</w:t>
            </w:r>
          </w:p>
        </w:tc>
        <w:tc>
          <w:tcPr>
            <w:tcW w:w="969" w:type="pct"/>
            <w:noWrap w:val="0"/>
            <w:vAlign w:val="center"/>
          </w:tcPr>
          <w:p w14:paraId="76F05A48">
            <w:pPr>
              <w:pStyle w:val="23"/>
              <w:bidi w:val="0"/>
              <w:jc w:val="both"/>
              <w:rPr>
                <w:rFonts w:hint="eastAsia"/>
                <w:color w:val="auto"/>
                <w:lang w:val="en-US" w:eastAsia="zh-CN"/>
              </w:rPr>
            </w:pPr>
            <w:r>
              <w:rPr>
                <w:color w:val="auto"/>
              </w:rPr>
              <w:t>施工期未向河道排放废水及倾倒废渣。</w:t>
            </w:r>
          </w:p>
        </w:tc>
        <w:tc>
          <w:tcPr>
            <w:tcW w:w="923" w:type="pct"/>
            <w:noWrap w:val="0"/>
            <w:vAlign w:val="center"/>
          </w:tcPr>
          <w:p w14:paraId="636A7073">
            <w:pPr>
              <w:pStyle w:val="23"/>
              <w:bidi w:val="0"/>
              <w:rPr>
                <w:rFonts w:hint="eastAsia"/>
                <w:color w:val="auto"/>
                <w:lang w:val="en-US" w:eastAsia="zh-CN"/>
              </w:rPr>
            </w:pPr>
            <w:r>
              <w:rPr>
                <w:color w:val="auto"/>
              </w:rPr>
              <w:t>/</w:t>
            </w:r>
          </w:p>
        </w:tc>
        <w:tc>
          <w:tcPr>
            <w:tcW w:w="991" w:type="pct"/>
            <w:noWrap w:val="0"/>
            <w:vAlign w:val="center"/>
          </w:tcPr>
          <w:p w14:paraId="0551E755">
            <w:pPr>
              <w:pStyle w:val="23"/>
              <w:bidi w:val="0"/>
              <w:rPr>
                <w:rFonts w:hint="eastAsia"/>
                <w:color w:val="auto"/>
                <w:lang w:val="en-US" w:eastAsia="zh-CN"/>
              </w:rPr>
            </w:pPr>
            <w:r>
              <w:rPr>
                <w:color w:val="auto"/>
              </w:rPr>
              <w:t>/</w:t>
            </w:r>
          </w:p>
        </w:tc>
      </w:tr>
      <w:tr w14:paraId="7EAA2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5" w:type="pct"/>
            <w:noWrap w:val="0"/>
            <w:vAlign w:val="center"/>
          </w:tcPr>
          <w:p w14:paraId="136DF585">
            <w:pPr>
              <w:pStyle w:val="23"/>
              <w:bidi w:val="0"/>
              <w:rPr>
                <w:rFonts w:hint="eastAsia"/>
                <w:color w:val="auto"/>
              </w:rPr>
            </w:pPr>
            <w:r>
              <w:rPr>
                <w:rFonts w:hint="eastAsia"/>
                <w:color w:val="auto"/>
              </w:rPr>
              <w:t>地表水环境</w:t>
            </w:r>
          </w:p>
        </w:tc>
        <w:tc>
          <w:tcPr>
            <w:tcW w:w="1360" w:type="pct"/>
            <w:noWrap w:val="0"/>
            <w:vAlign w:val="center"/>
          </w:tcPr>
          <w:p w14:paraId="42D60EBF">
            <w:pPr>
              <w:pStyle w:val="23"/>
              <w:bidi w:val="0"/>
              <w:jc w:val="both"/>
              <w:rPr>
                <w:rFonts w:hint="eastAsia"/>
                <w:color w:val="auto"/>
                <w:lang w:val="en-US" w:eastAsia="zh-CN"/>
              </w:rPr>
            </w:pPr>
            <w:r>
              <w:rPr>
                <w:rFonts w:hint="eastAsia"/>
                <w:color w:val="auto"/>
                <w:lang w:eastAsia="zh-CN"/>
              </w:rPr>
              <w:t>施工场地内设置</w:t>
            </w:r>
            <w:r>
              <w:rPr>
                <w:rFonts w:hint="eastAsia"/>
                <w:color w:val="auto"/>
                <w:lang w:val="en-US" w:eastAsia="zh-CN"/>
              </w:rPr>
              <w:t>隔油</w:t>
            </w:r>
            <w:r>
              <w:rPr>
                <w:rFonts w:hint="eastAsia"/>
                <w:color w:val="auto"/>
                <w:lang w:eastAsia="zh-CN"/>
              </w:rPr>
              <w:t>沉淀池，场地进出口设置车辆清洗池，</w:t>
            </w:r>
            <w:r>
              <w:rPr>
                <w:rFonts w:hint="eastAsia"/>
                <w:color w:val="auto"/>
                <w:lang w:val="en-US" w:eastAsia="zh-CN"/>
              </w:rPr>
              <w:t>设备及</w:t>
            </w:r>
            <w:r>
              <w:rPr>
                <w:rFonts w:hint="eastAsia"/>
                <w:color w:val="auto"/>
                <w:lang w:eastAsia="zh-CN"/>
              </w:rPr>
              <w:t>运输车辆冲洗废水、</w:t>
            </w:r>
            <w:r>
              <w:rPr>
                <w:rFonts w:hint="eastAsia"/>
                <w:color w:val="auto"/>
                <w:lang w:val="en-US" w:eastAsia="zh-CN"/>
              </w:rPr>
              <w:t>桥梁</w:t>
            </w:r>
            <w:r>
              <w:rPr>
                <w:rFonts w:hint="eastAsia"/>
                <w:color w:val="auto"/>
                <w:lang w:eastAsia="zh-CN"/>
              </w:rPr>
              <w:t>基坑废水</w:t>
            </w:r>
            <w:r>
              <w:rPr>
                <w:rFonts w:hint="eastAsia"/>
                <w:color w:val="auto"/>
                <w:lang w:val="en-US" w:eastAsia="zh-CN"/>
              </w:rPr>
              <w:t>等</w:t>
            </w:r>
            <w:r>
              <w:rPr>
                <w:rFonts w:hint="eastAsia"/>
                <w:color w:val="auto"/>
                <w:lang w:eastAsia="zh-CN"/>
              </w:rPr>
              <w:t>施工废水经</w:t>
            </w:r>
            <w:r>
              <w:rPr>
                <w:rFonts w:hint="eastAsia"/>
                <w:color w:val="auto"/>
                <w:lang w:val="en-US" w:eastAsia="zh-CN"/>
              </w:rPr>
              <w:t>隔油</w:t>
            </w:r>
            <w:r>
              <w:rPr>
                <w:rFonts w:hint="eastAsia"/>
                <w:color w:val="auto"/>
                <w:lang w:eastAsia="zh-CN"/>
              </w:rPr>
              <w:t>沉淀处理后回用于冲洗、洒水降尘</w:t>
            </w:r>
            <w:r>
              <w:rPr>
                <w:rFonts w:hint="eastAsia"/>
                <w:color w:val="auto"/>
              </w:rPr>
              <w:t>。</w:t>
            </w:r>
            <w:r>
              <w:rPr>
                <w:rFonts w:hint="eastAsia"/>
                <w:color w:val="auto"/>
                <w:lang w:val="en-US" w:eastAsia="zh-CN"/>
              </w:rPr>
              <w:t>施工人员生活污水依托周边现有的污水设施处理后经市政污水管网进入奉节西部新区污水处理厂处理。</w:t>
            </w:r>
          </w:p>
        </w:tc>
        <w:tc>
          <w:tcPr>
            <w:tcW w:w="969" w:type="pct"/>
            <w:noWrap w:val="0"/>
            <w:vAlign w:val="center"/>
          </w:tcPr>
          <w:p w14:paraId="2B9CFBC2">
            <w:pPr>
              <w:pStyle w:val="23"/>
              <w:bidi w:val="0"/>
              <w:rPr>
                <w:rFonts w:hint="eastAsia"/>
                <w:color w:val="auto"/>
                <w:lang w:val="en-US" w:eastAsia="zh-CN"/>
              </w:rPr>
            </w:pPr>
            <w:r>
              <w:rPr>
                <w:color w:val="auto"/>
              </w:rPr>
              <w:t>满足环保要求</w:t>
            </w:r>
          </w:p>
        </w:tc>
        <w:tc>
          <w:tcPr>
            <w:tcW w:w="923" w:type="pct"/>
            <w:noWrap w:val="0"/>
            <w:vAlign w:val="center"/>
          </w:tcPr>
          <w:p w14:paraId="4851D178">
            <w:pPr>
              <w:pStyle w:val="23"/>
              <w:bidi w:val="0"/>
              <w:jc w:val="both"/>
              <w:rPr>
                <w:rFonts w:hint="eastAsia"/>
                <w:color w:val="auto"/>
                <w:lang w:val="en-US" w:eastAsia="zh-CN"/>
              </w:rPr>
            </w:pPr>
            <w:r>
              <w:rPr>
                <w:rFonts w:hint="eastAsia"/>
                <w:color w:val="auto"/>
                <w:lang w:val="zh-CN"/>
              </w:rPr>
              <w:t>道路沿线</w:t>
            </w:r>
            <w:r>
              <w:rPr>
                <w:rFonts w:hint="eastAsia"/>
                <w:color w:val="auto"/>
                <w:lang w:val="en-US" w:eastAsia="zh-CN"/>
              </w:rPr>
              <w:t>设置雨水收集系统，汇入下游</w:t>
            </w:r>
            <w:r>
              <w:rPr>
                <w:rFonts w:hint="eastAsia"/>
                <w:color w:val="auto"/>
                <w:lang w:val="zh-CN"/>
              </w:rPr>
              <w:t>市政</w:t>
            </w:r>
            <w:r>
              <w:rPr>
                <w:rFonts w:hint="eastAsia"/>
                <w:color w:val="auto"/>
                <w:lang w:val="en-US" w:eastAsia="zh-CN"/>
              </w:rPr>
              <w:t>雨水</w:t>
            </w:r>
            <w:r>
              <w:rPr>
                <w:rFonts w:hint="eastAsia"/>
                <w:color w:val="auto"/>
                <w:lang w:val="zh-CN"/>
              </w:rPr>
              <w:t>管网；加强排水系统维护，定期检查，确保降水畅通排泄</w:t>
            </w:r>
            <w:r>
              <w:rPr>
                <w:color w:val="auto"/>
              </w:rPr>
              <w:t>。</w:t>
            </w:r>
          </w:p>
        </w:tc>
        <w:tc>
          <w:tcPr>
            <w:tcW w:w="991" w:type="pct"/>
            <w:noWrap w:val="0"/>
            <w:vAlign w:val="center"/>
          </w:tcPr>
          <w:p w14:paraId="285803D1">
            <w:pPr>
              <w:pStyle w:val="23"/>
              <w:bidi w:val="0"/>
              <w:jc w:val="both"/>
              <w:rPr>
                <w:rFonts w:hint="eastAsia" w:eastAsia="宋体"/>
                <w:color w:val="auto"/>
                <w:lang w:val="en-US" w:eastAsia="zh-CN"/>
              </w:rPr>
            </w:pPr>
            <w:r>
              <w:rPr>
                <w:color w:val="auto"/>
              </w:rPr>
              <w:t>建设完善的雨污排水管道，不产生二次污染</w:t>
            </w:r>
            <w:r>
              <w:rPr>
                <w:rFonts w:hint="eastAsia"/>
                <w:color w:val="auto"/>
                <w:lang w:eastAsia="zh-CN"/>
              </w:rPr>
              <w:t>。</w:t>
            </w:r>
          </w:p>
        </w:tc>
      </w:tr>
      <w:tr w14:paraId="71C83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55" w:type="pct"/>
            <w:noWrap w:val="0"/>
            <w:vAlign w:val="center"/>
          </w:tcPr>
          <w:p w14:paraId="6CAC2CF9">
            <w:pPr>
              <w:pStyle w:val="23"/>
              <w:bidi w:val="0"/>
              <w:rPr>
                <w:rFonts w:hint="eastAsia"/>
                <w:color w:val="auto"/>
              </w:rPr>
            </w:pPr>
            <w:r>
              <w:rPr>
                <w:rFonts w:hint="eastAsia"/>
                <w:color w:val="auto"/>
              </w:rPr>
              <w:t>地下水及土壤环境</w:t>
            </w:r>
          </w:p>
        </w:tc>
        <w:tc>
          <w:tcPr>
            <w:tcW w:w="1360" w:type="pct"/>
            <w:noWrap w:val="0"/>
            <w:vAlign w:val="center"/>
          </w:tcPr>
          <w:p w14:paraId="4521B897">
            <w:pPr>
              <w:pStyle w:val="23"/>
              <w:bidi w:val="0"/>
              <w:rPr>
                <w:rFonts w:hint="eastAsia"/>
                <w:color w:val="auto"/>
                <w:lang w:val="en-US" w:eastAsia="zh-CN"/>
              </w:rPr>
            </w:pPr>
            <w:r>
              <w:rPr>
                <w:color w:val="auto"/>
              </w:rPr>
              <w:t>/</w:t>
            </w:r>
          </w:p>
        </w:tc>
        <w:tc>
          <w:tcPr>
            <w:tcW w:w="969" w:type="pct"/>
            <w:noWrap w:val="0"/>
            <w:vAlign w:val="center"/>
          </w:tcPr>
          <w:p w14:paraId="3373A6A2">
            <w:pPr>
              <w:pStyle w:val="23"/>
              <w:bidi w:val="0"/>
              <w:rPr>
                <w:rFonts w:hint="eastAsia"/>
                <w:color w:val="auto"/>
                <w:lang w:val="en-US" w:eastAsia="zh-CN"/>
              </w:rPr>
            </w:pPr>
            <w:r>
              <w:rPr>
                <w:color w:val="auto"/>
              </w:rPr>
              <w:t>/</w:t>
            </w:r>
          </w:p>
        </w:tc>
        <w:tc>
          <w:tcPr>
            <w:tcW w:w="923" w:type="pct"/>
            <w:noWrap w:val="0"/>
            <w:vAlign w:val="center"/>
          </w:tcPr>
          <w:p w14:paraId="541E68A9">
            <w:pPr>
              <w:pStyle w:val="23"/>
              <w:bidi w:val="0"/>
              <w:rPr>
                <w:rFonts w:hint="eastAsia"/>
                <w:color w:val="auto"/>
                <w:lang w:val="en-US" w:eastAsia="zh-CN"/>
              </w:rPr>
            </w:pPr>
            <w:r>
              <w:rPr>
                <w:color w:val="auto"/>
              </w:rPr>
              <w:t>/</w:t>
            </w:r>
          </w:p>
        </w:tc>
        <w:tc>
          <w:tcPr>
            <w:tcW w:w="991" w:type="pct"/>
            <w:noWrap w:val="0"/>
            <w:vAlign w:val="center"/>
          </w:tcPr>
          <w:p w14:paraId="4FBFB2F5">
            <w:pPr>
              <w:pStyle w:val="23"/>
              <w:bidi w:val="0"/>
              <w:rPr>
                <w:rFonts w:hint="eastAsia"/>
                <w:color w:val="auto"/>
                <w:lang w:val="en-US" w:eastAsia="zh-CN"/>
              </w:rPr>
            </w:pPr>
            <w:r>
              <w:rPr>
                <w:color w:val="auto"/>
              </w:rPr>
              <w:t>/</w:t>
            </w:r>
          </w:p>
        </w:tc>
      </w:tr>
      <w:tr w14:paraId="6A982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5" w:type="pct"/>
            <w:noWrap w:val="0"/>
            <w:vAlign w:val="center"/>
          </w:tcPr>
          <w:p w14:paraId="173D353D">
            <w:pPr>
              <w:pStyle w:val="23"/>
              <w:bidi w:val="0"/>
              <w:rPr>
                <w:rFonts w:hint="eastAsia"/>
                <w:color w:val="auto"/>
              </w:rPr>
            </w:pPr>
            <w:r>
              <w:rPr>
                <w:rFonts w:hint="eastAsia"/>
                <w:color w:val="auto"/>
              </w:rPr>
              <w:t>声环境</w:t>
            </w:r>
          </w:p>
        </w:tc>
        <w:tc>
          <w:tcPr>
            <w:tcW w:w="1360" w:type="pct"/>
            <w:noWrap w:val="0"/>
            <w:vAlign w:val="center"/>
          </w:tcPr>
          <w:p w14:paraId="7141C84A">
            <w:pPr>
              <w:pStyle w:val="23"/>
              <w:bidi w:val="0"/>
              <w:jc w:val="both"/>
              <w:rPr>
                <w:rFonts w:hint="eastAsia"/>
                <w:color w:val="auto"/>
                <w:lang w:val="en-US" w:eastAsia="zh-CN"/>
              </w:rPr>
            </w:pPr>
            <w:r>
              <w:rPr>
                <w:rFonts w:hint="eastAsia"/>
                <w:color w:val="auto"/>
                <w:lang w:val="en-US" w:eastAsia="zh-CN"/>
              </w:rPr>
              <w:t>合理安排施工时间，选用低噪声设备，施工工地内合理布置施工设备；施工场地周围设围挡，合理安排材料运输路线，运输车辆限速、禁鸣；加强施工现场管理，加强施工设备维护和保养。</w:t>
            </w:r>
          </w:p>
        </w:tc>
        <w:tc>
          <w:tcPr>
            <w:tcW w:w="969" w:type="pct"/>
            <w:noWrap w:val="0"/>
            <w:vAlign w:val="center"/>
          </w:tcPr>
          <w:p w14:paraId="44EEFAAD">
            <w:pPr>
              <w:pStyle w:val="23"/>
              <w:bidi w:val="0"/>
              <w:jc w:val="both"/>
              <w:rPr>
                <w:rFonts w:hint="eastAsia" w:eastAsia="宋体"/>
                <w:color w:val="auto"/>
                <w:lang w:val="en-US" w:eastAsia="zh-CN"/>
              </w:rPr>
            </w:pPr>
            <w:r>
              <w:rPr>
                <w:rFonts w:hint="eastAsia"/>
                <w:color w:val="auto"/>
              </w:rPr>
              <w:t>减轻不利影响，避免扰民</w:t>
            </w:r>
            <w:r>
              <w:rPr>
                <w:rFonts w:hint="eastAsia"/>
                <w:color w:val="auto"/>
                <w:lang w:eastAsia="zh-CN"/>
              </w:rPr>
              <w:t>。</w:t>
            </w:r>
          </w:p>
        </w:tc>
        <w:tc>
          <w:tcPr>
            <w:tcW w:w="923" w:type="pct"/>
            <w:noWrap w:val="0"/>
            <w:vAlign w:val="center"/>
          </w:tcPr>
          <w:p w14:paraId="4180AFC8">
            <w:pPr>
              <w:pStyle w:val="23"/>
              <w:bidi w:val="0"/>
              <w:jc w:val="both"/>
              <w:rPr>
                <w:rFonts w:hint="eastAsia"/>
                <w:color w:val="auto"/>
                <w:lang w:val="en-US" w:eastAsia="zh-CN"/>
              </w:rPr>
            </w:pPr>
            <w:r>
              <w:rPr>
                <w:rFonts w:hint="eastAsia"/>
                <w:color w:val="auto"/>
                <w:lang w:val="en-US" w:eastAsia="zh-CN"/>
              </w:rPr>
              <w:t>加强绿化；加强道路运营期管理，合理设置禁鸣标志、限速标志；加强维护路面平整；预留跟踪监测及噪声治理等费用</w:t>
            </w:r>
            <w:r>
              <w:rPr>
                <w:color w:val="auto"/>
              </w:rPr>
              <w:t>。</w:t>
            </w:r>
          </w:p>
        </w:tc>
        <w:tc>
          <w:tcPr>
            <w:tcW w:w="991" w:type="pct"/>
            <w:noWrap w:val="0"/>
            <w:vAlign w:val="center"/>
          </w:tcPr>
          <w:p w14:paraId="0868484A">
            <w:pPr>
              <w:pStyle w:val="23"/>
              <w:bidi w:val="0"/>
              <w:jc w:val="both"/>
              <w:rPr>
                <w:rFonts w:hint="eastAsia"/>
                <w:color w:val="auto"/>
                <w:lang w:val="en-US" w:eastAsia="zh-CN"/>
              </w:rPr>
            </w:pPr>
            <w:r>
              <w:rPr>
                <w:rFonts w:hint="eastAsia"/>
                <w:color w:val="auto"/>
                <w:lang w:val="en-US" w:eastAsia="zh-CN"/>
              </w:rPr>
              <w:t>满足</w:t>
            </w:r>
            <w:r>
              <w:rPr>
                <w:rFonts w:hint="eastAsia"/>
                <w:color w:val="auto"/>
              </w:rPr>
              <w:t>《</w:t>
            </w:r>
            <w:r>
              <w:rPr>
                <w:rFonts w:hint="eastAsia"/>
                <w:color w:val="auto"/>
                <w:lang w:eastAsia="zh-CN"/>
              </w:rPr>
              <w:t>声环境质量标准</w:t>
            </w:r>
            <w:r>
              <w:rPr>
                <w:color w:val="auto"/>
              </w:rPr>
              <w:t>》（GB</w:t>
            </w:r>
            <w:r>
              <w:rPr>
                <w:rFonts w:hint="eastAsia"/>
                <w:color w:val="auto"/>
                <w:lang w:val="en-US" w:eastAsia="zh-CN"/>
              </w:rPr>
              <w:t xml:space="preserve"> </w:t>
            </w:r>
            <w:r>
              <w:rPr>
                <w:color w:val="auto"/>
              </w:rPr>
              <w:t>3096-2008）</w:t>
            </w:r>
            <w:r>
              <w:rPr>
                <w:rFonts w:hint="eastAsia"/>
                <w:color w:val="auto"/>
                <w:lang w:val="en-US" w:eastAsia="zh-CN"/>
              </w:rPr>
              <w:t>4a类、</w:t>
            </w:r>
            <w:r>
              <w:rPr>
                <w:color w:val="auto"/>
              </w:rPr>
              <w:t>2类标准。</w:t>
            </w:r>
          </w:p>
        </w:tc>
      </w:tr>
      <w:tr w14:paraId="77CED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55" w:type="pct"/>
            <w:noWrap w:val="0"/>
            <w:vAlign w:val="center"/>
          </w:tcPr>
          <w:p w14:paraId="1B2D55E4">
            <w:pPr>
              <w:pStyle w:val="23"/>
              <w:bidi w:val="0"/>
              <w:rPr>
                <w:rFonts w:hint="eastAsia"/>
                <w:color w:val="auto"/>
              </w:rPr>
            </w:pPr>
            <w:r>
              <w:rPr>
                <w:rFonts w:hint="eastAsia"/>
                <w:color w:val="auto"/>
              </w:rPr>
              <w:t>振动</w:t>
            </w:r>
          </w:p>
        </w:tc>
        <w:tc>
          <w:tcPr>
            <w:tcW w:w="1360" w:type="pct"/>
            <w:noWrap w:val="0"/>
            <w:vAlign w:val="center"/>
          </w:tcPr>
          <w:p w14:paraId="7F8F55B9">
            <w:pPr>
              <w:pStyle w:val="23"/>
              <w:bidi w:val="0"/>
              <w:rPr>
                <w:rFonts w:hint="eastAsia"/>
                <w:color w:val="auto"/>
                <w:lang w:val="en-US" w:eastAsia="zh-CN"/>
              </w:rPr>
            </w:pPr>
            <w:r>
              <w:rPr>
                <w:color w:val="auto"/>
              </w:rPr>
              <w:t>/</w:t>
            </w:r>
          </w:p>
        </w:tc>
        <w:tc>
          <w:tcPr>
            <w:tcW w:w="969" w:type="pct"/>
            <w:noWrap w:val="0"/>
            <w:vAlign w:val="center"/>
          </w:tcPr>
          <w:p w14:paraId="7577E19E">
            <w:pPr>
              <w:pStyle w:val="23"/>
              <w:bidi w:val="0"/>
              <w:rPr>
                <w:rFonts w:hint="eastAsia"/>
                <w:color w:val="auto"/>
                <w:lang w:val="en-US" w:eastAsia="zh-CN"/>
              </w:rPr>
            </w:pPr>
            <w:r>
              <w:rPr>
                <w:color w:val="auto"/>
              </w:rPr>
              <w:t>/</w:t>
            </w:r>
          </w:p>
        </w:tc>
        <w:tc>
          <w:tcPr>
            <w:tcW w:w="923" w:type="pct"/>
            <w:noWrap w:val="0"/>
            <w:vAlign w:val="center"/>
          </w:tcPr>
          <w:p w14:paraId="6BDE16BB">
            <w:pPr>
              <w:pStyle w:val="23"/>
              <w:bidi w:val="0"/>
              <w:rPr>
                <w:rFonts w:hint="eastAsia"/>
                <w:color w:val="auto"/>
                <w:lang w:val="en-US" w:eastAsia="zh-CN"/>
              </w:rPr>
            </w:pPr>
            <w:r>
              <w:rPr>
                <w:color w:val="auto"/>
              </w:rPr>
              <w:t>/</w:t>
            </w:r>
          </w:p>
        </w:tc>
        <w:tc>
          <w:tcPr>
            <w:tcW w:w="991" w:type="pct"/>
            <w:noWrap w:val="0"/>
            <w:vAlign w:val="center"/>
          </w:tcPr>
          <w:p w14:paraId="34679113">
            <w:pPr>
              <w:pStyle w:val="23"/>
              <w:bidi w:val="0"/>
              <w:rPr>
                <w:rFonts w:hint="default"/>
                <w:color w:val="auto"/>
                <w:lang w:val="en-US" w:eastAsia="zh-CN"/>
              </w:rPr>
            </w:pPr>
            <w:r>
              <w:rPr>
                <w:rFonts w:hint="eastAsia"/>
                <w:color w:val="auto"/>
                <w:lang w:val="en-US" w:eastAsia="zh-CN"/>
              </w:rPr>
              <w:t>/</w:t>
            </w:r>
          </w:p>
        </w:tc>
      </w:tr>
      <w:tr w14:paraId="276025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5" w:type="pct"/>
            <w:noWrap w:val="0"/>
            <w:vAlign w:val="center"/>
          </w:tcPr>
          <w:p w14:paraId="45085CB9">
            <w:pPr>
              <w:pStyle w:val="23"/>
              <w:bidi w:val="0"/>
              <w:rPr>
                <w:rFonts w:hint="eastAsia"/>
                <w:color w:val="auto"/>
              </w:rPr>
            </w:pPr>
            <w:r>
              <w:rPr>
                <w:rFonts w:hint="eastAsia"/>
                <w:color w:val="auto"/>
              </w:rPr>
              <w:t>大气环境</w:t>
            </w:r>
          </w:p>
        </w:tc>
        <w:tc>
          <w:tcPr>
            <w:tcW w:w="1360" w:type="pct"/>
            <w:noWrap w:val="0"/>
            <w:vAlign w:val="center"/>
          </w:tcPr>
          <w:p w14:paraId="65CA7FEB">
            <w:pPr>
              <w:pStyle w:val="23"/>
              <w:bidi w:val="0"/>
              <w:jc w:val="both"/>
              <w:rPr>
                <w:rFonts w:hint="eastAsia" w:eastAsia="宋体"/>
                <w:color w:val="auto"/>
                <w:lang w:val="en-US" w:eastAsia="zh-CN"/>
              </w:rPr>
            </w:pPr>
            <w:r>
              <w:rPr>
                <w:rFonts w:hint="eastAsia"/>
                <w:color w:val="auto"/>
                <w:lang w:val="en-US" w:eastAsia="zh-CN"/>
              </w:rPr>
              <w:t>施工场地采取湿式作业，配备洒水、喷淋等降尘措施；设置车辆冲洗设施，严禁带泥上路；施工场地周围设围挡；易撒漏物料采用密闭运输，易扬尘物料、表土堆放过程采取覆盖措施；加强施工机械维护和保养</w:t>
            </w:r>
            <w:r>
              <w:rPr>
                <w:rFonts w:hint="eastAsia"/>
                <w:color w:val="auto"/>
                <w:lang w:eastAsia="zh-CN"/>
              </w:rPr>
              <w:t>。</w:t>
            </w:r>
          </w:p>
        </w:tc>
        <w:tc>
          <w:tcPr>
            <w:tcW w:w="969" w:type="pct"/>
            <w:noWrap w:val="0"/>
            <w:vAlign w:val="center"/>
          </w:tcPr>
          <w:p w14:paraId="5A673370">
            <w:pPr>
              <w:pStyle w:val="23"/>
              <w:bidi w:val="0"/>
              <w:jc w:val="both"/>
              <w:rPr>
                <w:rFonts w:hint="eastAsia" w:eastAsia="宋体"/>
                <w:color w:val="auto"/>
                <w:lang w:val="en-US" w:eastAsia="zh-CN"/>
              </w:rPr>
            </w:pPr>
            <w:r>
              <w:rPr>
                <w:color w:val="auto"/>
              </w:rPr>
              <w:t>减少施工扬尘、尾气等的环境影响</w:t>
            </w:r>
            <w:r>
              <w:rPr>
                <w:rFonts w:hint="eastAsia"/>
                <w:color w:val="auto"/>
                <w:lang w:eastAsia="zh-CN"/>
              </w:rPr>
              <w:t>。</w:t>
            </w:r>
          </w:p>
        </w:tc>
        <w:tc>
          <w:tcPr>
            <w:tcW w:w="923" w:type="pct"/>
            <w:noWrap w:val="0"/>
            <w:vAlign w:val="center"/>
          </w:tcPr>
          <w:p w14:paraId="72F59F0B">
            <w:pPr>
              <w:pStyle w:val="23"/>
              <w:bidi w:val="0"/>
              <w:jc w:val="both"/>
              <w:rPr>
                <w:rFonts w:hint="eastAsia" w:eastAsia="宋体"/>
                <w:color w:val="auto"/>
                <w:lang w:val="en-US" w:eastAsia="zh-CN"/>
              </w:rPr>
            </w:pPr>
            <w:r>
              <w:rPr>
                <w:color w:val="auto"/>
              </w:rPr>
              <w:t>加加强绿化；严格执行汽车排放车检制度，限制尾气排放</w:t>
            </w:r>
            <w:r>
              <w:rPr>
                <w:rFonts w:hint="eastAsia"/>
                <w:color w:val="auto"/>
                <w:lang w:val="en-US" w:eastAsia="zh-CN"/>
              </w:rPr>
              <w:t>不达标</w:t>
            </w:r>
            <w:r>
              <w:rPr>
                <w:color w:val="auto"/>
              </w:rPr>
              <w:t>车辆上路；加强路面的清扫</w:t>
            </w:r>
            <w:r>
              <w:rPr>
                <w:rFonts w:hint="eastAsia"/>
                <w:color w:val="auto"/>
                <w:lang w:eastAsia="zh-CN"/>
              </w:rPr>
              <w:t>。</w:t>
            </w:r>
          </w:p>
        </w:tc>
        <w:tc>
          <w:tcPr>
            <w:tcW w:w="991" w:type="pct"/>
            <w:noWrap w:val="0"/>
            <w:vAlign w:val="center"/>
          </w:tcPr>
          <w:p w14:paraId="58A6C421">
            <w:pPr>
              <w:pStyle w:val="23"/>
              <w:bidi w:val="0"/>
              <w:jc w:val="both"/>
              <w:rPr>
                <w:rFonts w:hint="eastAsia" w:eastAsia="宋体"/>
                <w:color w:val="auto"/>
                <w:lang w:val="en-US" w:eastAsia="zh-CN"/>
              </w:rPr>
            </w:pPr>
            <w:r>
              <w:rPr>
                <w:color w:val="auto"/>
              </w:rPr>
              <w:t>减少道路扬尘、汽车尾气的污染</w:t>
            </w:r>
            <w:r>
              <w:rPr>
                <w:rFonts w:hint="eastAsia"/>
                <w:color w:val="auto"/>
                <w:lang w:eastAsia="zh-CN"/>
              </w:rPr>
              <w:t>。</w:t>
            </w:r>
          </w:p>
        </w:tc>
      </w:tr>
      <w:tr w14:paraId="61437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5" w:type="pct"/>
            <w:noWrap w:val="0"/>
            <w:vAlign w:val="center"/>
          </w:tcPr>
          <w:p w14:paraId="0AD01878">
            <w:pPr>
              <w:pStyle w:val="23"/>
              <w:bidi w:val="0"/>
              <w:rPr>
                <w:rFonts w:hint="eastAsia"/>
                <w:color w:val="auto"/>
              </w:rPr>
            </w:pPr>
            <w:r>
              <w:rPr>
                <w:rFonts w:hint="eastAsia"/>
                <w:color w:val="auto"/>
              </w:rPr>
              <w:t>固体废物</w:t>
            </w:r>
          </w:p>
        </w:tc>
        <w:tc>
          <w:tcPr>
            <w:tcW w:w="1360" w:type="pct"/>
            <w:noWrap w:val="0"/>
            <w:vAlign w:val="center"/>
          </w:tcPr>
          <w:p w14:paraId="2B572341">
            <w:pPr>
              <w:pStyle w:val="23"/>
              <w:bidi w:val="0"/>
              <w:jc w:val="both"/>
              <w:rPr>
                <w:rFonts w:hint="eastAsia"/>
                <w:color w:val="auto"/>
                <w:lang w:val="en-US" w:eastAsia="zh-CN"/>
              </w:rPr>
            </w:pPr>
            <w:r>
              <w:rPr>
                <w:rFonts w:hint="eastAsia"/>
                <w:color w:val="auto"/>
                <w:lang w:val="en-US" w:eastAsia="zh-CN"/>
              </w:rPr>
              <w:t>调运至周边建设项目进行平衡，采取密闭运输、车辆禁止带泥上</w:t>
            </w:r>
            <w:r>
              <w:rPr>
                <w:color w:val="auto"/>
              </w:rPr>
              <w:t>。</w:t>
            </w:r>
          </w:p>
        </w:tc>
        <w:tc>
          <w:tcPr>
            <w:tcW w:w="969" w:type="pct"/>
            <w:noWrap w:val="0"/>
            <w:vAlign w:val="center"/>
          </w:tcPr>
          <w:p w14:paraId="1500618A">
            <w:pPr>
              <w:pStyle w:val="23"/>
              <w:bidi w:val="0"/>
              <w:jc w:val="both"/>
              <w:rPr>
                <w:rFonts w:hint="eastAsia" w:eastAsia="宋体"/>
                <w:color w:val="auto"/>
                <w:lang w:val="en-US" w:eastAsia="zh-CN"/>
              </w:rPr>
            </w:pPr>
            <w:r>
              <w:rPr>
                <w:color w:val="auto"/>
              </w:rPr>
              <w:t>妥善处置</w:t>
            </w:r>
            <w:r>
              <w:rPr>
                <w:rFonts w:hint="eastAsia"/>
                <w:color w:val="auto"/>
                <w:lang w:eastAsia="zh-CN"/>
              </w:rPr>
              <w:t>，</w:t>
            </w:r>
            <w:r>
              <w:rPr>
                <w:color w:val="auto"/>
              </w:rPr>
              <w:t>不产生二次污</w:t>
            </w:r>
            <w:r>
              <w:rPr>
                <w:rFonts w:hint="eastAsia"/>
                <w:color w:val="auto"/>
                <w:lang w:val="en-US" w:eastAsia="zh-CN"/>
              </w:rPr>
              <w:t>染。</w:t>
            </w:r>
          </w:p>
        </w:tc>
        <w:tc>
          <w:tcPr>
            <w:tcW w:w="923" w:type="pct"/>
            <w:noWrap w:val="0"/>
            <w:vAlign w:val="center"/>
          </w:tcPr>
          <w:p w14:paraId="519076EB">
            <w:pPr>
              <w:pStyle w:val="23"/>
              <w:bidi w:val="0"/>
              <w:jc w:val="both"/>
              <w:rPr>
                <w:rFonts w:hint="eastAsia"/>
                <w:color w:val="auto"/>
                <w:lang w:val="en-US" w:eastAsia="zh-CN"/>
              </w:rPr>
            </w:pPr>
            <w:r>
              <w:rPr>
                <w:rFonts w:hint="eastAsia"/>
                <w:color w:val="auto"/>
              </w:rPr>
              <w:t>行驶车辆及过往人员丢弃的垃圾，</w:t>
            </w:r>
            <w:r>
              <w:rPr>
                <w:rFonts w:hint="eastAsia"/>
                <w:color w:val="auto"/>
                <w:lang w:val="en-US" w:eastAsia="zh-CN"/>
              </w:rPr>
              <w:t>由</w:t>
            </w:r>
            <w:r>
              <w:rPr>
                <w:rFonts w:hint="eastAsia"/>
                <w:color w:val="auto"/>
              </w:rPr>
              <w:t>环卫部门统一清扫</w:t>
            </w:r>
            <w:r>
              <w:rPr>
                <w:rFonts w:hint="eastAsia"/>
                <w:color w:val="auto"/>
                <w:lang w:val="en-US" w:eastAsia="zh-CN"/>
              </w:rPr>
              <w:t>处置。</w:t>
            </w:r>
          </w:p>
        </w:tc>
        <w:tc>
          <w:tcPr>
            <w:tcW w:w="991" w:type="pct"/>
            <w:noWrap w:val="0"/>
            <w:vAlign w:val="center"/>
          </w:tcPr>
          <w:p w14:paraId="46068E79">
            <w:pPr>
              <w:pStyle w:val="23"/>
              <w:bidi w:val="0"/>
              <w:jc w:val="both"/>
              <w:rPr>
                <w:rFonts w:hint="eastAsia"/>
                <w:color w:val="auto"/>
                <w:lang w:val="en-US" w:eastAsia="zh-CN"/>
              </w:rPr>
            </w:pPr>
            <w:r>
              <w:rPr>
                <w:color w:val="auto"/>
              </w:rPr>
              <w:t>妥善处置</w:t>
            </w:r>
            <w:r>
              <w:rPr>
                <w:rFonts w:hint="eastAsia"/>
                <w:color w:val="auto"/>
                <w:lang w:eastAsia="zh-CN"/>
              </w:rPr>
              <w:t>，</w:t>
            </w:r>
            <w:r>
              <w:rPr>
                <w:color w:val="auto"/>
              </w:rPr>
              <w:t>不产生二次污</w:t>
            </w:r>
            <w:r>
              <w:rPr>
                <w:rFonts w:hint="eastAsia"/>
                <w:color w:val="auto"/>
                <w:lang w:val="en-US" w:eastAsia="zh-CN"/>
              </w:rPr>
              <w:t>染。</w:t>
            </w:r>
          </w:p>
        </w:tc>
      </w:tr>
      <w:tr w14:paraId="7880C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55" w:type="pct"/>
            <w:noWrap w:val="0"/>
            <w:vAlign w:val="center"/>
          </w:tcPr>
          <w:p w14:paraId="0527BA5C">
            <w:pPr>
              <w:pStyle w:val="23"/>
              <w:bidi w:val="0"/>
              <w:rPr>
                <w:rFonts w:hint="eastAsia"/>
                <w:color w:val="auto"/>
              </w:rPr>
            </w:pPr>
            <w:r>
              <w:rPr>
                <w:rFonts w:hint="eastAsia"/>
                <w:color w:val="auto"/>
              </w:rPr>
              <w:t>电磁环境</w:t>
            </w:r>
          </w:p>
        </w:tc>
        <w:tc>
          <w:tcPr>
            <w:tcW w:w="1360" w:type="pct"/>
            <w:noWrap w:val="0"/>
            <w:vAlign w:val="center"/>
          </w:tcPr>
          <w:p w14:paraId="63294B06">
            <w:pPr>
              <w:pStyle w:val="23"/>
              <w:bidi w:val="0"/>
              <w:rPr>
                <w:rFonts w:hint="eastAsia"/>
                <w:color w:val="auto"/>
                <w:lang w:val="en-US" w:eastAsia="zh-CN"/>
              </w:rPr>
            </w:pPr>
            <w:r>
              <w:rPr>
                <w:color w:val="auto"/>
              </w:rPr>
              <w:t>/</w:t>
            </w:r>
          </w:p>
        </w:tc>
        <w:tc>
          <w:tcPr>
            <w:tcW w:w="969" w:type="pct"/>
            <w:noWrap w:val="0"/>
            <w:vAlign w:val="center"/>
          </w:tcPr>
          <w:p w14:paraId="7D427AB5">
            <w:pPr>
              <w:pStyle w:val="23"/>
              <w:bidi w:val="0"/>
              <w:rPr>
                <w:rFonts w:hint="default"/>
                <w:color w:val="auto"/>
                <w:lang w:val="en-US" w:eastAsia="zh-CN"/>
              </w:rPr>
            </w:pPr>
            <w:r>
              <w:rPr>
                <w:rFonts w:hint="eastAsia"/>
                <w:color w:val="auto"/>
                <w:lang w:val="en-US" w:eastAsia="zh-CN"/>
              </w:rPr>
              <w:t>/</w:t>
            </w:r>
          </w:p>
        </w:tc>
        <w:tc>
          <w:tcPr>
            <w:tcW w:w="923" w:type="pct"/>
            <w:noWrap w:val="0"/>
            <w:vAlign w:val="center"/>
          </w:tcPr>
          <w:p w14:paraId="5987DC4A">
            <w:pPr>
              <w:pStyle w:val="23"/>
              <w:bidi w:val="0"/>
              <w:rPr>
                <w:rFonts w:hint="eastAsia"/>
                <w:color w:val="auto"/>
                <w:lang w:val="en-US" w:eastAsia="zh-CN"/>
              </w:rPr>
            </w:pPr>
            <w:r>
              <w:rPr>
                <w:color w:val="auto"/>
              </w:rPr>
              <w:t>/</w:t>
            </w:r>
          </w:p>
        </w:tc>
        <w:tc>
          <w:tcPr>
            <w:tcW w:w="991" w:type="pct"/>
            <w:noWrap w:val="0"/>
            <w:vAlign w:val="center"/>
          </w:tcPr>
          <w:p w14:paraId="7AE98C7E">
            <w:pPr>
              <w:pStyle w:val="23"/>
              <w:bidi w:val="0"/>
              <w:rPr>
                <w:rFonts w:hint="default"/>
                <w:color w:val="auto"/>
                <w:lang w:val="en-US" w:eastAsia="zh-CN"/>
              </w:rPr>
            </w:pPr>
            <w:r>
              <w:rPr>
                <w:rFonts w:hint="eastAsia"/>
                <w:color w:val="auto"/>
                <w:lang w:val="en-US" w:eastAsia="zh-CN"/>
              </w:rPr>
              <w:t>/</w:t>
            </w:r>
          </w:p>
        </w:tc>
      </w:tr>
      <w:tr w14:paraId="31EF3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55" w:type="pct"/>
            <w:noWrap w:val="0"/>
            <w:vAlign w:val="center"/>
          </w:tcPr>
          <w:p w14:paraId="3EDE6B67">
            <w:pPr>
              <w:pStyle w:val="23"/>
              <w:bidi w:val="0"/>
              <w:rPr>
                <w:rFonts w:hint="eastAsia"/>
                <w:color w:val="auto"/>
              </w:rPr>
            </w:pPr>
            <w:r>
              <w:rPr>
                <w:rFonts w:hint="eastAsia"/>
                <w:color w:val="auto"/>
              </w:rPr>
              <w:t>环境风险</w:t>
            </w:r>
          </w:p>
        </w:tc>
        <w:tc>
          <w:tcPr>
            <w:tcW w:w="1360" w:type="pct"/>
            <w:noWrap w:val="0"/>
            <w:vAlign w:val="center"/>
          </w:tcPr>
          <w:p w14:paraId="7E2A565A">
            <w:pPr>
              <w:pStyle w:val="23"/>
              <w:bidi w:val="0"/>
              <w:rPr>
                <w:rFonts w:hint="eastAsia"/>
                <w:color w:val="auto"/>
                <w:lang w:val="en-US" w:eastAsia="zh-CN"/>
              </w:rPr>
            </w:pPr>
            <w:r>
              <w:rPr>
                <w:color w:val="auto"/>
              </w:rPr>
              <w:t>/</w:t>
            </w:r>
          </w:p>
        </w:tc>
        <w:tc>
          <w:tcPr>
            <w:tcW w:w="969" w:type="pct"/>
            <w:noWrap w:val="0"/>
            <w:vAlign w:val="center"/>
          </w:tcPr>
          <w:p w14:paraId="7E75649A">
            <w:pPr>
              <w:pStyle w:val="23"/>
              <w:bidi w:val="0"/>
              <w:rPr>
                <w:rFonts w:hint="eastAsia"/>
                <w:color w:val="auto"/>
                <w:lang w:val="en-US" w:eastAsia="zh-CN"/>
              </w:rPr>
            </w:pPr>
            <w:r>
              <w:rPr>
                <w:color w:val="auto"/>
              </w:rPr>
              <w:t>/</w:t>
            </w:r>
          </w:p>
        </w:tc>
        <w:tc>
          <w:tcPr>
            <w:tcW w:w="923" w:type="pct"/>
            <w:noWrap w:val="0"/>
            <w:vAlign w:val="center"/>
          </w:tcPr>
          <w:p w14:paraId="7E2FEB26">
            <w:pPr>
              <w:pStyle w:val="23"/>
              <w:bidi w:val="0"/>
              <w:jc w:val="both"/>
              <w:rPr>
                <w:rFonts w:hint="eastAsia"/>
                <w:color w:val="auto"/>
                <w:lang w:val="en-US" w:eastAsia="zh-CN"/>
              </w:rPr>
            </w:pPr>
            <w:r>
              <w:rPr>
                <w:color w:val="auto"/>
              </w:rPr>
              <w:t>设置危险化学品运输车辆禁行标识标牌，设置减速牌、减速带等。</w:t>
            </w:r>
          </w:p>
        </w:tc>
        <w:tc>
          <w:tcPr>
            <w:tcW w:w="991" w:type="pct"/>
            <w:noWrap w:val="0"/>
            <w:vAlign w:val="center"/>
          </w:tcPr>
          <w:p w14:paraId="7BB0B2B6">
            <w:pPr>
              <w:pStyle w:val="23"/>
              <w:bidi w:val="0"/>
              <w:rPr>
                <w:rFonts w:hint="eastAsia" w:eastAsia="宋体"/>
                <w:color w:val="auto"/>
                <w:lang w:val="en-US" w:eastAsia="zh-CN"/>
              </w:rPr>
            </w:pPr>
            <w:r>
              <w:rPr>
                <w:rFonts w:hint="eastAsia"/>
                <w:color w:val="auto"/>
                <w:lang w:val="en-US" w:eastAsia="zh-CN"/>
              </w:rPr>
              <w:t>满足</w:t>
            </w:r>
            <w:r>
              <w:rPr>
                <w:color w:val="auto"/>
              </w:rPr>
              <w:t>环保要求</w:t>
            </w:r>
            <w:r>
              <w:rPr>
                <w:rFonts w:hint="eastAsia"/>
                <w:color w:val="auto"/>
                <w:lang w:eastAsia="zh-CN"/>
              </w:rPr>
              <w:t>。</w:t>
            </w:r>
          </w:p>
        </w:tc>
      </w:tr>
      <w:tr w14:paraId="5571D2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5" w:type="pct"/>
            <w:noWrap w:val="0"/>
            <w:vAlign w:val="center"/>
          </w:tcPr>
          <w:p w14:paraId="37E0BF34">
            <w:pPr>
              <w:pStyle w:val="23"/>
              <w:bidi w:val="0"/>
              <w:rPr>
                <w:rFonts w:hint="eastAsia"/>
                <w:color w:val="auto"/>
              </w:rPr>
            </w:pPr>
            <w:r>
              <w:rPr>
                <w:rFonts w:hint="eastAsia"/>
                <w:color w:val="auto"/>
              </w:rPr>
              <w:t>环境监测</w:t>
            </w:r>
          </w:p>
        </w:tc>
        <w:tc>
          <w:tcPr>
            <w:tcW w:w="1360" w:type="pct"/>
            <w:noWrap w:val="0"/>
            <w:vAlign w:val="center"/>
          </w:tcPr>
          <w:p w14:paraId="1382C382">
            <w:pPr>
              <w:pStyle w:val="23"/>
              <w:bidi w:val="0"/>
              <w:rPr>
                <w:rFonts w:hint="eastAsia"/>
                <w:color w:val="auto"/>
                <w:lang w:val="en-US" w:eastAsia="zh-CN"/>
              </w:rPr>
            </w:pPr>
            <w:r>
              <w:rPr>
                <w:color w:val="auto"/>
              </w:rPr>
              <w:t>/</w:t>
            </w:r>
          </w:p>
        </w:tc>
        <w:tc>
          <w:tcPr>
            <w:tcW w:w="969" w:type="pct"/>
            <w:noWrap w:val="0"/>
            <w:vAlign w:val="center"/>
          </w:tcPr>
          <w:p w14:paraId="65F3DD0F">
            <w:pPr>
              <w:pStyle w:val="23"/>
              <w:bidi w:val="0"/>
              <w:rPr>
                <w:rFonts w:hint="eastAsia"/>
                <w:color w:val="auto"/>
                <w:lang w:val="en-US" w:eastAsia="zh-CN"/>
              </w:rPr>
            </w:pPr>
            <w:r>
              <w:rPr>
                <w:rFonts w:hint="eastAsia"/>
                <w:color w:val="auto"/>
              </w:rPr>
              <w:t>/</w:t>
            </w:r>
          </w:p>
        </w:tc>
        <w:tc>
          <w:tcPr>
            <w:tcW w:w="923" w:type="pct"/>
            <w:noWrap w:val="0"/>
            <w:vAlign w:val="center"/>
          </w:tcPr>
          <w:p w14:paraId="14FB30B4">
            <w:pPr>
              <w:pStyle w:val="23"/>
              <w:bidi w:val="0"/>
              <w:jc w:val="both"/>
              <w:rPr>
                <w:rFonts w:hint="eastAsia" w:eastAsia="宋体"/>
                <w:color w:val="auto"/>
                <w:lang w:val="en-US" w:eastAsia="zh-CN"/>
              </w:rPr>
            </w:pPr>
            <w:r>
              <w:rPr>
                <w:color w:val="auto"/>
              </w:rPr>
              <w:t>加强</w:t>
            </w:r>
            <w:r>
              <w:rPr>
                <w:rFonts w:hint="eastAsia"/>
                <w:color w:val="auto"/>
                <w:lang w:val="en-US" w:eastAsia="zh-CN"/>
              </w:rPr>
              <w:t>环境保护目标</w:t>
            </w:r>
            <w:r>
              <w:rPr>
                <w:color w:val="auto"/>
              </w:rPr>
              <w:t>跟踪监测</w:t>
            </w:r>
            <w:r>
              <w:rPr>
                <w:rFonts w:hint="eastAsia"/>
                <w:color w:val="auto"/>
                <w:lang w:eastAsia="zh-CN"/>
              </w:rPr>
              <w:t>。</w:t>
            </w:r>
          </w:p>
        </w:tc>
        <w:tc>
          <w:tcPr>
            <w:tcW w:w="991" w:type="pct"/>
            <w:noWrap w:val="0"/>
            <w:vAlign w:val="center"/>
          </w:tcPr>
          <w:p w14:paraId="7D145382">
            <w:pPr>
              <w:pStyle w:val="23"/>
              <w:bidi w:val="0"/>
              <w:jc w:val="both"/>
              <w:rPr>
                <w:rFonts w:hint="eastAsia" w:eastAsia="宋体"/>
                <w:color w:val="auto"/>
                <w:lang w:val="en-US" w:eastAsia="zh-CN"/>
              </w:rPr>
            </w:pPr>
            <w:r>
              <w:rPr>
                <w:rFonts w:hint="eastAsia"/>
                <w:color w:val="auto"/>
              </w:rPr>
              <w:t>确保</w:t>
            </w:r>
            <w:r>
              <w:rPr>
                <w:rFonts w:hint="eastAsia"/>
                <w:color w:val="auto"/>
                <w:lang w:val="en-US" w:eastAsia="zh-CN"/>
              </w:rPr>
              <w:t>环境保护目标</w:t>
            </w:r>
            <w:r>
              <w:rPr>
                <w:rFonts w:hint="eastAsia"/>
                <w:color w:val="auto"/>
              </w:rPr>
              <w:t>满足声环境质量要求</w:t>
            </w:r>
            <w:r>
              <w:rPr>
                <w:rFonts w:hint="eastAsia"/>
                <w:color w:val="auto"/>
                <w:lang w:eastAsia="zh-CN"/>
              </w:rPr>
              <w:t>。</w:t>
            </w:r>
          </w:p>
        </w:tc>
      </w:tr>
      <w:tr w14:paraId="729AA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55" w:type="pct"/>
            <w:noWrap w:val="0"/>
            <w:vAlign w:val="center"/>
          </w:tcPr>
          <w:p w14:paraId="5049B77F">
            <w:pPr>
              <w:pStyle w:val="23"/>
              <w:bidi w:val="0"/>
              <w:rPr>
                <w:rFonts w:hint="eastAsia"/>
                <w:color w:val="auto"/>
              </w:rPr>
            </w:pPr>
            <w:r>
              <w:rPr>
                <w:rFonts w:hint="eastAsia"/>
                <w:color w:val="auto"/>
              </w:rPr>
              <w:t>其他</w:t>
            </w:r>
          </w:p>
        </w:tc>
        <w:tc>
          <w:tcPr>
            <w:tcW w:w="1360" w:type="pct"/>
            <w:noWrap w:val="0"/>
            <w:vAlign w:val="center"/>
          </w:tcPr>
          <w:p w14:paraId="781EA2D7">
            <w:pPr>
              <w:pStyle w:val="23"/>
              <w:bidi w:val="0"/>
              <w:jc w:val="both"/>
              <w:rPr>
                <w:rFonts w:hint="eastAsia" w:eastAsia="宋体"/>
                <w:color w:val="auto"/>
                <w:lang w:val="en-US" w:eastAsia="zh-CN"/>
              </w:rPr>
            </w:pPr>
            <w:r>
              <w:rPr>
                <w:rFonts w:hint="eastAsia"/>
                <w:color w:val="auto"/>
              </w:rPr>
              <w:t>设置环境管理机构、</w:t>
            </w:r>
            <w:r>
              <w:rPr>
                <w:rFonts w:hint="eastAsia"/>
                <w:color w:val="auto"/>
                <w:lang w:val="en-US" w:eastAsia="zh-CN"/>
              </w:rPr>
              <w:t>制定</w:t>
            </w:r>
            <w:r>
              <w:rPr>
                <w:rFonts w:hint="eastAsia"/>
                <w:color w:val="auto"/>
              </w:rPr>
              <w:t>环境管理计划</w:t>
            </w:r>
            <w:r>
              <w:rPr>
                <w:rFonts w:hint="eastAsia"/>
                <w:color w:val="auto"/>
                <w:lang w:eastAsia="zh-CN"/>
              </w:rPr>
              <w:t>。</w:t>
            </w:r>
          </w:p>
        </w:tc>
        <w:tc>
          <w:tcPr>
            <w:tcW w:w="969" w:type="pct"/>
            <w:noWrap w:val="0"/>
            <w:vAlign w:val="center"/>
          </w:tcPr>
          <w:p w14:paraId="48F2CD77">
            <w:pPr>
              <w:pStyle w:val="23"/>
              <w:bidi w:val="0"/>
              <w:rPr>
                <w:rFonts w:hint="eastAsia" w:eastAsia="宋体"/>
                <w:color w:val="auto"/>
                <w:lang w:val="en-US" w:eastAsia="zh-CN"/>
              </w:rPr>
            </w:pPr>
            <w:r>
              <w:rPr>
                <w:rFonts w:hint="eastAsia"/>
                <w:color w:val="auto"/>
              </w:rPr>
              <w:t>落实施工期的各项环境保护措施</w:t>
            </w:r>
            <w:r>
              <w:rPr>
                <w:rFonts w:hint="eastAsia"/>
                <w:color w:val="auto"/>
                <w:lang w:eastAsia="zh-CN"/>
              </w:rPr>
              <w:t>。</w:t>
            </w:r>
          </w:p>
        </w:tc>
        <w:tc>
          <w:tcPr>
            <w:tcW w:w="923" w:type="pct"/>
            <w:noWrap w:val="0"/>
            <w:vAlign w:val="center"/>
          </w:tcPr>
          <w:p w14:paraId="78ADD03C">
            <w:pPr>
              <w:pStyle w:val="23"/>
              <w:bidi w:val="0"/>
              <w:jc w:val="both"/>
              <w:rPr>
                <w:rFonts w:hint="eastAsia"/>
                <w:color w:val="auto"/>
                <w:lang w:val="en-US" w:eastAsia="zh-CN"/>
              </w:rPr>
            </w:pPr>
            <w:r>
              <w:rPr>
                <w:rFonts w:hint="eastAsia"/>
                <w:color w:val="auto"/>
              </w:rPr>
              <w:t>设置环境管理机构、</w:t>
            </w:r>
            <w:r>
              <w:rPr>
                <w:rFonts w:hint="eastAsia"/>
                <w:color w:val="auto"/>
                <w:lang w:val="en-US" w:eastAsia="zh-CN"/>
              </w:rPr>
              <w:t>制定</w:t>
            </w:r>
            <w:r>
              <w:rPr>
                <w:rFonts w:hint="eastAsia"/>
                <w:color w:val="auto"/>
              </w:rPr>
              <w:t>环境管理计划</w:t>
            </w:r>
            <w:r>
              <w:rPr>
                <w:rFonts w:hint="eastAsia"/>
                <w:color w:val="auto"/>
                <w:lang w:eastAsia="zh-CN"/>
              </w:rPr>
              <w:t>。</w:t>
            </w:r>
          </w:p>
        </w:tc>
        <w:tc>
          <w:tcPr>
            <w:tcW w:w="991" w:type="pct"/>
            <w:noWrap w:val="0"/>
            <w:vAlign w:val="center"/>
          </w:tcPr>
          <w:p w14:paraId="7525112F">
            <w:pPr>
              <w:pStyle w:val="23"/>
              <w:bidi w:val="0"/>
              <w:jc w:val="both"/>
              <w:rPr>
                <w:rFonts w:hint="eastAsia" w:eastAsia="宋体"/>
                <w:color w:val="auto"/>
                <w:lang w:val="en-US" w:eastAsia="zh-CN"/>
              </w:rPr>
            </w:pPr>
            <w:r>
              <w:rPr>
                <w:rFonts w:hint="eastAsia"/>
                <w:color w:val="auto"/>
              </w:rPr>
              <w:t>落实环评及环评批复的各项污染治理措施</w:t>
            </w:r>
            <w:r>
              <w:rPr>
                <w:rFonts w:hint="eastAsia"/>
                <w:color w:val="auto"/>
                <w:lang w:eastAsia="zh-CN"/>
              </w:rPr>
              <w:t>。</w:t>
            </w:r>
          </w:p>
        </w:tc>
      </w:tr>
    </w:tbl>
    <w:p w14:paraId="21C98E5E">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089140D">
      <w:pPr>
        <w:pStyle w:val="2"/>
        <w:spacing w:after="312"/>
        <w:rPr>
          <w:color w:val="auto"/>
        </w:rPr>
      </w:pPr>
      <w:r>
        <w:rPr>
          <w:rFonts w:hint="eastAsia"/>
          <w:color w:val="auto"/>
        </w:rPr>
        <w:t>结论</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070"/>
      </w:tblGrid>
      <w:tr w14:paraId="7D098F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9070" w:type="dxa"/>
            <w:vAlign w:val="center"/>
          </w:tcPr>
          <w:p w14:paraId="405ABA88">
            <w:pPr>
              <w:pStyle w:val="21"/>
              <w:rPr>
                <w:rFonts w:hint="eastAsia"/>
                <w:color w:val="auto"/>
                <w:lang w:eastAsia="zh-CN"/>
              </w:rPr>
            </w:pPr>
            <w:r>
              <w:rPr>
                <w:rFonts w:hint="eastAsia"/>
                <w:color w:val="auto"/>
              </w:rPr>
              <w:t>奉节</w:t>
            </w:r>
            <w:r>
              <w:rPr>
                <w:rFonts w:hint="eastAsia"/>
                <w:color w:val="auto"/>
                <w:lang w:val="en-US" w:eastAsia="zh-CN"/>
              </w:rPr>
              <w:t>高铁生态纵三路以东路网完善工程—</w:t>
            </w:r>
            <w:r>
              <w:rPr>
                <w:rFonts w:hint="eastAsia"/>
                <w:color w:val="auto"/>
              </w:rPr>
              <w:t>奉节县夔州街道魏家社区移民安置区人居环境改善工程（周边配套项目）的建设符合国家产业政策，符合</w:t>
            </w:r>
            <w:r>
              <w:rPr>
                <w:rFonts w:hint="eastAsia"/>
                <w:color w:val="auto"/>
                <w:lang w:val="en-US" w:eastAsia="zh-CN"/>
              </w:rPr>
              <w:t>重庆市及奉节县</w:t>
            </w:r>
            <w:r>
              <w:rPr>
                <w:rFonts w:hint="eastAsia"/>
                <w:color w:val="auto"/>
              </w:rPr>
              <w:t>相关规划、“三线一单”要求</w:t>
            </w:r>
            <w:r>
              <w:rPr>
                <w:rFonts w:hint="eastAsia"/>
                <w:color w:val="auto"/>
                <w:lang w:eastAsia="zh-CN"/>
              </w:rPr>
              <w:t>，有利于完善</w:t>
            </w:r>
            <w:r>
              <w:rPr>
                <w:rFonts w:hint="eastAsia"/>
                <w:color w:val="auto"/>
                <w:lang w:val="en-US" w:eastAsia="zh-CN"/>
              </w:rPr>
              <w:t>周边</w:t>
            </w:r>
            <w:r>
              <w:rPr>
                <w:rFonts w:hint="eastAsia"/>
                <w:color w:val="auto"/>
                <w:lang w:eastAsia="zh-CN"/>
              </w:rPr>
              <w:t>道路网结构及促进社会经济发展，项目的实施会对沿线两侧带来施工噪声、扬尘、交通不便等影响，项目建设</w:t>
            </w:r>
            <w:r>
              <w:rPr>
                <w:rFonts w:hint="eastAsia"/>
                <w:color w:val="auto"/>
                <w:lang w:val="en-US" w:eastAsia="zh-CN"/>
              </w:rPr>
              <w:t>完成</w:t>
            </w:r>
            <w:r>
              <w:rPr>
                <w:rFonts w:hint="eastAsia"/>
                <w:color w:val="auto"/>
                <w:lang w:eastAsia="zh-CN"/>
              </w:rPr>
              <w:t>后主要带来交通噪声污染、汽车尾气污染等，建设单位必须采纳和落实有关环保措施和相关主管部门的环保要求，严格执行“三同时”规定，可有效控制本项目对环境的污染，项目对环境的影响在可接受范围内。因此，从环境保护角度而言，本项目建设可行。</w:t>
            </w:r>
          </w:p>
          <w:p w14:paraId="2C2EE42F">
            <w:pPr>
              <w:rPr>
                <w:color w:val="auto"/>
              </w:rPr>
            </w:pPr>
          </w:p>
          <w:p w14:paraId="1DDB30E4">
            <w:pPr>
              <w:rPr>
                <w:color w:val="auto"/>
              </w:rPr>
            </w:pPr>
          </w:p>
          <w:p w14:paraId="3171A7D6">
            <w:pPr>
              <w:rPr>
                <w:color w:val="auto"/>
              </w:rPr>
            </w:pPr>
          </w:p>
          <w:p w14:paraId="4AFB3851">
            <w:pPr>
              <w:rPr>
                <w:color w:val="auto"/>
              </w:rPr>
            </w:pPr>
          </w:p>
          <w:p w14:paraId="0612456B">
            <w:pPr>
              <w:rPr>
                <w:color w:val="auto"/>
              </w:rPr>
            </w:pPr>
          </w:p>
          <w:p w14:paraId="1BB8C66D">
            <w:pPr>
              <w:rPr>
                <w:color w:val="auto"/>
              </w:rPr>
            </w:pPr>
          </w:p>
          <w:p w14:paraId="569CC8D6">
            <w:pPr>
              <w:rPr>
                <w:color w:val="auto"/>
              </w:rPr>
            </w:pPr>
          </w:p>
          <w:p w14:paraId="447DEA7A">
            <w:pPr>
              <w:rPr>
                <w:color w:val="auto"/>
              </w:rPr>
            </w:pPr>
          </w:p>
          <w:p w14:paraId="2A376616">
            <w:pPr>
              <w:rPr>
                <w:color w:val="auto"/>
              </w:rPr>
            </w:pPr>
          </w:p>
          <w:p w14:paraId="147A8D1B">
            <w:pPr>
              <w:rPr>
                <w:color w:val="auto"/>
              </w:rPr>
            </w:pPr>
          </w:p>
          <w:p w14:paraId="089A7CA5">
            <w:pPr>
              <w:rPr>
                <w:color w:val="auto"/>
              </w:rPr>
            </w:pPr>
          </w:p>
          <w:p w14:paraId="15361F49">
            <w:pPr>
              <w:rPr>
                <w:color w:val="auto"/>
              </w:rPr>
            </w:pPr>
          </w:p>
          <w:p w14:paraId="473C9D0D">
            <w:pPr>
              <w:rPr>
                <w:color w:val="auto"/>
              </w:rPr>
            </w:pPr>
          </w:p>
          <w:p w14:paraId="32E53036">
            <w:pPr>
              <w:rPr>
                <w:color w:val="auto"/>
              </w:rPr>
            </w:pPr>
          </w:p>
          <w:p w14:paraId="5F080D36">
            <w:pPr>
              <w:rPr>
                <w:color w:val="auto"/>
              </w:rPr>
            </w:pPr>
          </w:p>
          <w:p w14:paraId="2B6D1403">
            <w:pPr>
              <w:rPr>
                <w:color w:val="auto"/>
              </w:rPr>
            </w:pPr>
          </w:p>
          <w:p w14:paraId="1BEE245B">
            <w:pPr>
              <w:rPr>
                <w:color w:val="auto"/>
              </w:rPr>
            </w:pPr>
          </w:p>
          <w:p w14:paraId="0C1384DF">
            <w:pPr>
              <w:rPr>
                <w:color w:val="auto"/>
              </w:rPr>
            </w:pPr>
          </w:p>
          <w:p w14:paraId="6C682CA2">
            <w:pPr>
              <w:rPr>
                <w:color w:val="auto"/>
              </w:rPr>
            </w:pPr>
          </w:p>
          <w:p w14:paraId="1CF6E82B">
            <w:pPr>
              <w:rPr>
                <w:color w:val="auto"/>
              </w:rPr>
            </w:pPr>
          </w:p>
          <w:p w14:paraId="4C35B113">
            <w:pPr>
              <w:rPr>
                <w:color w:val="auto"/>
              </w:rPr>
            </w:pPr>
          </w:p>
          <w:p w14:paraId="1C3FF433">
            <w:pPr>
              <w:rPr>
                <w:color w:val="auto"/>
              </w:rPr>
            </w:pPr>
          </w:p>
          <w:p w14:paraId="4311E8B9">
            <w:pPr>
              <w:rPr>
                <w:color w:val="auto"/>
              </w:rPr>
            </w:pPr>
          </w:p>
          <w:p w14:paraId="309A6312">
            <w:pPr>
              <w:rPr>
                <w:color w:val="auto"/>
              </w:rPr>
            </w:pPr>
          </w:p>
          <w:p w14:paraId="7D024F03">
            <w:pPr>
              <w:rPr>
                <w:color w:val="auto"/>
              </w:rPr>
            </w:pPr>
          </w:p>
        </w:tc>
      </w:tr>
    </w:tbl>
    <w:p w14:paraId="26709E10">
      <w:pPr>
        <w:ind w:firstLine="480"/>
        <w:rPr>
          <w:color w:val="auto"/>
        </w:rPr>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AB22A8A">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b/>
          <w:bCs/>
          <w:color w:val="auto"/>
        </w:rPr>
      </w:pPr>
      <w:r>
        <w:rPr>
          <w:rFonts w:hint="eastAsia"/>
          <w:b/>
          <w:bCs/>
          <w:color w:val="auto"/>
        </w:rPr>
        <w:t>附图附件</w:t>
      </w:r>
    </w:p>
    <w:p w14:paraId="0BA6F839">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b/>
          <w:bCs/>
          <w:color w:val="auto"/>
        </w:rPr>
      </w:pPr>
      <w:r>
        <w:rPr>
          <w:rFonts w:hint="eastAsia"/>
          <w:b/>
          <w:bCs/>
          <w:color w:val="auto"/>
        </w:rPr>
        <w:t>附图：</w:t>
      </w:r>
    </w:p>
    <w:p w14:paraId="4228F925">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rPr>
      </w:pPr>
      <w:r>
        <w:rPr>
          <w:rFonts w:hint="eastAsia"/>
          <w:color w:val="auto"/>
        </w:rPr>
        <w:t>附图1 项目地理位置示意图</w:t>
      </w:r>
    </w:p>
    <w:p w14:paraId="68D3189F">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附图2 项目主要环境保护目标分布及监测布点示意图</w:t>
      </w:r>
    </w:p>
    <w:p w14:paraId="21C9707C">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附图3 项目所在地规划图</w:t>
      </w:r>
    </w:p>
    <w:p w14:paraId="294A357A">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附图4 项目区域水系图</w:t>
      </w:r>
    </w:p>
    <w:p w14:paraId="444D5C48">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附图5 项目所在区域声环境功能区划图</w:t>
      </w:r>
    </w:p>
    <w:p w14:paraId="69A70F6A">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附图6-1 项目总平面及施工平面布置图</w:t>
      </w:r>
    </w:p>
    <w:p w14:paraId="42DD3D4E">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color w:val="auto"/>
          <w:lang w:val="en-US" w:eastAsia="zh-CN"/>
        </w:rPr>
      </w:pPr>
      <w:r>
        <w:rPr>
          <w:rFonts w:hint="eastAsia"/>
          <w:color w:val="auto"/>
          <w:lang w:val="en-US" w:eastAsia="zh-CN"/>
        </w:rPr>
        <w:t>附图6-2 项目施工场地平面布置示意图</w:t>
      </w:r>
    </w:p>
    <w:p w14:paraId="2FA63539">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color w:val="auto"/>
          <w:lang w:val="en-US" w:eastAsia="zh-CN"/>
        </w:rPr>
      </w:pPr>
      <w:r>
        <w:rPr>
          <w:rFonts w:hint="eastAsia"/>
          <w:color w:val="auto"/>
          <w:lang w:val="en-US" w:eastAsia="zh-CN"/>
        </w:rPr>
        <w:t>附图7 项目排水管网布置图</w:t>
      </w:r>
    </w:p>
    <w:p w14:paraId="0DE60945">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附图8-1 项目1号桥桥型布置图</w:t>
      </w:r>
    </w:p>
    <w:p w14:paraId="4DBF5E4E">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附图8-2 项目1号桥横断面图</w:t>
      </w:r>
    </w:p>
    <w:p w14:paraId="38D7A614">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附图8-3 项目1号桥纵断面图</w:t>
      </w:r>
    </w:p>
    <w:p w14:paraId="50BECA10">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附图9-1 项目2号桥桥型布置图</w:t>
      </w:r>
    </w:p>
    <w:p w14:paraId="6E08D92B">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附图9-2 项目2号桥横断面图</w:t>
      </w:r>
    </w:p>
    <w:p w14:paraId="41BC4F87">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附图10 项目连接道路纵断面图</w:t>
      </w:r>
    </w:p>
    <w:p w14:paraId="12BDF543">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附图11 项目典型生态保护措施平面布置示意图</w:t>
      </w:r>
    </w:p>
    <w:p w14:paraId="2E321D4C">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lang w:val="en-US" w:eastAsia="zh-CN"/>
        </w:rPr>
      </w:pPr>
      <w:r>
        <w:rPr>
          <w:rFonts w:hint="eastAsia"/>
          <w:color w:val="auto"/>
          <w:lang w:val="en-US" w:eastAsia="zh-CN"/>
        </w:rPr>
        <w:t>附图12 项目土地利用现状图</w:t>
      </w:r>
    </w:p>
    <w:p w14:paraId="224D54A6">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color w:val="auto"/>
          <w:lang w:val="en-US" w:eastAsia="zh-CN"/>
        </w:rPr>
      </w:pPr>
      <w:r>
        <w:rPr>
          <w:rFonts w:hint="eastAsia"/>
          <w:color w:val="auto"/>
          <w:lang w:val="en-US" w:eastAsia="zh-CN"/>
        </w:rPr>
        <w:t>附图13 项目所在区域环境管控单元图</w:t>
      </w:r>
    </w:p>
    <w:p w14:paraId="3C43CA54">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b/>
          <w:bCs/>
          <w:color w:val="auto"/>
        </w:rPr>
      </w:pPr>
      <w:r>
        <w:rPr>
          <w:rFonts w:hint="eastAsia"/>
          <w:b/>
          <w:bCs/>
          <w:color w:val="auto"/>
        </w:rPr>
        <w:t>附件：</w:t>
      </w:r>
    </w:p>
    <w:p w14:paraId="053D73AF">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rPr>
      </w:pPr>
      <w:r>
        <w:rPr>
          <w:rFonts w:hint="eastAsia"/>
          <w:color w:val="auto"/>
        </w:rPr>
        <w:t>附件1</w:t>
      </w:r>
      <w:r>
        <w:rPr>
          <w:rFonts w:hint="eastAsia"/>
          <w:color w:val="auto"/>
          <w:lang w:val="en-US" w:eastAsia="zh-CN"/>
        </w:rPr>
        <w:t>-1</w:t>
      </w:r>
      <w:r>
        <w:rPr>
          <w:rFonts w:hint="eastAsia"/>
          <w:color w:val="auto"/>
        </w:rPr>
        <w:t xml:space="preserve"> 关于同意奉节县高铁生态城纵三路以东路网完善工程立项的批复</w:t>
      </w:r>
    </w:p>
    <w:p w14:paraId="46A63093">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color w:val="auto"/>
        </w:rPr>
      </w:pPr>
      <w:r>
        <w:rPr>
          <w:rFonts w:hint="eastAsia"/>
          <w:color w:val="auto"/>
        </w:rPr>
        <w:t>附件1-2 关于奉节高铁生态纵三路以东路网完善工程-奉节县夔州街道魏家社区移民安置区人居环境改善工程（周边配套项目</w:t>
      </w:r>
      <w:r>
        <w:rPr>
          <w:rFonts w:hint="eastAsia"/>
          <w:color w:val="auto"/>
          <w:lang w:eastAsia="zh-CN"/>
        </w:rPr>
        <w:t>）</w:t>
      </w:r>
      <w:r>
        <w:rPr>
          <w:rFonts w:hint="eastAsia"/>
          <w:color w:val="auto"/>
        </w:rPr>
        <w:t>的立项说明</w:t>
      </w:r>
    </w:p>
    <w:p w14:paraId="123EFC0E">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eastAsia="宋体"/>
          <w:color w:val="auto"/>
          <w:lang w:val="en-US" w:eastAsia="zh-CN"/>
        </w:rPr>
      </w:pPr>
      <w:r>
        <w:rPr>
          <w:rFonts w:hint="eastAsia"/>
          <w:color w:val="auto"/>
          <w:lang w:val="en-US" w:eastAsia="zh-CN"/>
        </w:rPr>
        <w:t>附件1-3 《奉节县住房和城乡建设委员会关于奉节高铁生态城纵三路以东路网完善工程—奉节县夔州街道魏家社区移民安置区人居环境改善工程（周边配套项目)初步设计的批复》（奉节住建委发〔2024〕149号）</w:t>
      </w:r>
    </w:p>
    <w:p w14:paraId="510C7B41">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color w:val="auto"/>
        </w:rPr>
      </w:pPr>
      <w:r>
        <w:rPr>
          <w:rFonts w:hint="eastAsia"/>
          <w:color w:val="auto"/>
        </w:rPr>
        <w:t>附件2 项目建设项目用地预审与选址意见书</w:t>
      </w:r>
    </w:p>
    <w:p w14:paraId="7D4AD9FF">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color w:val="auto"/>
        </w:rPr>
      </w:pPr>
      <w:r>
        <w:rPr>
          <w:rFonts w:hint="eastAsia"/>
          <w:color w:val="auto"/>
        </w:rPr>
        <w:t>附件3 三线一单智检报告</w:t>
      </w:r>
    </w:p>
    <w:p w14:paraId="66CDEE1F">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eastAsia="宋体"/>
          <w:color w:val="auto"/>
          <w:lang w:val="en-US" w:eastAsia="zh-CN"/>
        </w:rPr>
      </w:pPr>
      <w:r>
        <w:rPr>
          <w:rFonts w:hint="eastAsia"/>
          <w:color w:val="auto"/>
        </w:rPr>
        <w:t xml:space="preserve">附件4 </w:t>
      </w:r>
      <w:r>
        <w:rPr>
          <w:rFonts w:hint="eastAsia"/>
          <w:color w:val="auto"/>
          <w:lang w:val="en-US" w:eastAsia="zh-CN"/>
        </w:rPr>
        <w:t>土石方调运说明</w:t>
      </w:r>
    </w:p>
    <w:p w14:paraId="417C99AE">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eastAsia="宋体"/>
          <w:color w:val="auto"/>
          <w:lang w:val="en-US" w:eastAsia="zh-CN"/>
        </w:rPr>
      </w:pPr>
      <w:r>
        <w:rPr>
          <w:rFonts w:hint="eastAsia"/>
          <w:color w:val="auto"/>
        </w:rPr>
        <w:t xml:space="preserve">附件5 </w:t>
      </w:r>
      <w:r>
        <w:rPr>
          <w:rFonts w:hint="eastAsia"/>
          <w:color w:val="auto"/>
          <w:lang w:val="en-US" w:eastAsia="zh-CN"/>
        </w:rPr>
        <w:t>用地面积说明</w:t>
      </w:r>
    </w:p>
    <w:p w14:paraId="61513AD0">
      <w:pPr>
        <w:pStyle w:val="21"/>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color w:val="auto"/>
          <w:lang w:val="en-US" w:eastAsia="zh-CN"/>
        </w:rPr>
      </w:pPr>
      <w:r>
        <w:rPr>
          <w:rFonts w:hint="eastAsia"/>
          <w:color w:val="auto"/>
        </w:rPr>
        <w:t xml:space="preserve">附件6 </w:t>
      </w:r>
      <w:r>
        <w:rPr>
          <w:rFonts w:hint="eastAsia"/>
          <w:color w:val="auto"/>
          <w:lang w:val="en-US" w:eastAsia="zh-CN"/>
        </w:rPr>
        <w:t>监测报告</w:t>
      </w:r>
    </w:p>
    <w:sectPr>
      <w:pgSz w:w="11906" w:h="16838"/>
      <w:pgMar w:top="1134" w:right="1418" w:bottom="1134" w:left="1418"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9513">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075B9">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74075B9">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DF401">
    <w:pPr>
      <w:pStyle w:val="13"/>
      <w:pBdr>
        <w:top w:val="none" w:color="auto" w:sz="0" w:space="0"/>
        <w:left w:val="none" w:color="auto" w:sz="0" w:space="0"/>
        <w:bottom w:val="none" w:color="auto" w:sz="0" w:space="1"/>
        <w:right w:val="none" w:color="auto" w:sz="0" w:space="0"/>
        <w:between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0A841"/>
    <w:multiLevelType w:val="singleLevel"/>
    <w:tmpl w:val="8620A841"/>
    <w:lvl w:ilvl="0" w:tentative="0">
      <w:start w:val="1"/>
      <w:numFmt w:val="decimal"/>
      <w:suff w:val="nothing"/>
      <w:lvlText w:val="（%1）"/>
      <w:lvlJc w:val="left"/>
    </w:lvl>
  </w:abstractNum>
  <w:abstractNum w:abstractNumId="1">
    <w:nsid w:val="01473EA1"/>
    <w:multiLevelType w:val="multilevel"/>
    <w:tmpl w:val="01473EA1"/>
    <w:lvl w:ilvl="0" w:tentative="0">
      <w:start w:val="1"/>
      <w:numFmt w:val="chineseCountingThousand"/>
      <w:pStyle w:val="2"/>
      <w:suff w:val="space"/>
      <w:lvlText w:val="%1、"/>
      <w:lvlJc w:val="left"/>
      <w:pPr>
        <w:ind w:left="0" w:firstLine="0"/>
      </w:pPr>
      <w:rPr>
        <w:rFonts w:hint="eastAsia"/>
      </w:rPr>
    </w:lvl>
    <w:lvl w:ilvl="1" w:tentative="0">
      <w:start w:val="1"/>
      <w:numFmt w:val="decimal"/>
      <w:pStyle w:val="3"/>
      <w:isLgl/>
      <w:suff w:val="space"/>
      <w:lvlText w:val="%1.%2"/>
      <w:lvlJc w:val="left"/>
      <w:pPr>
        <w:ind w:left="0" w:firstLine="0"/>
      </w:pPr>
      <w:rPr>
        <w:rFonts w:hint="eastAsia"/>
        <w:color w:val="auto"/>
      </w:rPr>
    </w:lvl>
    <w:lvl w:ilvl="2" w:tentative="0">
      <w:start w:val="1"/>
      <w:numFmt w:val="decimal"/>
      <w:pStyle w:val="4"/>
      <w:isLgl/>
      <w:suff w:val="space"/>
      <w:lvlText w:val="%1.%2.%3"/>
      <w:lvlJc w:val="left"/>
      <w:pPr>
        <w:ind w:left="0" w:firstLine="0"/>
      </w:pPr>
      <w:rPr>
        <w:rFonts w:hint="eastAsia"/>
        <w:b/>
        <w:bCs/>
      </w:rPr>
    </w:lvl>
    <w:lvl w:ilvl="3" w:tentative="0">
      <w:start w:val="1"/>
      <w:numFmt w:val="decimal"/>
      <w:pStyle w:val="5"/>
      <w:isLgl/>
      <w:suff w:val="space"/>
      <w:lvlText w:val="%1.%2.%3.%4"/>
      <w:lvlJc w:val="left"/>
      <w:pPr>
        <w:ind w:left="0" w:firstLine="0"/>
      </w:pPr>
      <w:rPr>
        <w:rFonts w:hint="default" w:ascii="Times New Roman" w:hAnsi="Times New Roman" w:cs="Times New Roman"/>
      </w:rPr>
    </w:lvl>
    <w:lvl w:ilvl="4" w:tentative="0">
      <w:start w:val="1"/>
      <w:numFmt w:val="decimal"/>
      <w:lvlRestart w:val="2"/>
      <w:pStyle w:val="6"/>
      <w:isLgl/>
      <w:suff w:val="space"/>
      <w:lvlText w:val="表%1.%2-%5"/>
      <w:lvlJc w:val="center"/>
      <w:pPr>
        <w:ind w:left="1843" w:firstLine="0"/>
      </w:pPr>
      <w:rPr>
        <w:rFonts w:hint="eastAsia" w:ascii="Times New Roman" w:hAnsi="Times New Roman" w:cs="Times New Roman"/>
        <w:b/>
        <w:bCs/>
        <w:i w:val="0"/>
        <w:iCs w:val="0"/>
        <w:caps w:val="0"/>
        <w:smallCaps w:val="0"/>
        <w:strike w:val="0"/>
        <w:dstrike w:val="0"/>
        <w:outline w:val="0"/>
        <w:shadow w:val="0"/>
        <w:emboss w:val="0"/>
        <w:imprint w:val="0"/>
        <w:snapToGrid w:val="0"/>
        <w:vanish w:val="0"/>
        <w:color w:val="000000"/>
        <w:spacing w:val="0"/>
        <w:position w:val="0"/>
        <w:u w:val="none"/>
        <w:vertAlign w:val="baseline"/>
      </w:rPr>
    </w:lvl>
    <w:lvl w:ilvl="5" w:tentative="0">
      <w:start w:val="1"/>
      <w:numFmt w:val="decimal"/>
      <w:lvlRestart w:val="2"/>
      <w:pStyle w:val="7"/>
      <w:isLgl/>
      <w:lvlText w:val="图%1.%2-%6"/>
      <w:lvlJc w:val="left"/>
      <w:pPr>
        <w:ind w:left="0" w:firstLine="0"/>
      </w:pPr>
      <w:rPr>
        <w:rFonts w:hint="eastAsia"/>
      </w:rPr>
    </w:lvl>
    <w:lvl w:ilvl="6" w:tentative="0">
      <w:start w:val="1"/>
      <w:numFmt w:val="decimal"/>
      <w:pStyle w:val="8"/>
      <w:lvlText w:val="%1.%2.%3.%4.%5.%6.%7"/>
      <w:lvlJc w:val="left"/>
      <w:pPr>
        <w:ind w:left="0" w:firstLine="0"/>
      </w:pPr>
      <w:rPr>
        <w:rFonts w:hint="eastAsia"/>
      </w:rPr>
    </w:lvl>
    <w:lvl w:ilvl="7" w:tentative="0">
      <w:start w:val="1"/>
      <w:numFmt w:val="decimal"/>
      <w:pStyle w:val="9"/>
      <w:lvlText w:val="%1.%2.%3.%4.%5.%6.%7.%8"/>
      <w:lvlJc w:val="left"/>
      <w:pPr>
        <w:ind w:left="0" w:firstLine="0"/>
      </w:pPr>
      <w:rPr>
        <w:rFonts w:hint="eastAsia"/>
      </w:rPr>
    </w:lvl>
    <w:lvl w:ilvl="8" w:tentative="0">
      <w:start w:val="1"/>
      <w:numFmt w:val="decimal"/>
      <w:pStyle w:val="10"/>
      <w:lvlText w:val="%1.%2.%3.%4.%5.%6.%7.%8.%9"/>
      <w:lvlJc w:val="left"/>
      <w:pPr>
        <w:ind w:left="0" w:firstLine="0"/>
      </w:pPr>
      <w:rPr>
        <w:rFonts w:hint="eastAsia"/>
      </w:rPr>
    </w:lvl>
  </w:abstractNum>
  <w:abstractNum w:abstractNumId="2">
    <w:nsid w:val="02F9C204"/>
    <w:multiLevelType w:val="singleLevel"/>
    <w:tmpl w:val="02F9C204"/>
    <w:lvl w:ilvl="0" w:tentative="0">
      <w:start w:val="1"/>
      <w:numFmt w:val="decimal"/>
      <w:suff w:val="nothing"/>
      <w:lvlText w:val="（%1）"/>
      <w:lvlJc w:val="left"/>
    </w:lvl>
  </w:abstractNum>
  <w:abstractNum w:abstractNumId="3">
    <w:nsid w:val="4F0EE51D"/>
    <w:multiLevelType w:val="singleLevel"/>
    <w:tmpl w:val="4F0EE51D"/>
    <w:lvl w:ilvl="0" w:tentative="0">
      <w:start w:val="1"/>
      <w:numFmt w:val="decimal"/>
      <w:suff w:val="nothing"/>
      <w:lvlText w:val="（%1）"/>
      <w:lvlJc w:val="left"/>
    </w:lvl>
  </w:abstractNum>
  <w:abstractNum w:abstractNumId="4">
    <w:nsid w:val="585CF8DB"/>
    <w:multiLevelType w:val="singleLevel"/>
    <w:tmpl w:val="585CF8DB"/>
    <w:lvl w:ilvl="0" w:tentative="0">
      <w:start w:val="1"/>
      <w:numFmt w:val="decimal"/>
      <w:suff w:val="nothing"/>
      <w:lvlText w:val="（%1）"/>
      <w:lvlJc w:val="left"/>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UyNjAxYWQ4MDdlYTVmYjgzMzg0MzYyNzNjZGExNjcifQ=="/>
  </w:docVars>
  <w:rsids>
    <w:rsidRoot w:val="00603ED2"/>
    <w:rsid w:val="0000440B"/>
    <w:rsid w:val="00014966"/>
    <w:rsid w:val="00076011"/>
    <w:rsid w:val="000951CF"/>
    <w:rsid w:val="00121F55"/>
    <w:rsid w:val="00144338"/>
    <w:rsid w:val="00201367"/>
    <w:rsid w:val="00205411"/>
    <w:rsid w:val="002064FC"/>
    <w:rsid w:val="002A76A3"/>
    <w:rsid w:val="002D5219"/>
    <w:rsid w:val="002F7884"/>
    <w:rsid w:val="003B1F5A"/>
    <w:rsid w:val="0043340B"/>
    <w:rsid w:val="004E5BA0"/>
    <w:rsid w:val="00547693"/>
    <w:rsid w:val="00575112"/>
    <w:rsid w:val="005C7AE2"/>
    <w:rsid w:val="005E2161"/>
    <w:rsid w:val="00603ED2"/>
    <w:rsid w:val="00611072"/>
    <w:rsid w:val="0067411F"/>
    <w:rsid w:val="006B641D"/>
    <w:rsid w:val="006E55AF"/>
    <w:rsid w:val="00710FF4"/>
    <w:rsid w:val="00716BE4"/>
    <w:rsid w:val="00803F43"/>
    <w:rsid w:val="008130F8"/>
    <w:rsid w:val="009D60E0"/>
    <w:rsid w:val="00A82862"/>
    <w:rsid w:val="00AB3410"/>
    <w:rsid w:val="00B077AA"/>
    <w:rsid w:val="00B305DA"/>
    <w:rsid w:val="00B713CC"/>
    <w:rsid w:val="00B73A63"/>
    <w:rsid w:val="00BC11CD"/>
    <w:rsid w:val="00CA79AE"/>
    <w:rsid w:val="00CC7016"/>
    <w:rsid w:val="00CF51FB"/>
    <w:rsid w:val="00D31095"/>
    <w:rsid w:val="00DA1BCB"/>
    <w:rsid w:val="00DC0A90"/>
    <w:rsid w:val="00DE596E"/>
    <w:rsid w:val="00E53E35"/>
    <w:rsid w:val="00E6441A"/>
    <w:rsid w:val="00F00F3C"/>
    <w:rsid w:val="00F57E54"/>
    <w:rsid w:val="00F6603B"/>
    <w:rsid w:val="00F66F31"/>
    <w:rsid w:val="00FB61BF"/>
    <w:rsid w:val="029A3B71"/>
    <w:rsid w:val="03162336"/>
    <w:rsid w:val="04421E00"/>
    <w:rsid w:val="04695C6C"/>
    <w:rsid w:val="04B406A7"/>
    <w:rsid w:val="05047477"/>
    <w:rsid w:val="05216546"/>
    <w:rsid w:val="05AE2D3C"/>
    <w:rsid w:val="064A387B"/>
    <w:rsid w:val="06CE448B"/>
    <w:rsid w:val="07583140"/>
    <w:rsid w:val="077A1F3E"/>
    <w:rsid w:val="07875F5A"/>
    <w:rsid w:val="07B25FDA"/>
    <w:rsid w:val="07EF6488"/>
    <w:rsid w:val="08332819"/>
    <w:rsid w:val="08545BC6"/>
    <w:rsid w:val="0AF1689B"/>
    <w:rsid w:val="0B81389B"/>
    <w:rsid w:val="0BA07CA0"/>
    <w:rsid w:val="0BAD08E6"/>
    <w:rsid w:val="0BAD643E"/>
    <w:rsid w:val="0C676F35"/>
    <w:rsid w:val="0CB47CA0"/>
    <w:rsid w:val="0CCC17BF"/>
    <w:rsid w:val="0E3C619F"/>
    <w:rsid w:val="0E407A3D"/>
    <w:rsid w:val="0E975183"/>
    <w:rsid w:val="0F955B67"/>
    <w:rsid w:val="10405FDB"/>
    <w:rsid w:val="10442618"/>
    <w:rsid w:val="10A06AFD"/>
    <w:rsid w:val="10A83678"/>
    <w:rsid w:val="11A16A45"/>
    <w:rsid w:val="11C60997"/>
    <w:rsid w:val="12BF360E"/>
    <w:rsid w:val="14325611"/>
    <w:rsid w:val="144B7F4A"/>
    <w:rsid w:val="148A4E27"/>
    <w:rsid w:val="14934330"/>
    <w:rsid w:val="15282FD9"/>
    <w:rsid w:val="153B5E24"/>
    <w:rsid w:val="155838BF"/>
    <w:rsid w:val="1585667E"/>
    <w:rsid w:val="15C03212"/>
    <w:rsid w:val="165F5D8C"/>
    <w:rsid w:val="16D0666A"/>
    <w:rsid w:val="170D278A"/>
    <w:rsid w:val="176244A9"/>
    <w:rsid w:val="179217AA"/>
    <w:rsid w:val="18090EA0"/>
    <w:rsid w:val="18375C9D"/>
    <w:rsid w:val="186A60D6"/>
    <w:rsid w:val="186E51A7"/>
    <w:rsid w:val="18AB01A9"/>
    <w:rsid w:val="18D72408"/>
    <w:rsid w:val="18DF42F7"/>
    <w:rsid w:val="19274395"/>
    <w:rsid w:val="192E52FE"/>
    <w:rsid w:val="19EA6A67"/>
    <w:rsid w:val="1A2E1092"/>
    <w:rsid w:val="1A495ECC"/>
    <w:rsid w:val="1A910AE0"/>
    <w:rsid w:val="1B7C407F"/>
    <w:rsid w:val="1C460B0A"/>
    <w:rsid w:val="1C766D20"/>
    <w:rsid w:val="1CA23671"/>
    <w:rsid w:val="1CA949EB"/>
    <w:rsid w:val="1CDD28FB"/>
    <w:rsid w:val="1D04257E"/>
    <w:rsid w:val="1D4228CD"/>
    <w:rsid w:val="1D6666E2"/>
    <w:rsid w:val="1DD033F2"/>
    <w:rsid w:val="1EF108E0"/>
    <w:rsid w:val="1FB837FB"/>
    <w:rsid w:val="218B49EA"/>
    <w:rsid w:val="21E808E4"/>
    <w:rsid w:val="236D1A9A"/>
    <w:rsid w:val="237A2A9E"/>
    <w:rsid w:val="243A0633"/>
    <w:rsid w:val="244D65B8"/>
    <w:rsid w:val="245D1E08"/>
    <w:rsid w:val="24B95094"/>
    <w:rsid w:val="24DA701D"/>
    <w:rsid w:val="25A50609"/>
    <w:rsid w:val="25E82A3D"/>
    <w:rsid w:val="263C18BA"/>
    <w:rsid w:val="26D003DA"/>
    <w:rsid w:val="28CF064B"/>
    <w:rsid w:val="28D77DAA"/>
    <w:rsid w:val="297168A5"/>
    <w:rsid w:val="299D3B3E"/>
    <w:rsid w:val="2A36189D"/>
    <w:rsid w:val="2A92110F"/>
    <w:rsid w:val="2ABD5848"/>
    <w:rsid w:val="2B4511BA"/>
    <w:rsid w:val="2BF13B28"/>
    <w:rsid w:val="2BF3484F"/>
    <w:rsid w:val="2C1A076C"/>
    <w:rsid w:val="2CFD7C8D"/>
    <w:rsid w:val="2D7F2A1C"/>
    <w:rsid w:val="2D920F70"/>
    <w:rsid w:val="2DF9330D"/>
    <w:rsid w:val="2EED10C4"/>
    <w:rsid w:val="2F44456A"/>
    <w:rsid w:val="2F6E407E"/>
    <w:rsid w:val="2F827A5E"/>
    <w:rsid w:val="2F8B61E7"/>
    <w:rsid w:val="2FA15A0A"/>
    <w:rsid w:val="300246FB"/>
    <w:rsid w:val="30B13B01"/>
    <w:rsid w:val="30C164FC"/>
    <w:rsid w:val="31210BB1"/>
    <w:rsid w:val="314A4B65"/>
    <w:rsid w:val="319A0963"/>
    <w:rsid w:val="32B538BB"/>
    <w:rsid w:val="33B2186C"/>
    <w:rsid w:val="344A2B14"/>
    <w:rsid w:val="34BC127A"/>
    <w:rsid w:val="34E67898"/>
    <w:rsid w:val="3504792C"/>
    <w:rsid w:val="35064C8D"/>
    <w:rsid w:val="35A3072E"/>
    <w:rsid w:val="38525F50"/>
    <w:rsid w:val="385440F4"/>
    <w:rsid w:val="38F35529"/>
    <w:rsid w:val="39A305F6"/>
    <w:rsid w:val="39B20F40"/>
    <w:rsid w:val="39EB12DA"/>
    <w:rsid w:val="39EC081F"/>
    <w:rsid w:val="3A382BBE"/>
    <w:rsid w:val="3AD71050"/>
    <w:rsid w:val="3B4A2B26"/>
    <w:rsid w:val="3B4F300F"/>
    <w:rsid w:val="3B820DE6"/>
    <w:rsid w:val="3BD84D9B"/>
    <w:rsid w:val="3C5F775B"/>
    <w:rsid w:val="3C7C70D7"/>
    <w:rsid w:val="3C991F43"/>
    <w:rsid w:val="3CD25455"/>
    <w:rsid w:val="3D053A7C"/>
    <w:rsid w:val="3D674D77"/>
    <w:rsid w:val="3D6C58AA"/>
    <w:rsid w:val="3E587BDC"/>
    <w:rsid w:val="3E895FE7"/>
    <w:rsid w:val="3ED03C16"/>
    <w:rsid w:val="3ED37612"/>
    <w:rsid w:val="3EDE6333"/>
    <w:rsid w:val="3FE51D07"/>
    <w:rsid w:val="40302BBE"/>
    <w:rsid w:val="40484B7F"/>
    <w:rsid w:val="407930FC"/>
    <w:rsid w:val="408B3189"/>
    <w:rsid w:val="409F3704"/>
    <w:rsid w:val="40A101A9"/>
    <w:rsid w:val="40A2697E"/>
    <w:rsid w:val="40BB0D87"/>
    <w:rsid w:val="40EC2DAE"/>
    <w:rsid w:val="4114428E"/>
    <w:rsid w:val="414F176A"/>
    <w:rsid w:val="424E75EA"/>
    <w:rsid w:val="43357761"/>
    <w:rsid w:val="434150E2"/>
    <w:rsid w:val="4349400C"/>
    <w:rsid w:val="446948F1"/>
    <w:rsid w:val="450563E2"/>
    <w:rsid w:val="45CA13BF"/>
    <w:rsid w:val="461B4EB1"/>
    <w:rsid w:val="46996DAF"/>
    <w:rsid w:val="4769263C"/>
    <w:rsid w:val="47746D69"/>
    <w:rsid w:val="47C85DD2"/>
    <w:rsid w:val="491E6C11"/>
    <w:rsid w:val="49280651"/>
    <w:rsid w:val="4A1668AC"/>
    <w:rsid w:val="4A7C5DD4"/>
    <w:rsid w:val="4A82773E"/>
    <w:rsid w:val="4AFA2747"/>
    <w:rsid w:val="4B8C0DFC"/>
    <w:rsid w:val="4C1B3C8E"/>
    <w:rsid w:val="4CE74612"/>
    <w:rsid w:val="4D9357DA"/>
    <w:rsid w:val="4D9549A9"/>
    <w:rsid w:val="4E327823"/>
    <w:rsid w:val="4E994025"/>
    <w:rsid w:val="4F457D08"/>
    <w:rsid w:val="4FBB66A8"/>
    <w:rsid w:val="51624BA2"/>
    <w:rsid w:val="51A13FDC"/>
    <w:rsid w:val="51D05FAF"/>
    <w:rsid w:val="538928BA"/>
    <w:rsid w:val="53BF0089"/>
    <w:rsid w:val="547465AC"/>
    <w:rsid w:val="54825621"/>
    <w:rsid w:val="54F07FC1"/>
    <w:rsid w:val="55C30E9C"/>
    <w:rsid w:val="55FA157E"/>
    <w:rsid w:val="57351E1B"/>
    <w:rsid w:val="57650F48"/>
    <w:rsid w:val="578E18A0"/>
    <w:rsid w:val="57C06AC6"/>
    <w:rsid w:val="57F16C7F"/>
    <w:rsid w:val="58281301"/>
    <w:rsid w:val="58C91F0C"/>
    <w:rsid w:val="59611BE3"/>
    <w:rsid w:val="596E362A"/>
    <w:rsid w:val="59A9411B"/>
    <w:rsid w:val="59E250A8"/>
    <w:rsid w:val="5A0507C0"/>
    <w:rsid w:val="5ADE798F"/>
    <w:rsid w:val="5AFA1D3E"/>
    <w:rsid w:val="5BA81D4B"/>
    <w:rsid w:val="5BB1035C"/>
    <w:rsid w:val="5BBF34D0"/>
    <w:rsid w:val="5BDB7A2A"/>
    <w:rsid w:val="5CD1402F"/>
    <w:rsid w:val="5CD821BC"/>
    <w:rsid w:val="5D105DFA"/>
    <w:rsid w:val="5F305636"/>
    <w:rsid w:val="5FE43067"/>
    <w:rsid w:val="602A52E2"/>
    <w:rsid w:val="60CF12EC"/>
    <w:rsid w:val="612B0FB4"/>
    <w:rsid w:val="61BB1D77"/>
    <w:rsid w:val="61CF0031"/>
    <w:rsid w:val="6200643D"/>
    <w:rsid w:val="620C5A01"/>
    <w:rsid w:val="62AE5E99"/>
    <w:rsid w:val="6355038C"/>
    <w:rsid w:val="636042B3"/>
    <w:rsid w:val="648B532D"/>
    <w:rsid w:val="65A25A5D"/>
    <w:rsid w:val="65F2743F"/>
    <w:rsid w:val="664166AE"/>
    <w:rsid w:val="66D42FFC"/>
    <w:rsid w:val="66F35AD0"/>
    <w:rsid w:val="674111E9"/>
    <w:rsid w:val="677862CF"/>
    <w:rsid w:val="67AA6857"/>
    <w:rsid w:val="67D03874"/>
    <w:rsid w:val="67DB0DB2"/>
    <w:rsid w:val="67E86FDE"/>
    <w:rsid w:val="686E2BCE"/>
    <w:rsid w:val="68EC14C9"/>
    <w:rsid w:val="69983E33"/>
    <w:rsid w:val="6A097ED0"/>
    <w:rsid w:val="6A452A79"/>
    <w:rsid w:val="6AA465CA"/>
    <w:rsid w:val="6B7777DE"/>
    <w:rsid w:val="6B99520C"/>
    <w:rsid w:val="6C2965D9"/>
    <w:rsid w:val="6CE64481"/>
    <w:rsid w:val="6CEF3424"/>
    <w:rsid w:val="6D050DAB"/>
    <w:rsid w:val="6D3E231F"/>
    <w:rsid w:val="6D524112"/>
    <w:rsid w:val="6D6035ED"/>
    <w:rsid w:val="6D6830E8"/>
    <w:rsid w:val="6D9858C3"/>
    <w:rsid w:val="6DA0107C"/>
    <w:rsid w:val="6DF60CDD"/>
    <w:rsid w:val="6E2203E8"/>
    <w:rsid w:val="6ECE2EFB"/>
    <w:rsid w:val="70F73101"/>
    <w:rsid w:val="71592D48"/>
    <w:rsid w:val="71625175"/>
    <w:rsid w:val="71924BD7"/>
    <w:rsid w:val="71CB5821"/>
    <w:rsid w:val="72304797"/>
    <w:rsid w:val="72E7775A"/>
    <w:rsid w:val="738737EB"/>
    <w:rsid w:val="73956478"/>
    <w:rsid w:val="74807151"/>
    <w:rsid w:val="74BB61F3"/>
    <w:rsid w:val="74D3378B"/>
    <w:rsid w:val="76037E52"/>
    <w:rsid w:val="764609C8"/>
    <w:rsid w:val="766034F6"/>
    <w:rsid w:val="769E79E3"/>
    <w:rsid w:val="773C0F1E"/>
    <w:rsid w:val="77454D48"/>
    <w:rsid w:val="775537F7"/>
    <w:rsid w:val="77EE068E"/>
    <w:rsid w:val="77F959B0"/>
    <w:rsid w:val="78307C29"/>
    <w:rsid w:val="795A50EB"/>
    <w:rsid w:val="79876FEC"/>
    <w:rsid w:val="7B444040"/>
    <w:rsid w:val="7B9F16C3"/>
    <w:rsid w:val="7C79509B"/>
    <w:rsid w:val="7CB43C54"/>
    <w:rsid w:val="7CB65F63"/>
    <w:rsid w:val="7CE555B5"/>
    <w:rsid w:val="7CFE2601"/>
    <w:rsid w:val="7DC450E8"/>
    <w:rsid w:val="7E9E22C1"/>
    <w:rsid w:val="7F2A499A"/>
    <w:rsid w:val="7FB126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jc w:val="center"/>
    </w:pPr>
    <w:rPr>
      <w:rFonts w:ascii="Times New Roman" w:hAnsi="Times New Roman" w:eastAsia="宋体" w:cstheme="minorBidi"/>
      <w:kern w:val="2"/>
      <w:sz w:val="24"/>
      <w:szCs w:val="21"/>
      <w:lang w:val="en-US" w:eastAsia="zh-CN" w:bidi="ar-SA"/>
      <w14:ligatures w14:val="standardContextual"/>
    </w:rPr>
  </w:style>
  <w:style w:type="paragraph" w:styleId="2">
    <w:name w:val="heading 1"/>
    <w:basedOn w:val="1"/>
    <w:link w:val="24"/>
    <w:qFormat/>
    <w:uiPriority w:val="9"/>
    <w:pPr>
      <w:keepNext/>
      <w:keepLines/>
      <w:numPr>
        <w:ilvl w:val="0"/>
        <w:numId w:val="1"/>
      </w:numPr>
      <w:adjustRightInd w:val="0"/>
      <w:snapToGrid w:val="0"/>
      <w:spacing w:after="100" w:afterLines="100"/>
      <w:outlineLvl w:val="0"/>
    </w:pPr>
    <w:rPr>
      <w:rFonts w:eastAsia="黑体"/>
      <w:b/>
      <w:bCs/>
      <w:kern w:val="44"/>
      <w:sz w:val="30"/>
      <w:szCs w:val="44"/>
    </w:rPr>
  </w:style>
  <w:style w:type="paragraph" w:styleId="3">
    <w:name w:val="heading 2"/>
    <w:basedOn w:val="1"/>
    <w:next w:val="1"/>
    <w:link w:val="25"/>
    <w:autoRedefine/>
    <w:unhideWhenUsed/>
    <w:qFormat/>
    <w:uiPriority w:val="9"/>
    <w:pPr>
      <w:keepNext/>
      <w:keepLines/>
      <w:numPr>
        <w:ilvl w:val="1"/>
        <w:numId w:val="1"/>
      </w:numPr>
      <w:jc w:val="left"/>
      <w:outlineLvl w:val="1"/>
    </w:pPr>
    <w:rPr>
      <w:rFonts w:cstheme="majorBidi"/>
      <w:b/>
      <w:bCs/>
      <w:szCs w:val="32"/>
    </w:rPr>
  </w:style>
  <w:style w:type="paragraph" w:styleId="4">
    <w:name w:val="heading 3"/>
    <w:basedOn w:val="1"/>
    <w:next w:val="1"/>
    <w:link w:val="26"/>
    <w:autoRedefine/>
    <w:unhideWhenUsed/>
    <w:qFormat/>
    <w:uiPriority w:val="9"/>
    <w:pPr>
      <w:keepNext/>
      <w:keepLines/>
      <w:numPr>
        <w:ilvl w:val="2"/>
        <w:numId w:val="1"/>
      </w:numPr>
      <w:snapToGrid w:val="0"/>
      <w:contextualSpacing/>
      <w:jc w:val="left"/>
      <w:outlineLvl w:val="2"/>
    </w:pPr>
    <w:rPr>
      <w:b/>
      <w:szCs w:val="32"/>
    </w:rPr>
  </w:style>
  <w:style w:type="paragraph" w:styleId="5">
    <w:name w:val="heading 4"/>
    <w:basedOn w:val="1"/>
    <w:next w:val="1"/>
    <w:link w:val="19"/>
    <w:autoRedefine/>
    <w:unhideWhenUsed/>
    <w:qFormat/>
    <w:uiPriority w:val="9"/>
    <w:pPr>
      <w:keepNext/>
      <w:keepLines/>
      <w:numPr>
        <w:ilvl w:val="3"/>
        <w:numId w:val="1"/>
      </w:numPr>
      <w:jc w:val="left"/>
      <w:outlineLvl w:val="3"/>
    </w:pPr>
    <w:rPr>
      <w:rFonts w:cstheme="majorBidi"/>
      <w:b/>
      <w:bCs/>
      <w:szCs w:val="28"/>
    </w:rPr>
  </w:style>
  <w:style w:type="paragraph" w:styleId="6">
    <w:name w:val="heading 5"/>
    <w:basedOn w:val="1"/>
    <w:next w:val="1"/>
    <w:link w:val="27"/>
    <w:unhideWhenUsed/>
    <w:qFormat/>
    <w:uiPriority w:val="9"/>
    <w:pPr>
      <w:keepNext/>
      <w:keepLines/>
      <w:numPr>
        <w:ilvl w:val="4"/>
        <w:numId w:val="1"/>
      </w:numPr>
      <w:spacing w:before="50" w:beforeLines="50"/>
      <w:ind w:left="0"/>
      <w:outlineLvl w:val="4"/>
    </w:pPr>
    <w:rPr>
      <w:b/>
      <w:szCs w:val="28"/>
    </w:rPr>
  </w:style>
  <w:style w:type="paragraph" w:styleId="7">
    <w:name w:val="heading 6"/>
    <w:basedOn w:val="1"/>
    <w:next w:val="1"/>
    <w:link w:val="28"/>
    <w:unhideWhenUsed/>
    <w:qFormat/>
    <w:uiPriority w:val="9"/>
    <w:pPr>
      <w:keepNext/>
      <w:keepLines/>
      <w:numPr>
        <w:ilvl w:val="5"/>
        <w:numId w:val="1"/>
      </w:numPr>
      <w:outlineLvl w:val="5"/>
    </w:pPr>
    <w:rPr>
      <w:rFonts w:cstheme="majorBidi"/>
      <w:b/>
      <w:bCs/>
      <w:szCs w:val="24"/>
    </w:rPr>
  </w:style>
  <w:style w:type="paragraph" w:styleId="8">
    <w:name w:val="heading 7"/>
    <w:basedOn w:val="1"/>
    <w:next w:val="1"/>
    <w:link w:val="29"/>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30"/>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31"/>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pPr>
      <w:jc w:val="left"/>
    </w:pPr>
  </w:style>
  <w:style w:type="paragraph" w:styleId="12">
    <w:name w:val="footer"/>
    <w:basedOn w:val="1"/>
    <w:qFormat/>
    <w:uiPriority w:val="99"/>
    <w:pPr>
      <w:tabs>
        <w:tab w:val="center" w:pos="4153"/>
        <w:tab w:val="right" w:pos="8306"/>
      </w:tabs>
      <w:snapToGrid w:val="0"/>
      <w:jc w:val="left"/>
    </w:pPr>
    <w:rPr>
      <w:sz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rPr>
  </w:style>
  <w:style w:type="paragraph" w:styleId="14">
    <w:name w:val="Subtitle"/>
    <w:basedOn w:val="1"/>
    <w:next w:val="1"/>
    <w:link w:val="32"/>
    <w:qFormat/>
    <w:uiPriority w:val="11"/>
    <w:pPr>
      <w:spacing w:before="240" w:after="60" w:line="312" w:lineRule="atLeast"/>
      <w:outlineLvl w:val="1"/>
    </w:pPr>
    <w:rPr>
      <w:b/>
      <w:bCs/>
      <w:kern w:val="28"/>
      <w:sz w:val="32"/>
      <w:szCs w:val="32"/>
    </w:rPr>
  </w:style>
  <w:style w:type="paragraph" w:styleId="15">
    <w:name w:val="Title"/>
    <w:basedOn w:val="4"/>
    <w:next w:val="1"/>
    <w:link w:val="20"/>
    <w:qFormat/>
    <w:uiPriority w:val="10"/>
    <w:pPr>
      <w:spacing w:before="240" w:after="60"/>
      <w:outlineLvl w:val="0"/>
    </w:pPr>
    <w:rPr>
      <w:rFonts w:asciiTheme="majorHAnsi" w:hAnsiTheme="majorHAnsi" w:eastAsiaTheme="majorEastAsia" w:cstheme="majorBidi"/>
      <w:bCs/>
      <w:sz w:val="32"/>
      <w:szCs w:val="32"/>
    </w:rPr>
  </w:style>
  <w:style w:type="table" w:styleId="17">
    <w:name w:val="Table Grid"/>
    <w:basedOn w:val="16"/>
    <w:qFormat/>
    <w:uiPriority w:val="39"/>
    <w:pPr>
      <w:jc w:val="center"/>
    </w:pPr>
    <w:rPr>
      <w:rFonts w:ascii="Times New Roman" w:hAnsi="Times New Roman" w:eastAsia="宋体"/>
    </w:r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19">
    <w:name w:val="标题 4 字符"/>
    <w:basedOn w:val="18"/>
    <w:link w:val="5"/>
    <w:qFormat/>
    <w:uiPriority w:val="9"/>
    <w:rPr>
      <w:rFonts w:ascii="Times New Roman" w:hAnsi="Times New Roman" w:eastAsia="宋体" w:cstheme="majorBidi"/>
      <w:b/>
      <w:bCs/>
      <w:sz w:val="24"/>
      <w:szCs w:val="28"/>
    </w:rPr>
  </w:style>
  <w:style w:type="character" w:customStyle="1" w:styleId="20">
    <w:name w:val="标题 字符"/>
    <w:basedOn w:val="18"/>
    <w:link w:val="15"/>
    <w:qFormat/>
    <w:uiPriority w:val="10"/>
    <w:rPr>
      <w:rFonts w:asciiTheme="majorHAnsi" w:hAnsiTheme="majorHAnsi" w:eastAsiaTheme="majorEastAsia" w:cstheme="majorBidi"/>
      <w:b/>
      <w:bCs/>
      <w:sz w:val="32"/>
      <w:szCs w:val="32"/>
    </w:rPr>
  </w:style>
  <w:style w:type="paragraph" w:customStyle="1" w:styleId="21">
    <w:name w:val="zh正文"/>
    <w:basedOn w:val="1"/>
    <w:link w:val="22"/>
    <w:qFormat/>
    <w:uiPriority w:val="0"/>
    <w:pPr>
      <w:adjustRightInd w:val="0"/>
      <w:snapToGrid w:val="0"/>
      <w:spacing w:line="460" w:lineRule="exact"/>
      <w:ind w:firstLine="480" w:firstLineChars="200"/>
      <w:jc w:val="both"/>
    </w:pPr>
    <w:rPr>
      <w:rFonts w:ascii="Times New Roman" w:hAnsi="Times New Roman" w:eastAsia="宋体"/>
    </w:rPr>
  </w:style>
  <w:style w:type="character" w:customStyle="1" w:styleId="22">
    <w:name w:val="zh正文 字符"/>
    <w:basedOn w:val="18"/>
    <w:link w:val="21"/>
    <w:qFormat/>
    <w:uiPriority w:val="0"/>
    <w:rPr>
      <w:rFonts w:ascii="Times New Roman" w:hAnsi="Times New Roman" w:eastAsia="宋体"/>
      <w:sz w:val="24"/>
    </w:rPr>
  </w:style>
  <w:style w:type="paragraph" w:customStyle="1" w:styleId="23">
    <w:name w:val="ZH表格样式"/>
    <w:basedOn w:val="1"/>
    <w:next w:val="21"/>
    <w:qFormat/>
    <w:uiPriority w:val="0"/>
    <w:pPr>
      <w:spacing w:line="300" w:lineRule="exact"/>
    </w:pPr>
    <w:rPr>
      <w:rFonts w:hint="eastAsia"/>
      <w:sz w:val="21"/>
    </w:rPr>
  </w:style>
  <w:style w:type="character" w:customStyle="1" w:styleId="24">
    <w:name w:val="标题 1 字符"/>
    <w:basedOn w:val="18"/>
    <w:link w:val="2"/>
    <w:qFormat/>
    <w:uiPriority w:val="9"/>
    <w:rPr>
      <w:rFonts w:eastAsia="黑体"/>
      <w:b/>
      <w:bCs/>
      <w:kern w:val="44"/>
      <w:sz w:val="30"/>
      <w:szCs w:val="44"/>
    </w:rPr>
  </w:style>
  <w:style w:type="character" w:customStyle="1" w:styleId="25">
    <w:name w:val="标题 2 字符"/>
    <w:basedOn w:val="18"/>
    <w:link w:val="3"/>
    <w:qFormat/>
    <w:uiPriority w:val="9"/>
    <w:rPr>
      <w:rFonts w:ascii="Times New Roman" w:hAnsi="Times New Roman" w:eastAsia="宋体" w:cstheme="majorBidi"/>
      <w:b/>
      <w:bCs/>
      <w:sz w:val="24"/>
      <w:szCs w:val="32"/>
    </w:rPr>
  </w:style>
  <w:style w:type="character" w:customStyle="1" w:styleId="26">
    <w:name w:val="标题 3 字符"/>
    <w:basedOn w:val="18"/>
    <w:link w:val="4"/>
    <w:qFormat/>
    <w:uiPriority w:val="9"/>
    <w:rPr>
      <w:rFonts w:ascii="Times New Roman" w:hAnsi="Times New Roman" w:eastAsia="宋体"/>
      <w:b/>
      <w:sz w:val="24"/>
      <w:szCs w:val="32"/>
    </w:rPr>
  </w:style>
  <w:style w:type="character" w:customStyle="1" w:styleId="27">
    <w:name w:val="标题 5 字符"/>
    <w:basedOn w:val="18"/>
    <w:link w:val="6"/>
    <w:qFormat/>
    <w:uiPriority w:val="9"/>
    <w:rPr>
      <w:rFonts w:ascii="Times New Roman" w:hAnsi="Times New Roman" w:eastAsia="宋体"/>
      <w:b/>
      <w:sz w:val="24"/>
      <w:szCs w:val="28"/>
    </w:rPr>
  </w:style>
  <w:style w:type="character" w:customStyle="1" w:styleId="28">
    <w:name w:val="标题 6 字符"/>
    <w:basedOn w:val="18"/>
    <w:link w:val="7"/>
    <w:qFormat/>
    <w:uiPriority w:val="9"/>
    <w:rPr>
      <w:rFonts w:ascii="Times New Roman" w:hAnsi="Times New Roman" w:eastAsia="宋体" w:cstheme="majorBidi"/>
      <w:b/>
      <w:bCs/>
      <w:sz w:val="24"/>
      <w:szCs w:val="24"/>
    </w:rPr>
  </w:style>
  <w:style w:type="character" w:customStyle="1" w:styleId="29">
    <w:name w:val="标题 7 字符"/>
    <w:basedOn w:val="18"/>
    <w:link w:val="8"/>
    <w:semiHidden/>
    <w:qFormat/>
    <w:uiPriority w:val="9"/>
    <w:rPr>
      <w:b/>
      <w:bCs/>
      <w:sz w:val="24"/>
      <w:szCs w:val="24"/>
    </w:rPr>
  </w:style>
  <w:style w:type="character" w:customStyle="1" w:styleId="30">
    <w:name w:val="标题 8 字符"/>
    <w:basedOn w:val="18"/>
    <w:link w:val="9"/>
    <w:semiHidden/>
    <w:qFormat/>
    <w:uiPriority w:val="9"/>
    <w:rPr>
      <w:rFonts w:asciiTheme="majorHAnsi" w:hAnsiTheme="majorHAnsi" w:eastAsiaTheme="majorEastAsia" w:cstheme="majorBidi"/>
      <w:sz w:val="24"/>
      <w:szCs w:val="24"/>
    </w:rPr>
  </w:style>
  <w:style w:type="character" w:customStyle="1" w:styleId="31">
    <w:name w:val="标题 9 字符"/>
    <w:basedOn w:val="18"/>
    <w:link w:val="10"/>
    <w:semiHidden/>
    <w:qFormat/>
    <w:uiPriority w:val="9"/>
    <w:rPr>
      <w:rFonts w:asciiTheme="majorHAnsi" w:hAnsiTheme="majorHAnsi" w:eastAsiaTheme="majorEastAsia" w:cstheme="majorBidi"/>
      <w:szCs w:val="21"/>
    </w:rPr>
  </w:style>
  <w:style w:type="character" w:customStyle="1" w:styleId="32">
    <w:name w:val="副标题 字符"/>
    <w:basedOn w:val="18"/>
    <w:link w:val="14"/>
    <w:qFormat/>
    <w:uiPriority w:val="11"/>
    <w:rPr>
      <w:b/>
      <w:bCs/>
      <w:kern w:val="28"/>
      <w:sz w:val="32"/>
      <w:szCs w:val="32"/>
    </w:rPr>
  </w:style>
  <w:style w:type="table" w:customStyle="1" w:styleId="33">
    <w:name w:val="Plain Table 2"/>
    <w:basedOn w:val="16"/>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34">
    <w:name w:val="表格边框"/>
    <w:basedOn w:val="16"/>
    <w:qFormat/>
    <w:uiPriority w:val="99"/>
    <w:pPr>
      <w:jc w:val="center"/>
    </w:pPr>
    <w:rPr>
      <w:rFonts w:eastAsia="宋体"/>
    </w:rPr>
    <w:tblPr>
      <w:tblBorders>
        <w:top w:val="single" w:color="auto" w:sz="12" w:space="0"/>
        <w:bottom w:val="single" w:color="auto" w:sz="12" w:space="0"/>
        <w:insideH w:val="single" w:color="auto" w:sz="8" w:space="0"/>
        <w:insideV w:val="single" w:color="auto" w:sz="8" w:space="0"/>
      </w:tblBorders>
    </w:tblPr>
    <w:tcPr>
      <w:vAlign w:val="center"/>
    </w:tcPr>
  </w:style>
  <w:style w:type="table" w:customStyle="1" w:styleId="35">
    <w:name w:val="Grid Table Light"/>
    <w:basedOn w:val="1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36">
    <w:name w:val="Plain Table 3"/>
    <w:basedOn w:val="16"/>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7">
    <w:name w:val="表格lg"/>
    <w:basedOn w:val="16"/>
    <w:qFormat/>
    <w:uiPriority w:val="0"/>
    <w:tblPr>
      <w:jc w:val="center"/>
      <w:tblBorders>
        <w:top w:val="single" w:color="auto" w:sz="12" w:space="0"/>
        <w:bottom w:val="single" w:color="auto" w:sz="12" w:space="0"/>
        <w:insideH w:val="single" w:color="auto" w:sz="6" w:space="0"/>
        <w:insideV w:val="single" w:color="auto" w:sz="6" w:space="0"/>
      </w:tblBorders>
    </w:tblPr>
    <w:trPr>
      <w:jc w:val="center"/>
    </w:tr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oleObject" Target="embeddings/oleObject1.bin"/><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13DD17-5820-4415-A516-E110CC635E3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61</Pages>
  <Words>38495</Words>
  <Characters>42016</Characters>
  <Lines>140</Lines>
  <Paragraphs>39</Paragraphs>
  <TotalTime>0</TotalTime>
  <ScaleCrop>false</ScaleCrop>
  <LinksUpToDate>false</LinksUpToDate>
  <CharactersWithSpaces>42238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2024-03-12T07:24:00Z</dcterms:created>
  <dc:creator>Windows 用户</dc:creator>
  <cp:lastModifiedBy>Administrator</cp:lastModifiedBy>
  <dcterms:modified xsi:type="dcterms:W3CDTF">2024-08-26T02:03:42Z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32CA221576484A629165A0270191F14A_13</vt:lpwstr>
  </property>
</Properties>
</file>

<file path=userCustomization/customUI.xml><?xml version="1.0" encoding="utf-8"?>
<mso:customUI xmlns:mso="http://schemas.microsoft.com/office/2006/01/customui">
  <mso:ribbon>
    <mso:qat>
      <mso:documentControls>
        <mso:control idQ="mso:GroupDocumentViews" visible="true"/>
      </mso:documentControls>
    </mso:qat>
  </mso:ribbon>
</mso:customUI>
</file>