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128"/>
        </w:tabs>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（公示版）</w:t>
      </w:r>
    </w:p>
    <w:p/>
    <w:p>
      <w:pPr>
        <w:rPr>
          <w:rFonts w:eastAsia="仿宋"/>
          <w:sz w:val="52"/>
          <w:szCs w:val="52"/>
        </w:rPr>
      </w:pPr>
    </w:p>
    <w:p>
      <w:pPr>
        <w:rPr>
          <w:rFonts w:eastAsia="仿宋"/>
          <w:sz w:val="52"/>
          <w:szCs w:val="52"/>
        </w:rPr>
      </w:pPr>
    </w:p>
    <w:p>
      <w:pPr>
        <w:rPr>
          <w:rFonts w:eastAsia="仿宋"/>
          <w:sz w:val="52"/>
          <w:szCs w:val="52"/>
        </w:rPr>
      </w:pPr>
    </w:p>
    <w:p>
      <w:pPr>
        <w:rPr>
          <w:rFonts w:eastAsia="仿宋"/>
          <w:sz w:val="44"/>
          <w:szCs w:val="44"/>
        </w:rPr>
      </w:pPr>
    </w:p>
    <w:p>
      <w:pPr>
        <w:ind w:firstLine="1040"/>
        <w:rPr>
          <w:rFonts w:eastAsia="仿宋"/>
          <w:sz w:val="44"/>
          <w:szCs w:val="44"/>
        </w:rPr>
      </w:pPr>
    </w:p>
    <w:p>
      <w:pPr>
        <w:adjustRightInd w:val="0"/>
        <w:snapToGrid w:val="0"/>
        <w:spacing w:line="288" w:lineRule="auto"/>
        <w:ind w:firstLine="1040"/>
        <w:rPr>
          <w:rFonts w:ascii="仿宋_GB2312" w:eastAsia="仿宋_GB2312"/>
          <w:sz w:val="32"/>
          <w:szCs w:val="32"/>
          <w:u w:val="single"/>
        </w:rPr>
      </w:pPr>
      <w:r>
        <w:rPr>
          <w:rFonts w:hint="eastAsia" w:ascii="仿宋_GB2312" w:eastAsia="仿宋_GB2312"/>
          <w:sz w:val="36"/>
          <w:szCs w:val="36"/>
        </w:rPr>
        <w:t>项目名称：</w:t>
      </w:r>
      <w:r>
        <w:rPr>
          <w:rFonts w:hint="eastAsia" w:ascii="仿宋_GB2312" w:eastAsia="仿宋_GB2312"/>
          <w:sz w:val="32"/>
          <w:szCs w:val="32"/>
          <w:u w:val="single"/>
        </w:rPr>
        <w:t>高铁生态城新兴产业集聚区</w:t>
      </w:r>
    </w:p>
    <w:p>
      <w:pPr>
        <w:adjustRightInd w:val="0"/>
        <w:snapToGrid w:val="0"/>
        <w:spacing w:line="288" w:lineRule="auto"/>
        <w:ind w:firstLine="2880" w:firstLineChars="900"/>
        <w:rPr>
          <w:rFonts w:ascii="仿宋_GB2312" w:eastAsia="仿宋_GB2312"/>
          <w:sz w:val="32"/>
          <w:szCs w:val="32"/>
          <w:u w:val="single"/>
        </w:rPr>
      </w:pPr>
      <w:r>
        <w:rPr>
          <w:rFonts w:hint="eastAsia" w:ascii="仿宋_GB2312" w:eastAsia="仿宋_GB2312"/>
          <w:sz w:val="32"/>
          <w:szCs w:val="32"/>
          <w:u w:val="single"/>
        </w:rPr>
        <w:t xml:space="preserve">污水处理厂项目 </w:t>
      </w:r>
    </w:p>
    <w:p>
      <w:pPr>
        <w:adjustRightInd w:val="0"/>
        <w:snapToGrid w:val="0"/>
        <w:spacing w:line="288" w:lineRule="auto"/>
        <w:ind w:firstLine="1040"/>
        <w:rPr>
          <w:rFonts w:ascii="仿宋_GB2312" w:eastAsia="仿宋_GB2312"/>
          <w:sz w:val="32"/>
          <w:szCs w:val="32"/>
          <w:u w:val="single"/>
        </w:rPr>
      </w:pPr>
      <w:r>
        <w:rPr>
          <w:rFonts w:hint="eastAsia" w:ascii="仿宋_GB2312" w:eastAsia="仿宋_GB2312"/>
          <w:sz w:val="36"/>
          <w:szCs w:val="36"/>
        </w:rPr>
        <w:t>建设单位（盖章）：</w:t>
      </w:r>
      <w:r>
        <w:rPr>
          <w:rFonts w:hint="eastAsia" w:ascii="仿宋_GB2312" w:eastAsia="仿宋_GB2312"/>
          <w:sz w:val="32"/>
          <w:szCs w:val="32"/>
          <w:u w:val="single"/>
        </w:rPr>
        <w:t>重庆奉节城市运营管理有限公司</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hint="eastAsia" w:ascii="仿宋_GB2312" w:eastAsia="仿宋_GB2312"/>
          <w:sz w:val="32"/>
          <w:szCs w:val="32"/>
          <w:u w:val="single"/>
        </w:rPr>
        <w:t xml:space="preserve"> 2024年10月</w:t>
      </w:r>
      <w:r>
        <w:rPr>
          <w:rFonts w:ascii="仿宋_GB2312" w:eastAsia="仿宋_GB2312"/>
          <w:sz w:val="36"/>
          <w:szCs w:val="36"/>
          <w:u w:val="single"/>
        </w:rPr>
        <w:t xml:space="preserve">                  </w:t>
      </w:r>
    </w:p>
    <w:p>
      <w:pPr>
        <w:adjustRightInd w:val="0"/>
        <w:snapToGrid w:val="0"/>
        <w:spacing w:line="288" w:lineRule="auto"/>
        <w:rPr>
          <w:rFonts w:ascii="仿宋_GB2312" w:eastAsia="仿宋_GB2312"/>
          <w:sz w:val="36"/>
          <w:szCs w:val="36"/>
        </w:rPr>
      </w:pPr>
      <w:bookmarkStart w:id="0" w:name="_Hlk57884087"/>
    </w:p>
    <w:bookmarkEnd w:id="0"/>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2"/>
        <w:rPr>
          <w:snapToGrid w:val="0"/>
        </w:rPr>
      </w:pPr>
      <w:r>
        <w:rPr>
          <w:rFonts w:hint="eastAsia"/>
          <w:snapToGrid w:val="0"/>
        </w:rPr>
        <w:t>建设项目基本情况</w:t>
      </w:r>
    </w:p>
    <w:tbl>
      <w:tblPr>
        <w:tblStyle w:val="38"/>
        <w:tblW w:w="88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02"/>
        <w:gridCol w:w="2997"/>
        <w:gridCol w:w="2200"/>
        <w:gridCol w:w="26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建设项目名称</w:t>
            </w:r>
          </w:p>
        </w:tc>
        <w:tc>
          <w:tcPr>
            <w:tcW w:w="7822" w:type="dxa"/>
            <w:gridSpan w:val="3"/>
            <w:vAlign w:val="center"/>
          </w:tcPr>
          <w:p>
            <w:pPr>
              <w:adjustRightInd w:val="0"/>
              <w:snapToGrid w:val="0"/>
              <w:jc w:val="center"/>
              <w:rPr>
                <w:rFonts w:hint="eastAsia" w:ascii="宋体" w:hAnsi="宋体" w:cs="宋体"/>
                <w:szCs w:val="21"/>
              </w:rPr>
            </w:pPr>
            <w:r>
              <w:rPr>
                <w:rFonts w:hint="eastAsia" w:ascii="宋体" w:hAnsi="宋体" w:cs="宋体"/>
                <w:szCs w:val="21"/>
              </w:rPr>
              <w:t>高铁生态城新兴产业集聚区污水处理厂项目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项目代码</w:t>
            </w:r>
          </w:p>
        </w:tc>
        <w:tc>
          <w:tcPr>
            <w:tcW w:w="7822" w:type="dxa"/>
            <w:gridSpan w:val="3"/>
            <w:vAlign w:val="center"/>
          </w:tcPr>
          <w:p>
            <w:pPr>
              <w:adjustRightInd w:val="0"/>
              <w:snapToGrid w:val="0"/>
              <w:jc w:val="center"/>
              <w:rPr>
                <w:rFonts w:hint="eastAsia" w:ascii="宋体" w:hAnsi="宋体" w:cs="宋体"/>
                <w:szCs w:val="21"/>
              </w:rPr>
            </w:pPr>
            <w:r>
              <w:rPr>
                <w:rFonts w:ascii="宋体" w:hAnsi="宋体" w:cs="宋体"/>
                <w:szCs w:val="21"/>
              </w:rPr>
              <w:t>2404-500236-04-01-876743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建设单位联系人</w:t>
            </w:r>
          </w:p>
        </w:tc>
        <w:tc>
          <w:tcPr>
            <w:tcW w:w="2997" w:type="dxa"/>
            <w:vAlign w:val="center"/>
          </w:tcPr>
          <w:p>
            <w:pPr>
              <w:adjustRightInd w:val="0"/>
              <w:snapToGrid w:val="0"/>
              <w:jc w:val="center"/>
              <w:rPr>
                <w:rFonts w:hint="eastAsia" w:ascii="宋体" w:hAnsi="宋体" w:cs="宋体"/>
                <w:szCs w:val="21"/>
              </w:rPr>
            </w:pPr>
            <w:r>
              <w:rPr>
                <w:rFonts w:hint="eastAsia" w:ascii="宋体" w:hAnsi="宋体" w:cs="宋体"/>
                <w:szCs w:val="21"/>
              </w:rPr>
              <w:t>向老师</w:t>
            </w:r>
          </w:p>
        </w:tc>
        <w:tc>
          <w:tcPr>
            <w:tcW w:w="2200" w:type="dxa"/>
            <w:vAlign w:val="center"/>
          </w:tcPr>
          <w:p>
            <w:pPr>
              <w:adjustRightInd w:val="0"/>
              <w:snapToGrid w:val="0"/>
              <w:jc w:val="center"/>
              <w:rPr>
                <w:rFonts w:hint="eastAsia" w:ascii="宋体" w:hAnsi="宋体" w:cs="宋体"/>
                <w:szCs w:val="21"/>
              </w:rPr>
            </w:pPr>
            <w:r>
              <w:rPr>
                <w:rFonts w:hint="eastAsia" w:ascii="宋体" w:hAnsi="宋体" w:cs="宋体"/>
                <w:szCs w:val="21"/>
              </w:rPr>
              <w:t>联系方式</w:t>
            </w:r>
          </w:p>
        </w:tc>
        <w:tc>
          <w:tcPr>
            <w:tcW w:w="2625" w:type="dxa"/>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rPr>
              <w:t>023-5656</w:t>
            </w:r>
            <w:r>
              <w:rPr>
                <w:rFonts w:hint="eastAsia" w:ascii="宋体" w:hAnsi="宋体" w:cs="宋体"/>
                <w:szCs w:val="21"/>
                <w:lang w:val="en-US" w:eastAsia="zh-CN"/>
              </w:rPr>
              <w:t>****</w:t>
            </w:r>
            <w:bookmarkStart w:id="127" w:name="_GoBack"/>
            <w:bookmarkEnd w:id="12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建设地点</w:t>
            </w:r>
          </w:p>
        </w:tc>
        <w:tc>
          <w:tcPr>
            <w:tcW w:w="7822" w:type="dxa"/>
            <w:gridSpan w:val="3"/>
            <w:vAlign w:val="center"/>
          </w:tcPr>
          <w:p>
            <w:pPr>
              <w:adjustRightInd w:val="0"/>
              <w:snapToGrid w:val="0"/>
              <w:jc w:val="center"/>
              <w:rPr>
                <w:rFonts w:hint="eastAsia" w:ascii="宋体" w:hAnsi="宋体" w:cs="宋体"/>
                <w:szCs w:val="21"/>
              </w:rPr>
            </w:pPr>
            <w:r>
              <w:rPr>
                <w:rFonts w:ascii="宋体" w:hAnsi="宋体" w:cs="宋体"/>
                <w:szCs w:val="21"/>
                <w:u w:val="single"/>
              </w:rPr>
              <w:t xml:space="preserve"> /</w:t>
            </w:r>
            <w:r>
              <w:rPr>
                <w:rFonts w:hint="eastAsia" w:ascii="宋体" w:hAnsi="宋体" w:cs="宋体"/>
                <w:szCs w:val="21"/>
              </w:rPr>
              <w:t>省（自治区）</w:t>
            </w:r>
            <w:r>
              <w:rPr>
                <w:rFonts w:ascii="宋体" w:hAnsi="宋体" w:cs="宋体"/>
                <w:szCs w:val="21"/>
                <w:u w:val="single"/>
              </w:rPr>
              <w:t xml:space="preserve"> </w:t>
            </w:r>
            <w:r>
              <w:rPr>
                <w:rFonts w:hint="eastAsia" w:ascii="宋体" w:hAnsi="宋体" w:cs="宋体"/>
                <w:szCs w:val="21"/>
                <w:u w:val="single"/>
              </w:rPr>
              <w:t>重庆</w:t>
            </w:r>
            <w:r>
              <w:rPr>
                <w:rFonts w:ascii="宋体" w:hAnsi="宋体" w:cs="宋体"/>
                <w:szCs w:val="21"/>
                <w:u w:val="single"/>
              </w:rPr>
              <w:t xml:space="preserve"> </w:t>
            </w:r>
            <w:r>
              <w:rPr>
                <w:rFonts w:hint="eastAsia" w:ascii="宋体" w:hAnsi="宋体" w:cs="宋体"/>
                <w:szCs w:val="21"/>
              </w:rPr>
              <w:t>市</w:t>
            </w:r>
            <w:r>
              <w:rPr>
                <w:rFonts w:ascii="宋体" w:hAnsi="宋体" w:cs="宋体"/>
                <w:szCs w:val="21"/>
                <w:u w:val="single"/>
              </w:rPr>
              <w:t xml:space="preserve"> </w:t>
            </w:r>
            <w:r>
              <w:rPr>
                <w:rFonts w:hint="eastAsia" w:ascii="宋体" w:hAnsi="宋体" w:cs="宋体"/>
                <w:szCs w:val="21"/>
                <w:u w:val="single"/>
              </w:rPr>
              <w:t>奉节</w:t>
            </w:r>
            <w:r>
              <w:rPr>
                <w:rFonts w:hint="eastAsia" w:ascii="宋体" w:hAnsi="宋体" w:cs="宋体"/>
                <w:szCs w:val="21"/>
              </w:rPr>
              <w:t>县（区）</w:t>
            </w:r>
            <w:r>
              <w:rPr>
                <w:rFonts w:hint="eastAsia" w:ascii="宋体" w:hAnsi="宋体" w:cs="宋体"/>
                <w:szCs w:val="21"/>
                <w:u w:val="single"/>
              </w:rPr>
              <w:t>朱衣镇</w:t>
            </w:r>
            <w:r>
              <w:rPr>
                <w:rFonts w:hint="eastAsia" w:ascii="宋体" w:hAnsi="宋体" w:cs="宋体"/>
                <w:szCs w:val="21"/>
              </w:rPr>
              <w:t>（街道）</w:t>
            </w:r>
            <w:r>
              <w:rPr>
                <w:rFonts w:ascii="宋体" w:hAnsi="宋体" w:cs="宋体"/>
                <w:szCs w:val="21"/>
                <w:u w:val="single"/>
              </w:rPr>
              <w:t xml:space="preserve"> </w:t>
            </w:r>
            <w:r>
              <w:rPr>
                <w:rFonts w:hint="eastAsia" w:ascii="宋体" w:hAnsi="宋体" w:cs="宋体"/>
                <w:szCs w:val="21"/>
                <w:u w:val="single"/>
              </w:rPr>
              <w:t>/</w:t>
            </w:r>
            <w:r>
              <w:rPr>
                <w:rFonts w:ascii="宋体" w:hAnsi="宋体" w:cs="宋体"/>
                <w:szCs w:val="21"/>
                <w:u w:val="single"/>
              </w:rPr>
              <w:t xml:space="preserve"> </w:t>
            </w:r>
            <w:r>
              <w:rPr>
                <w:rFonts w:hint="eastAsia" w:ascii="宋体" w:hAnsi="宋体" w:cs="宋体"/>
                <w:szCs w:val="21"/>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地理坐标</w:t>
            </w:r>
          </w:p>
        </w:tc>
        <w:tc>
          <w:tcPr>
            <w:tcW w:w="7822" w:type="dxa"/>
            <w:gridSpan w:val="3"/>
            <w:vAlign w:val="center"/>
          </w:tcPr>
          <w:p>
            <w:pPr>
              <w:jc w:val="center"/>
              <w:rPr>
                <w:rFonts w:hint="eastAsia" w:ascii="宋体" w:hAnsi="宋体" w:cs="宋体"/>
                <w:szCs w:val="21"/>
              </w:rPr>
            </w:pPr>
            <w:r>
              <w:rPr>
                <w:rFonts w:hint="eastAsia" w:ascii="宋体" w:hAnsi="宋体" w:cs="宋体"/>
                <w:szCs w:val="21"/>
              </w:rPr>
              <w:t>（</w:t>
            </w:r>
            <w:r>
              <w:rPr>
                <w:rFonts w:ascii="宋体" w:hAnsi="宋体" w:cs="宋体"/>
                <w:szCs w:val="21"/>
                <w:u w:val="single"/>
              </w:rPr>
              <w:t xml:space="preserve"> </w:t>
            </w:r>
            <w:r>
              <w:rPr>
                <w:rFonts w:hint="eastAsia" w:ascii="宋体" w:hAnsi="宋体" w:cs="宋体"/>
                <w:szCs w:val="21"/>
                <w:u w:val="single"/>
              </w:rPr>
              <w:t>109</w:t>
            </w:r>
            <w:r>
              <w:rPr>
                <w:rFonts w:ascii="宋体" w:hAnsi="宋体" w:cs="宋体"/>
                <w:szCs w:val="21"/>
                <w:u w:val="single"/>
              </w:rPr>
              <w:t xml:space="preserve"> </w:t>
            </w:r>
            <w:r>
              <w:rPr>
                <w:rFonts w:hint="eastAsia" w:ascii="宋体" w:hAnsi="宋体" w:cs="宋体"/>
                <w:szCs w:val="21"/>
              </w:rPr>
              <w:t>度</w:t>
            </w:r>
            <w:r>
              <w:rPr>
                <w:rFonts w:ascii="宋体" w:hAnsi="宋体" w:cs="宋体"/>
                <w:szCs w:val="21"/>
                <w:u w:val="single"/>
              </w:rPr>
              <w:t xml:space="preserve"> </w:t>
            </w:r>
            <w:r>
              <w:rPr>
                <w:rFonts w:hint="eastAsia" w:ascii="宋体" w:hAnsi="宋体" w:cs="宋体"/>
                <w:szCs w:val="21"/>
                <w:u w:val="single"/>
              </w:rPr>
              <w:t>21</w:t>
            </w:r>
            <w:r>
              <w:rPr>
                <w:rFonts w:ascii="宋体" w:hAnsi="宋体" w:cs="宋体"/>
                <w:szCs w:val="21"/>
                <w:u w:val="single"/>
              </w:rPr>
              <w:t xml:space="preserve"> </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rPr>
              <w:t>21</w:t>
            </w:r>
            <w:r>
              <w:rPr>
                <w:rFonts w:ascii="宋体" w:hAnsi="宋体" w:cs="宋体"/>
                <w:szCs w:val="21"/>
                <w:u w:val="single"/>
              </w:rPr>
              <w:t xml:space="preserve"> </w:t>
            </w:r>
            <w:r>
              <w:rPr>
                <w:rFonts w:hint="eastAsia" w:ascii="宋体" w:hAnsi="宋体" w:cs="宋体"/>
                <w:szCs w:val="21"/>
              </w:rPr>
              <w:t>秒，</w:t>
            </w:r>
            <w:r>
              <w:rPr>
                <w:rFonts w:ascii="宋体" w:hAnsi="宋体" w:cs="宋体"/>
                <w:szCs w:val="21"/>
                <w:u w:val="single"/>
              </w:rPr>
              <w:t xml:space="preserve"> </w:t>
            </w:r>
            <w:r>
              <w:rPr>
                <w:rFonts w:hint="eastAsia" w:ascii="宋体" w:hAnsi="宋体" w:cs="宋体"/>
                <w:szCs w:val="21"/>
                <w:u w:val="single"/>
              </w:rPr>
              <w:t>31</w:t>
            </w:r>
            <w:r>
              <w:rPr>
                <w:rFonts w:ascii="宋体" w:hAnsi="宋体" w:cs="宋体"/>
                <w:szCs w:val="21"/>
                <w:u w:val="single"/>
              </w:rPr>
              <w:t xml:space="preserve"> </w:t>
            </w:r>
            <w:r>
              <w:rPr>
                <w:rFonts w:hint="eastAsia" w:ascii="宋体" w:hAnsi="宋体" w:cs="宋体"/>
                <w:szCs w:val="21"/>
              </w:rPr>
              <w:t>度</w:t>
            </w:r>
            <w:r>
              <w:rPr>
                <w:rFonts w:hint="eastAsia" w:ascii="宋体" w:hAnsi="宋体" w:cs="宋体"/>
                <w:szCs w:val="21"/>
                <w:u w:val="single"/>
              </w:rPr>
              <w:t>01</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rPr>
              <w:t>37</w:t>
            </w:r>
            <w:r>
              <w:rPr>
                <w:rFonts w:ascii="宋体" w:hAnsi="宋体" w:cs="宋体"/>
                <w:szCs w:val="21"/>
                <w:u w:val="single"/>
              </w:rPr>
              <w:t xml:space="preserve"> </w:t>
            </w:r>
            <w:r>
              <w:rPr>
                <w:rFonts w:hint="eastAsia" w:ascii="宋体" w:hAnsi="宋体" w:cs="宋体"/>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国民经济</w:t>
            </w:r>
          </w:p>
          <w:p>
            <w:pPr>
              <w:adjustRightInd w:val="0"/>
              <w:snapToGrid w:val="0"/>
              <w:jc w:val="center"/>
              <w:rPr>
                <w:rFonts w:hint="eastAsia" w:ascii="宋体" w:hAnsi="宋体" w:cs="宋体"/>
                <w:szCs w:val="21"/>
              </w:rPr>
            </w:pPr>
            <w:r>
              <w:rPr>
                <w:rFonts w:hint="eastAsia" w:ascii="宋体" w:hAnsi="宋体" w:cs="宋体"/>
                <w:szCs w:val="21"/>
              </w:rPr>
              <w:t>行业类别</w:t>
            </w:r>
          </w:p>
        </w:tc>
        <w:tc>
          <w:tcPr>
            <w:tcW w:w="2997" w:type="dxa"/>
            <w:vAlign w:val="center"/>
          </w:tcPr>
          <w:p>
            <w:pPr>
              <w:adjustRightInd w:val="0"/>
              <w:snapToGrid w:val="0"/>
              <w:jc w:val="center"/>
              <w:rPr>
                <w:rFonts w:hint="eastAsia" w:ascii="宋体" w:hAnsi="宋体" w:cs="宋体"/>
                <w:szCs w:val="21"/>
              </w:rPr>
            </w:pPr>
            <w:r>
              <w:rPr>
                <w:rFonts w:hint="eastAsia" w:ascii="宋体" w:hAnsi="宋体" w:cs="宋体"/>
                <w:szCs w:val="21"/>
              </w:rPr>
              <w:t>4620污水处理及其再生利用</w:t>
            </w:r>
          </w:p>
        </w:tc>
        <w:tc>
          <w:tcPr>
            <w:tcW w:w="2200" w:type="dxa"/>
            <w:vAlign w:val="center"/>
          </w:tcPr>
          <w:p>
            <w:pPr>
              <w:adjustRightInd w:val="0"/>
              <w:snapToGrid w:val="0"/>
              <w:jc w:val="center"/>
              <w:rPr>
                <w:rFonts w:hint="eastAsia" w:ascii="宋体" w:hAnsi="宋体" w:cs="宋体"/>
                <w:szCs w:val="21"/>
              </w:rPr>
            </w:pPr>
            <w:bookmarkStart w:id="1" w:name="_Hlk49843745"/>
            <w:r>
              <w:rPr>
                <w:rFonts w:hint="eastAsia" w:ascii="宋体" w:hAnsi="宋体" w:cs="宋体"/>
                <w:szCs w:val="21"/>
              </w:rPr>
              <w:t>建设项目</w:t>
            </w:r>
          </w:p>
          <w:p>
            <w:pPr>
              <w:adjustRightInd w:val="0"/>
              <w:snapToGrid w:val="0"/>
              <w:jc w:val="center"/>
              <w:rPr>
                <w:rFonts w:hint="eastAsia" w:ascii="宋体" w:hAnsi="宋体" w:cs="宋体"/>
                <w:szCs w:val="21"/>
              </w:rPr>
            </w:pPr>
            <w:r>
              <w:rPr>
                <w:rFonts w:hint="eastAsia" w:ascii="宋体" w:hAnsi="宋体" w:cs="宋体"/>
                <w:szCs w:val="21"/>
              </w:rPr>
              <w:t>行业类别</w:t>
            </w:r>
            <w:bookmarkEnd w:id="1"/>
          </w:p>
        </w:tc>
        <w:tc>
          <w:tcPr>
            <w:tcW w:w="2625" w:type="dxa"/>
            <w:vAlign w:val="center"/>
          </w:tcPr>
          <w:p>
            <w:pPr>
              <w:adjustRightInd w:val="0"/>
              <w:snapToGrid w:val="0"/>
              <w:rPr>
                <w:rFonts w:hint="eastAsia" w:ascii="宋体" w:hAnsi="宋体" w:cs="宋体"/>
                <w:szCs w:val="21"/>
              </w:rPr>
            </w:pPr>
            <w:r>
              <w:rPr>
                <w:rFonts w:hint="eastAsia" w:ascii="宋体" w:hAnsi="宋体" w:cs="宋体"/>
                <w:szCs w:val="21"/>
              </w:rPr>
              <w:t>四十三、水的生产和供应业，95污水处理及其再生利用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建设性质</w:t>
            </w:r>
          </w:p>
        </w:tc>
        <w:tc>
          <w:tcPr>
            <w:tcW w:w="2997" w:type="dxa"/>
            <w:vAlign w:val="center"/>
          </w:tcPr>
          <w:p>
            <w:pPr>
              <w:rPr>
                <w:rFonts w:hint="eastAsia" w:ascii="宋体" w:hAnsi="宋体" w:cs="宋体"/>
                <w:szCs w:val="21"/>
              </w:rPr>
            </w:pPr>
            <w:r>
              <w:rPr>
                <w:rFonts w:hint="eastAsia" w:ascii="宋体" w:hAnsi="宋体" w:cs="宋体"/>
                <w:szCs w:val="21"/>
              </w:rPr>
              <w:t>■新建（迁建）</w:t>
            </w:r>
          </w:p>
          <w:p>
            <w:pPr>
              <w:rPr>
                <w:rFonts w:hint="eastAsia" w:ascii="宋体" w:hAnsi="宋体" w:cs="宋体"/>
                <w:szCs w:val="21"/>
              </w:rPr>
            </w:pPr>
            <w:r>
              <w:rPr>
                <w:rFonts w:hint="eastAsia" w:ascii="宋体" w:hAnsi="宋体" w:cs="宋体"/>
                <w:szCs w:val="21"/>
              </w:rPr>
              <w:t>□改建</w:t>
            </w:r>
          </w:p>
          <w:p>
            <w:pPr>
              <w:rPr>
                <w:rFonts w:hint="eastAsia" w:ascii="宋体" w:hAnsi="宋体" w:cs="宋体"/>
                <w:szCs w:val="21"/>
              </w:rPr>
            </w:pPr>
            <w:r>
              <w:rPr>
                <w:rFonts w:hint="eastAsia" w:ascii="宋体" w:hAnsi="宋体" w:cs="宋体"/>
                <w:szCs w:val="21"/>
              </w:rPr>
              <w:t>□扩建</w:t>
            </w:r>
          </w:p>
          <w:p>
            <w:pPr>
              <w:rPr>
                <w:rFonts w:hint="eastAsia" w:ascii="宋体" w:hAnsi="宋体" w:cs="宋体"/>
                <w:szCs w:val="21"/>
              </w:rPr>
            </w:pPr>
            <w:r>
              <w:rPr>
                <w:rFonts w:hint="eastAsia" w:ascii="宋体" w:hAnsi="宋体" w:cs="宋体"/>
                <w:szCs w:val="21"/>
              </w:rPr>
              <w:t>□技术改造</w:t>
            </w:r>
          </w:p>
        </w:tc>
        <w:tc>
          <w:tcPr>
            <w:tcW w:w="2200" w:type="dxa"/>
            <w:vAlign w:val="center"/>
          </w:tcPr>
          <w:p>
            <w:pPr>
              <w:adjustRightInd w:val="0"/>
              <w:snapToGrid w:val="0"/>
              <w:jc w:val="center"/>
              <w:rPr>
                <w:rFonts w:hint="eastAsia" w:ascii="宋体" w:hAnsi="宋体" w:cs="宋体"/>
                <w:szCs w:val="21"/>
              </w:rPr>
            </w:pPr>
            <w:r>
              <w:rPr>
                <w:rFonts w:hint="eastAsia" w:ascii="宋体" w:hAnsi="宋体" w:cs="宋体"/>
                <w:szCs w:val="21"/>
              </w:rPr>
              <w:t>建设项目</w:t>
            </w:r>
          </w:p>
          <w:p>
            <w:pPr>
              <w:adjustRightInd w:val="0"/>
              <w:snapToGrid w:val="0"/>
              <w:jc w:val="center"/>
              <w:rPr>
                <w:rFonts w:hint="eastAsia" w:ascii="宋体" w:hAnsi="宋体" w:cs="宋体"/>
                <w:szCs w:val="21"/>
              </w:rPr>
            </w:pPr>
            <w:r>
              <w:rPr>
                <w:rFonts w:hint="eastAsia" w:ascii="宋体" w:hAnsi="宋体" w:cs="宋体"/>
                <w:szCs w:val="21"/>
              </w:rPr>
              <w:t>申报情形</w:t>
            </w:r>
          </w:p>
        </w:tc>
        <w:tc>
          <w:tcPr>
            <w:tcW w:w="2625" w:type="dxa"/>
            <w:vAlign w:val="center"/>
          </w:tcPr>
          <w:p>
            <w:pPr>
              <w:rPr>
                <w:rFonts w:hint="eastAsia" w:ascii="宋体" w:hAnsi="宋体" w:cs="宋体"/>
                <w:szCs w:val="21"/>
              </w:rPr>
            </w:pPr>
            <w:r>
              <w:rPr>
                <w:rFonts w:hint="eastAsia" w:ascii="宋体" w:hAnsi="宋体" w:cs="宋体"/>
                <w:szCs w:val="21"/>
              </w:rPr>
              <w:t>■首次申报项目</w:t>
            </w:r>
            <w:r>
              <w:rPr>
                <w:rFonts w:ascii="宋体" w:hAnsi="宋体" w:cs="宋体"/>
                <w:szCs w:val="21"/>
              </w:rPr>
              <w:t xml:space="preserve">             </w:t>
            </w:r>
          </w:p>
          <w:p>
            <w:pPr>
              <w:rPr>
                <w:rFonts w:hint="eastAsia" w:ascii="宋体" w:hAnsi="宋体" w:cs="宋体"/>
                <w:szCs w:val="21"/>
              </w:rPr>
            </w:pPr>
            <w:r>
              <w:rPr>
                <w:rFonts w:hint="eastAsia" w:ascii="宋体" w:hAnsi="宋体" w:cs="宋体"/>
                <w:szCs w:val="21"/>
              </w:rPr>
              <w:t>□不予批准后再次申报项目</w:t>
            </w:r>
          </w:p>
          <w:p>
            <w:pPr>
              <w:rPr>
                <w:rFonts w:hint="eastAsia" w:ascii="宋体" w:hAnsi="宋体" w:cs="宋体"/>
                <w:szCs w:val="21"/>
              </w:rPr>
            </w:pPr>
            <w:r>
              <w:rPr>
                <w:rFonts w:hint="eastAsia" w:ascii="宋体" w:hAnsi="宋体" w:cs="宋体"/>
                <w:szCs w:val="21"/>
              </w:rPr>
              <w:sym w:font="Wingdings 2" w:char="00A3"/>
            </w:r>
            <w:r>
              <w:rPr>
                <w:rFonts w:hint="eastAsia" w:ascii="宋体" w:hAnsi="宋体" w:cs="宋体"/>
                <w:szCs w:val="21"/>
              </w:rPr>
              <w:t>超五年重新审核项目</w:t>
            </w:r>
            <w:r>
              <w:rPr>
                <w:rFonts w:ascii="宋体" w:hAnsi="宋体" w:cs="宋体"/>
                <w:szCs w:val="21"/>
              </w:rPr>
              <w:t xml:space="preserve">     </w:t>
            </w:r>
          </w:p>
          <w:p>
            <w:pPr>
              <w:rPr>
                <w:rFonts w:hint="eastAsia" w:ascii="宋体" w:hAnsi="宋体" w:cs="宋体"/>
                <w:szCs w:val="21"/>
              </w:rPr>
            </w:pPr>
            <w:r>
              <w:rPr>
                <w:rFonts w:hint="eastAsia" w:ascii="宋体" w:hAnsi="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hint="eastAsia" w:ascii="宋体" w:hAnsi="宋体" w:cs="宋体"/>
                <w:szCs w:val="21"/>
              </w:rPr>
            </w:pPr>
            <w:r>
              <w:rPr>
                <w:rFonts w:hint="eastAsia" w:ascii="宋体" w:hAnsi="宋体" w:cs="宋体"/>
                <w:szCs w:val="21"/>
              </w:rPr>
              <w:t>备案）部门（选填）</w:t>
            </w:r>
          </w:p>
        </w:tc>
        <w:tc>
          <w:tcPr>
            <w:tcW w:w="2997" w:type="dxa"/>
            <w:vAlign w:val="center"/>
          </w:tcPr>
          <w:p>
            <w:pPr>
              <w:adjustRightInd w:val="0"/>
              <w:snapToGrid w:val="0"/>
              <w:jc w:val="center"/>
              <w:rPr>
                <w:rFonts w:hint="eastAsia" w:ascii="宋体" w:hAnsi="宋体" w:cs="宋体"/>
                <w:szCs w:val="21"/>
              </w:rPr>
            </w:pPr>
            <w:r>
              <w:rPr>
                <w:rFonts w:hint="eastAsia" w:ascii="宋体" w:hAnsi="宋体" w:cs="宋体"/>
                <w:szCs w:val="21"/>
              </w:rPr>
              <w:t>重庆市奉节县发展和改革委员会</w:t>
            </w:r>
          </w:p>
        </w:tc>
        <w:tc>
          <w:tcPr>
            <w:tcW w:w="2200" w:type="dxa"/>
            <w:vAlign w:val="center"/>
          </w:tcPr>
          <w:p>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hint="eastAsia" w:ascii="宋体" w:hAnsi="宋体" w:cs="宋体"/>
                <w:szCs w:val="21"/>
              </w:rPr>
            </w:pPr>
            <w:r>
              <w:rPr>
                <w:rFonts w:hint="eastAsia" w:ascii="宋体" w:hAnsi="宋体" w:cs="宋体"/>
                <w:szCs w:val="21"/>
              </w:rPr>
              <w:t>备案）文号（选填）</w:t>
            </w:r>
          </w:p>
        </w:tc>
        <w:tc>
          <w:tcPr>
            <w:tcW w:w="2625" w:type="dxa"/>
            <w:vAlign w:val="center"/>
          </w:tcPr>
          <w:p>
            <w:pPr>
              <w:adjustRightInd w:val="0"/>
              <w:snapToGrid w:val="0"/>
              <w:jc w:val="center"/>
              <w:rPr>
                <w:rFonts w:hint="eastAsia" w:ascii="宋体" w:hAnsi="宋体" w:cs="宋体"/>
                <w:szCs w:val="21"/>
              </w:rPr>
            </w:pPr>
            <w:r>
              <w:rPr>
                <w:rFonts w:ascii="宋体" w:hAnsi="宋体" w:cs="宋体"/>
                <w:szCs w:val="21"/>
              </w:rPr>
              <w:t>2404-500236-04-01-876743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总投资（万元）</w:t>
            </w:r>
          </w:p>
        </w:tc>
        <w:tc>
          <w:tcPr>
            <w:tcW w:w="2997" w:type="dxa"/>
            <w:vAlign w:val="center"/>
          </w:tcPr>
          <w:p>
            <w:pPr>
              <w:adjustRightInd w:val="0"/>
              <w:snapToGrid w:val="0"/>
              <w:jc w:val="center"/>
              <w:rPr>
                <w:rFonts w:hint="eastAsia" w:ascii="宋体" w:hAnsi="宋体" w:cs="宋体"/>
                <w:szCs w:val="21"/>
              </w:rPr>
            </w:pPr>
            <w:r>
              <w:rPr>
                <w:rFonts w:hint="eastAsia" w:ascii="宋体" w:hAnsi="宋体" w:cs="宋体"/>
                <w:szCs w:val="21"/>
              </w:rPr>
              <w:t>20000</w:t>
            </w:r>
          </w:p>
        </w:tc>
        <w:tc>
          <w:tcPr>
            <w:tcW w:w="2200"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环保投资（万元）</w:t>
            </w:r>
          </w:p>
        </w:tc>
        <w:tc>
          <w:tcPr>
            <w:tcW w:w="2625" w:type="dxa"/>
            <w:vAlign w:val="center"/>
          </w:tcPr>
          <w:p>
            <w:pPr>
              <w:adjustRightInd w:val="0"/>
              <w:snapToGrid w:val="0"/>
              <w:jc w:val="center"/>
              <w:rPr>
                <w:rFonts w:hint="eastAsia" w:ascii="宋体" w:hAnsi="宋体" w:cs="宋体"/>
                <w:szCs w:val="21"/>
              </w:rPr>
            </w:pPr>
            <w:r>
              <w:rPr>
                <w:rFonts w:hint="eastAsia" w:ascii="宋体" w:hAnsi="宋体" w:cs="宋体"/>
                <w:szCs w:val="21"/>
              </w:rPr>
              <w:t>304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2997" w:type="dxa"/>
            <w:vAlign w:val="center"/>
          </w:tcPr>
          <w:p>
            <w:pPr>
              <w:adjustRightInd w:val="0"/>
              <w:snapToGrid w:val="0"/>
              <w:jc w:val="center"/>
              <w:rPr>
                <w:rFonts w:hint="eastAsia" w:ascii="宋体" w:hAnsi="宋体" w:cs="宋体"/>
                <w:szCs w:val="21"/>
              </w:rPr>
            </w:pPr>
            <w:r>
              <w:rPr>
                <w:rFonts w:hint="eastAsia" w:ascii="宋体" w:hAnsi="宋体" w:cs="宋体"/>
                <w:szCs w:val="21"/>
              </w:rPr>
              <w:t>1.52</w:t>
            </w:r>
          </w:p>
        </w:tc>
        <w:tc>
          <w:tcPr>
            <w:tcW w:w="2200"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施工工期</w:t>
            </w:r>
          </w:p>
        </w:tc>
        <w:tc>
          <w:tcPr>
            <w:tcW w:w="2625" w:type="dxa"/>
            <w:vAlign w:val="center"/>
          </w:tcPr>
          <w:p>
            <w:pPr>
              <w:adjustRightInd w:val="0"/>
              <w:snapToGrid w:val="0"/>
              <w:jc w:val="center"/>
              <w:rPr>
                <w:rFonts w:hint="eastAsia" w:ascii="宋体" w:hAnsi="宋体" w:cs="宋体"/>
                <w:szCs w:val="21"/>
              </w:rPr>
            </w:pPr>
            <w:r>
              <w:rPr>
                <w:rFonts w:hint="eastAsia" w:ascii="宋体" w:hAnsi="宋体" w:cs="宋体"/>
                <w:szCs w:val="21"/>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02" w:type="dxa"/>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2997" w:type="dxa"/>
            <w:vAlign w:val="center"/>
          </w:tcPr>
          <w:p>
            <w:pPr>
              <w:adjustRightInd w:val="0"/>
              <w:snapToGrid w:val="0"/>
              <w:rPr>
                <w:rFonts w:hint="eastAsia" w:ascii="宋体" w:hAnsi="宋体" w:cs="宋体"/>
                <w:szCs w:val="21"/>
              </w:rPr>
            </w:pPr>
            <w:r>
              <w:rPr>
                <w:rFonts w:hint="eastAsia" w:ascii="宋体" w:hAnsi="宋体" w:cs="宋体"/>
                <w:szCs w:val="21"/>
              </w:rPr>
              <w:t>■否</w:t>
            </w:r>
          </w:p>
          <w:p>
            <w:pPr>
              <w:adjustRightInd w:val="0"/>
              <w:snapToGrid w:val="0"/>
              <w:rPr>
                <w:rFonts w:hint="eastAsia" w:ascii="宋体" w:hAnsi="宋体" w:cs="宋体"/>
                <w:szCs w:val="21"/>
              </w:rPr>
            </w:pPr>
            <w:r>
              <w:rPr>
                <w:rFonts w:hint="eastAsia" w:ascii="宋体" w:hAnsi="宋体" w:cs="宋体"/>
                <w:szCs w:val="21"/>
              </w:rPr>
              <w:sym w:font="Wingdings 2" w:char="00A3"/>
            </w:r>
            <w:r>
              <w:rPr>
                <w:rFonts w:hint="eastAsia" w:ascii="宋体" w:hAnsi="宋体" w:cs="宋体"/>
                <w:szCs w:val="21"/>
              </w:rPr>
              <w:t>是：</w:t>
            </w:r>
            <w:r>
              <w:rPr>
                <w:rFonts w:hint="eastAsia" w:ascii="宋体" w:hAnsi="宋体" w:cs="宋体"/>
                <w:szCs w:val="21"/>
                <w:u w:val="single"/>
              </w:rPr>
              <w:t xml:space="preserve">             </w:t>
            </w:r>
          </w:p>
        </w:tc>
        <w:tc>
          <w:tcPr>
            <w:tcW w:w="2200" w:type="dxa"/>
            <w:tcMar>
              <w:top w:w="16" w:type="dxa"/>
              <w:left w:w="16" w:type="dxa"/>
              <w:right w:w="16" w:type="dxa"/>
            </w:tcMar>
            <w:vAlign w:val="center"/>
          </w:tcPr>
          <w:p>
            <w:pPr>
              <w:adjustRightInd w:val="0"/>
              <w:snapToGrid w:val="0"/>
              <w:jc w:val="center"/>
              <w:rPr>
                <w:rFonts w:hint="eastAsia" w:ascii="宋体" w:hAnsi="宋体" w:cs="宋体"/>
                <w:spacing w:val="-6"/>
                <w:szCs w:val="21"/>
              </w:rPr>
            </w:pPr>
            <w:r>
              <w:rPr>
                <w:rFonts w:hint="eastAsia" w:ascii="宋体" w:hAnsi="宋体" w:cs="宋体"/>
                <w:spacing w:val="-6"/>
                <w:szCs w:val="21"/>
              </w:rPr>
              <w:t>用地（用海）</w:t>
            </w:r>
          </w:p>
          <w:p>
            <w:pPr>
              <w:adjustRightInd w:val="0"/>
              <w:snapToGrid w:val="0"/>
              <w:jc w:val="center"/>
              <w:rPr>
                <w:rFonts w:hint="eastAsia" w:ascii="宋体" w:hAnsi="宋体" w:cs="宋体"/>
                <w:szCs w:val="21"/>
              </w:rPr>
            </w:pPr>
            <w:r>
              <w:rPr>
                <w:rFonts w:hint="eastAsia" w:ascii="宋体" w:hAnsi="宋体" w:cs="宋体"/>
                <w:spacing w:val="-6"/>
                <w:szCs w:val="21"/>
              </w:rPr>
              <w:t>面积（</w:t>
            </w:r>
            <w:r>
              <w:rPr>
                <w:rFonts w:ascii="宋体" w:hAnsi="宋体" w:cs="宋体"/>
                <w:spacing w:val="-6"/>
                <w:szCs w:val="21"/>
              </w:rPr>
              <w:t>m</w:t>
            </w:r>
            <w:r>
              <w:rPr>
                <w:rFonts w:ascii="宋体" w:hAnsi="宋体" w:cs="宋体"/>
                <w:spacing w:val="-6"/>
                <w:szCs w:val="21"/>
                <w:vertAlign w:val="superscript"/>
              </w:rPr>
              <w:t>2</w:t>
            </w:r>
            <w:r>
              <w:rPr>
                <w:rFonts w:hint="eastAsia" w:ascii="宋体" w:hAnsi="宋体" w:cs="宋体"/>
                <w:spacing w:val="-6"/>
                <w:szCs w:val="21"/>
              </w:rPr>
              <w:t>）</w:t>
            </w:r>
          </w:p>
        </w:tc>
        <w:tc>
          <w:tcPr>
            <w:tcW w:w="2625" w:type="dxa"/>
            <w:vAlign w:val="center"/>
          </w:tcPr>
          <w:p>
            <w:pPr>
              <w:adjustRightInd w:val="0"/>
              <w:snapToGrid w:val="0"/>
              <w:jc w:val="center"/>
              <w:rPr>
                <w:rFonts w:hint="eastAsia" w:ascii="宋体" w:hAnsi="宋体" w:cs="宋体"/>
                <w:szCs w:val="21"/>
              </w:rPr>
            </w:pPr>
            <w:r>
              <w:t>17892.96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02" w:type="dxa"/>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专项评价设置情况</w:t>
            </w:r>
          </w:p>
        </w:tc>
        <w:tc>
          <w:tcPr>
            <w:tcW w:w="7822" w:type="dxa"/>
            <w:gridSpan w:val="3"/>
            <w:vAlign w:val="center"/>
          </w:tcPr>
          <w:p>
            <w:pPr>
              <w:pStyle w:val="5"/>
              <w:ind w:firstLine="480"/>
            </w:pPr>
            <w:r>
              <w:rPr>
                <w:rFonts w:hint="eastAsia"/>
              </w:rPr>
              <w:t>专项评价设置情况见表1.1-1。根据下表分析，本次工程设置地表水专项评价内容。</w:t>
            </w:r>
          </w:p>
          <w:p>
            <w:pPr>
              <w:pStyle w:val="14"/>
              <w:keepNext/>
            </w:pPr>
            <w:bookmarkStart w:id="2" w:name="_Ref135302100"/>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2"/>
            <w:r>
              <w:t xml:space="preserve">   </w:t>
            </w:r>
            <w:r>
              <w:rPr>
                <w:rFonts w:hint="eastAsia"/>
              </w:rPr>
              <w:t>专项评价设置原则表</w:t>
            </w:r>
          </w:p>
          <w:tbl>
            <w:tblPr>
              <w:tblStyle w:val="39"/>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438"/>
              <w:gridCol w:w="3233"/>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vAlign w:val="center"/>
                </w:tcPr>
                <w:p>
                  <w:pPr>
                    <w:pStyle w:val="63"/>
                  </w:pPr>
                  <w:r>
                    <w:rPr>
                      <w:rFonts w:hint="eastAsia"/>
                    </w:rPr>
                    <w:t>专项评价的类别</w:t>
                  </w:r>
                </w:p>
              </w:tc>
              <w:tc>
                <w:tcPr>
                  <w:tcW w:w="2438" w:type="dxa"/>
                  <w:vAlign w:val="center"/>
                </w:tcPr>
                <w:p>
                  <w:pPr>
                    <w:pStyle w:val="63"/>
                  </w:pPr>
                  <w:r>
                    <w:rPr>
                      <w:rFonts w:hint="eastAsia"/>
                    </w:rPr>
                    <w:t>设置原则</w:t>
                  </w:r>
                </w:p>
              </w:tc>
              <w:tc>
                <w:tcPr>
                  <w:tcW w:w="3233" w:type="dxa"/>
                  <w:vAlign w:val="center"/>
                </w:tcPr>
                <w:p>
                  <w:pPr>
                    <w:pStyle w:val="63"/>
                  </w:pPr>
                  <w:r>
                    <w:rPr>
                      <w:rFonts w:hint="eastAsia"/>
                    </w:rPr>
                    <w:t>本工程情况</w:t>
                  </w:r>
                </w:p>
              </w:tc>
              <w:tc>
                <w:tcPr>
                  <w:tcW w:w="776" w:type="dxa"/>
                  <w:vAlign w:val="center"/>
                </w:tcPr>
                <w:p>
                  <w:pPr>
                    <w:pStyle w:val="63"/>
                  </w:pPr>
                  <w:r>
                    <w:rPr>
                      <w:rFonts w:hint="eastAsia"/>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vAlign w:val="center"/>
                </w:tcPr>
                <w:p>
                  <w:pPr>
                    <w:pStyle w:val="63"/>
                  </w:pPr>
                  <w:r>
                    <w:rPr>
                      <w:rFonts w:hint="eastAsia"/>
                    </w:rPr>
                    <w:t>大气</w:t>
                  </w:r>
                </w:p>
              </w:tc>
              <w:tc>
                <w:tcPr>
                  <w:tcW w:w="2438" w:type="dxa"/>
                  <w:vAlign w:val="center"/>
                </w:tcPr>
                <w:p>
                  <w:pPr>
                    <w:pStyle w:val="63"/>
                  </w:pPr>
                  <w:r>
                    <w:rPr>
                      <w:rFonts w:hint="eastAsia"/>
                    </w:rPr>
                    <w:t>排放废气含有毒有害污染物</w:t>
                  </w:r>
                  <w:r>
                    <w:rPr>
                      <w:rFonts w:hint="eastAsia"/>
                      <w:vertAlign w:val="superscript"/>
                    </w:rPr>
                    <w:t>（1）</w:t>
                  </w:r>
                  <w:r>
                    <w:rPr>
                      <w:rFonts w:hint="eastAsia"/>
                    </w:rPr>
                    <w:t>、二噁英、苯并[a]芘、氰化物、氯气且厂界外500 米范围内有环境空气保护目标</w:t>
                  </w:r>
                  <w:r>
                    <w:rPr>
                      <w:rFonts w:hint="eastAsia"/>
                      <w:vertAlign w:val="superscript"/>
                    </w:rPr>
                    <w:t>（2）</w:t>
                  </w:r>
                  <w:r>
                    <w:rPr>
                      <w:rFonts w:hint="eastAsia"/>
                    </w:rPr>
                    <w:t>的建设项目</w:t>
                  </w:r>
                </w:p>
              </w:tc>
              <w:tc>
                <w:tcPr>
                  <w:tcW w:w="3233" w:type="dxa"/>
                  <w:vAlign w:val="center"/>
                </w:tcPr>
                <w:p>
                  <w:pPr>
                    <w:pStyle w:val="63"/>
                  </w:pPr>
                  <w:r>
                    <w:rPr>
                      <w:rFonts w:hint="eastAsia"/>
                    </w:rPr>
                    <w:t>本次排放废气中主要为硫化氢和氨，消毒工艺采用紫外消毒，不涉及氯气，所以项目排放废气中不含有毒有害污染物</w:t>
                  </w:r>
                  <w:r>
                    <w:rPr>
                      <w:rFonts w:hint="eastAsia"/>
                      <w:vertAlign w:val="superscript"/>
                    </w:rPr>
                    <w:t>（1）</w:t>
                  </w:r>
                  <w:r>
                    <w:rPr>
                      <w:rFonts w:hint="eastAsia"/>
                    </w:rPr>
                    <w:t>、二噁英、苯并[a]芘、氰化物、氯气</w:t>
                  </w:r>
                </w:p>
              </w:tc>
              <w:tc>
                <w:tcPr>
                  <w:tcW w:w="776" w:type="dxa"/>
                  <w:vAlign w:val="center"/>
                </w:tcPr>
                <w:p>
                  <w:pPr>
                    <w:pStyle w:val="63"/>
                  </w:pPr>
                  <w:r>
                    <w:rPr>
                      <w:rFonts w:hint="eastAsia"/>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vAlign w:val="center"/>
                </w:tcPr>
                <w:p>
                  <w:pPr>
                    <w:pStyle w:val="63"/>
                  </w:pPr>
                  <w:r>
                    <w:rPr>
                      <w:rFonts w:hint="eastAsia"/>
                    </w:rPr>
                    <w:t>地表水</w:t>
                  </w:r>
                </w:p>
              </w:tc>
              <w:tc>
                <w:tcPr>
                  <w:tcW w:w="2438" w:type="dxa"/>
                  <w:vAlign w:val="center"/>
                </w:tcPr>
                <w:p>
                  <w:pPr>
                    <w:pStyle w:val="63"/>
                  </w:pPr>
                  <w:r>
                    <w:rPr>
                      <w:rFonts w:hint="eastAsia"/>
                    </w:rPr>
                    <w:t>新增工业废水直排建设项目（槽罐车外送污水处理厂的除外）；新增废水直排的污水集中处理厂</w:t>
                  </w:r>
                </w:p>
              </w:tc>
              <w:tc>
                <w:tcPr>
                  <w:tcW w:w="3233" w:type="dxa"/>
                  <w:vAlign w:val="center"/>
                </w:tcPr>
                <w:p>
                  <w:pPr>
                    <w:pStyle w:val="63"/>
                  </w:pPr>
                  <w:r>
                    <w:rPr>
                      <w:rFonts w:hint="eastAsia"/>
                    </w:rPr>
                    <w:t>项目为生活污水处理厂，排放口设置在朱衣河，属于新增废水直排的污水集中处理厂</w:t>
                  </w:r>
                </w:p>
              </w:tc>
              <w:tc>
                <w:tcPr>
                  <w:tcW w:w="776" w:type="dxa"/>
                  <w:vAlign w:val="center"/>
                </w:tcPr>
                <w:p>
                  <w:pPr>
                    <w:pStyle w:val="63"/>
                  </w:pPr>
                  <w:r>
                    <w:rPr>
                      <w:rFonts w:hint="eastAsia"/>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vAlign w:val="center"/>
                </w:tcPr>
                <w:p>
                  <w:pPr>
                    <w:pStyle w:val="63"/>
                  </w:pPr>
                  <w:r>
                    <w:rPr>
                      <w:rFonts w:hint="eastAsia"/>
                    </w:rPr>
                    <w:t>环境风险</w:t>
                  </w:r>
                </w:p>
              </w:tc>
              <w:tc>
                <w:tcPr>
                  <w:tcW w:w="2438" w:type="dxa"/>
                  <w:vAlign w:val="center"/>
                </w:tcPr>
                <w:p>
                  <w:pPr>
                    <w:pStyle w:val="63"/>
                  </w:pPr>
                  <w:r>
                    <w:rPr>
                      <w:rFonts w:hint="eastAsia"/>
                    </w:rPr>
                    <w:t>有毒有害和易燃易爆危险物质存储量超过临界量</w:t>
                  </w:r>
                  <w:r>
                    <w:rPr>
                      <w:rFonts w:hint="eastAsia"/>
                      <w:vertAlign w:val="superscript"/>
                    </w:rPr>
                    <w:t>（3）</w:t>
                  </w:r>
                  <w:r>
                    <w:rPr>
                      <w:rFonts w:hint="eastAsia"/>
                    </w:rPr>
                    <w:t>的建设项目</w:t>
                  </w:r>
                </w:p>
              </w:tc>
              <w:tc>
                <w:tcPr>
                  <w:tcW w:w="3233" w:type="dxa"/>
                  <w:vAlign w:val="center"/>
                </w:tcPr>
                <w:p>
                  <w:pPr>
                    <w:pStyle w:val="63"/>
                  </w:pPr>
                  <w:r>
                    <w:rPr>
                      <w:rFonts w:hint="eastAsia"/>
                    </w:rPr>
                    <w:t>根据环境风险章节统计，项目Q值小于1，有毒有害和易燃易爆危险物质存储量未超过临界量</w:t>
                  </w:r>
                </w:p>
              </w:tc>
              <w:tc>
                <w:tcPr>
                  <w:tcW w:w="776" w:type="dxa"/>
                  <w:vAlign w:val="center"/>
                </w:tcPr>
                <w:p>
                  <w:pPr>
                    <w:pStyle w:val="63"/>
                  </w:pPr>
                  <w:r>
                    <w:rPr>
                      <w:rFonts w:hint="eastAsia"/>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vAlign w:val="center"/>
                </w:tcPr>
                <w:p>
                  <w:pPr>
                    <w:pStyle w:val="63"/>
                  </w:pPr>
                  <w:r>
                    <w:rPr>
                      <w:rFonts w:hint="eastAsia"/>
                    </w:rPr>
                    <w:t>生态</w:t>
                  </w:r>
                </w:p>
              </w:tc>
              <w:tc>
                <w:tcPr>
                  <w:tcW w:w="2438" w:type="dxa"/>
                  <w:vAlign w:val="center"/>
                </w:tcPr>
                <w:p>
                  <w:pPr>
                    <w:pStyle w:val="63"/>
                  </w:pPr>
                  <w:r>
                    <w:rPr>
                      <w:rFonts w:hint="eastAsia"/>
                    </w:rPr>
                    <w:t>取水口下游 500 米范围内有重要水生生物的自然产卵场、索饵场、越冬场和洄游通道的新增河道取水的污染类建设项目</w:t>
                  </w:r>
                </w:p>
              </w:tc>
              <w:tc>
                <w:tcPr>
                  <w:tcW w:w="3233" w:type="dxa"/>
                  <w:vAlign w:val="center"/>
                </w:tcPr>
                <w:p>
                  <w:pPr>
                    <w:pStyle w:val="63"/>
                  </w:pPr>
                  <w:r>
                    <w:rPr>
                      <w:rFonts w:hint="eastAsia"/>
                    </w:rPr>
                    <w:t>项目为污水处理厂，为市政供水，不涉及设置取水口，不涉及新增河道取水</w:t>
                  </w:r>
                </w:p>
              </w:tc>
              <w:tc>
                <w:tcPr>
                  <w:tcW w:w="776" w:type="dxa"/>
                  <w:vAlign w:val="center"/>
                </w:tcPr>
                <w:p>
                  <w:pPr>
                    <w:pStyle w:val="63"/>
                  </w:pPr>
                  <w:r>
                    <w:rPr>
                      <w:rFonts w:hint="eastAsia"/>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vAlign w:val="center"/>
                </w:tcPr>
                <w:p>
                  <w:pPr>
                    <w:pStyle w:val="63"/>
                  </w:pPr>
                  <w:r>
                    <w:rPr>
                      <w:rFonts w:hint="eastAsia"/>
                    </w:rPr>
                    <w:t>海洋</w:t>
                  </w:r>
                </w:p>
              </w:tc>
              <w:tc>
                <w:tcPr>
                  <w:tcW w:w="2438" w:type="dxa"/>
                  <w:vAlign w:val="center"/>
                </w:tcPr>
                <w:p>
                  <w:pPr>
                    <w:pStyle w:val="63"/>
                  </w:pPr>
                  <w:r>
                    <w:rPr>
                      <w:rFonts w:hint="eastAsia"/>
                    </w:rPr>
                    <w:t>直接向海排放污染物的海洋工程建设项目</w:t>
                  </w:r>
                </w:p>
              </w:tc>
              <w:tc>
                <w:tcPr>
                  <w:tcW w:w="3233" w:type="dxa"/>
                  <w:vAlign w:val="center"/>
                </w:tcPr>
                <w:p>
                  <w:pPr>
                    <w:pStyle w:val="63"/>
                  </w:pPr>
                  <w:r>
                    <w:rPr>
                      <w:rFonts w:hint="eastAsia"/>
                    </w:rPr>
                    <w:t>不属于</w:t>
                  </w:r>
                </w:p>
              </w:tc>
              <w:tc>
                <w:tcPr>
                  <w:tcW w:w="776" w:type="dxa"/>
                  <w:vAlign w:val="center"/>
                </w:tcPr>
                <w:p>
                  <w:pPr>
                    <w:pStyle w:val="63"/>
                  </w:pPr>
                  <w:r>
                    <w:rPr>
                      <w:rFonts w:hint="eastAsia"/>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6" w:type="dxa"/>
                  <w:gridSpan w:val="4"/>
                  <w:vAlign w:val="center"/>
                </w:tcPr>
                <w:p>
                  <w:pPr>
                    <w:pStyle w:val="64"/>
                  </w:pPr>
                  <w:r>
                    <w:rPr>
                      <w:rFonts w:hint="eastAsia"/>
                    </w:rPr>
                    <w:t>注：1.废气中有毒有害污染物指纳入《有毒有害大气污染物名录》的污染物（不包括无排放标准的污染物）；</w:t>
                  </w:r>
                </w:p>
                <w:p>
                  <w:pPr>
                    <w:pStyle w:val="64"/>
                  </w:pPr>
                  <w:r>
                    <w:rPr>
                      <w:rFonts w:hint="eastAsia"/>
                    </w:rPr>
                    <w:t>2.环境空气保护目标指自然保护区、风景名胜区、居住区、文化区和农村地区中人群较集中的区域。</w:t>
                  </w:r>
                </w:p>
                <w:p>
                  <w:pPr>
                    <w:pStyle w:val="64"/>
                  </w:pPr>
                  <w:r>
                    <w:rPr>
                      <w:rFonts w:hint="eastAsia"/>
                    </w:rPr>
                    <w:t>3.临界量及其计算方法可参考《建设项目环境风险评价技术导则》（HJ 169）附录 B、附录 C。</w:t>
                  </w:r>
                </w:p>
              </w:tc>
            </w:tr>
          </w:tbl>
          <w:p>
            <w:pPr>
              <w:autoSpaceDE w:val="0"/>
              <w:autoSpaceDN w:val="0"/>
              <w:adjustRightInd w:val="0"/>
              <w:snapToGrid w:val="0"/>
              <w:jc w:val="center"/>
              <w:rPr>
                <w:rFonts w:hint="eastAsia"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02" w:type="dxa"/>
            <w:vAlign w:val="center"/>
          </w:tcPr>
          <w:p>
            <w:pPr>
              <w:autoSpaceDE w:val="0"/>
              <w:autoSpaceDN w:val="0"/>
              <w:adjustRightInd w:val="0"/>
              <w:snapToGrid w:val="0"/>
              <w:jc w:val="center"/>
              <w:rPr>
                <w:rFonts w:hint="eastAsia" w:ascii="宋体" w:hAnsi="宋体" w:cs="宋体"/>
                <w:szCs w:val="21"/>
              </w:rPr>
            </w:pPr>
            <w:r>
              <w:rPr>
                <w:rFonts w:hint="eastAsia" w:ascii="宋体" w:hAnsi="宋体" w:cs="宋体"/>
                <w:szCs w:val="21"/>
              </w:rPr>
              <w:t>规划</w:t>
            </w:r>
          </w:p>
          <w:p>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情况</w:t>
            </w:r>
          </w:p>
        </w:tc>
        <w:tc>
          <w:tcPr>
            <w:tcW w:w="7822" w:type="dxa"/>
            <w:gridSpan w:val="3"/>
            <w:vAlign w:val="center"/>
          </w:tcPr>
          <w:p>
            <w:pPr>
              <w:pStyle w:val="5"/>
              <w:ind w:firstLine="480"/>
            </w:pPr>
            <w:r>
              <w:rPr>
                <w:rFonts w:hint="eastAsia"/>
              </w:rPr>
              <w:t>《重庆市奉节县高铁生态城新兴产业集聚区控制性详细规划》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02" w:type="dxa"/>
            <w:vAlign w:val="center"/>
          </w:tcPr>
          <w:p>
            <w:pPr>
              <w:adjustRightInd w:val="0"/>
              <w:snapToGrid w:val="0"/>
              <w:jc w:val="center"/>
              <w:rPr>
                <w:rFonts w:hint="eastAsia" w:ascii="宋体" w:hAnsi="宋体" w:cs="宋体"/>
                <w:szCs w:val="21"/>
              </w:rPr>
            </w:pPr>
            <w:r>
              <w:rPr>
                <w:rFonts w:hint="eastAsia" w:ascii="宋体" w:hAnsi="宋体" w:cs="宋体"/>
                <w:szCs w:val="21"/>
              </w:rPr>
              <w:t>规划环境影响</w:t>
            </w:r>
          </w:p>
          <w:p>
            <w:pPr>
              <w:adjustRightInd w:val="0"/>
              <w:snapToGrid w:val="0"/>
              <w:jc w:val="center"/>
              <w:rPr>
                <w:rFonts w:hint="eastAsia" w:ascii="宋体" w:hAnsi="宋体" w:cs="宋体"/>
                <w:kern w:val="0"/>
                <w:szCs w:val="21"/>
              </w:rPr>
            </w:pPr>
            <w:r>
              <w:rPr>
                <w:rFonts w:hint="eastAsia" w:ascii="宋体" w:hAnsi="宋体" w:cs="宋体"/>
                <w:szCs w:val="21"/>
              </w:rPr>
              <w:t>评价情况</w:t>
            </w:r>
          </w:p>
        </w:tc>
        <w:tc>
          <w:tcPr>
            <w:tcW w:w="7822" w:type="dxa"/>
            <w:gridSpan w:val="3"/>
            <w:vAlign w:val="center"/>
          </w:tcPr>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规划环境影响文件名称：《重庆市奉节县高铁生态城新兴产业集聚区控制性详细规划环境影响报告书》</w:t>
            </w:r>
          </w:p>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召集审查机关：奉节县生态环境局；</w:t>
            </w:r>
          </w:p>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审查文件名称：《奉节县生态环境局关于重庆市奉县高铁生态城新兴产业集聚区控制性详细规划环境影响报告书审查意见的函》</w:t>
            </w:r>
          </w:p>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文号：奉节环函〔2024〕64号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02" w:type="dxa"/>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规划及规划环境影响评价符合性分析</w:t>
            </w:r>
          </w:p>
        </w:tc>
        <w:tc>
          <w:tcPr>
            <w:tcW w:w="7822" w:type="dxa"/>
            <w:gridSpan w:val="3"/>
            <w:vAlign w:val="center"/>
          </w:tcPr>
          <w:p>
            <w:pPr>
              <w:pStyle w:val="3"/>
              <w:spacing w:before="120" w:after="120"/>
            </w:pPr>
            <w:r>
              <w:rPr>
                <w:rFonts w:hint="eastAsia"/>
              </w:rPr>
              <w:t>规划符合性分析</w:t>
            </w:r>
          </w:p>
          <w:p>
            <w:pPr>
              <w:pStyle w:val="4"/>
              <w:spacing w:before="120" w:after="120"/>
            </w:pPr>
            <w:r>
              <w:rPr>
                <w:rFonts w:hint="eastAsia"/>
              </w:rPr>
              <w:t>与《重庆市奉节县高铁生态城新兴产业集聚区控制性详细规划》符合性</w:t>
            </w:r>
          </w:p>
          <w:p>
            <w:pPr>
              <w:pStyle w:val="5"/>
              <w:ind w:firstLine="480"/>
            </w:pPr>
            <w:r>
              <w:rPr>
                <w:rFonts w:hint="eastAsia"/>
              </w:rPr>
              <w:t>规划范围：规划区位于中心城区西部，东侧紧邻郑万高速铁路，西侧以麻林桥为界，包含麻林、双楼、沪蓉高速以北区域。</w:t>
            </w:r>
          </w:p>
          <w:p>
            <w:pPr>
              <w:pStyle w:val="5"/>
              <w:ind w:firstLine="480"/>
            </w:pPr>
            <w:r>
              <w:rPr>
                <w:rFonts w:hint="eastAsia"/>
              </w:rPr>
              <w:t>规划规模：规划用地面积219.46公顷，其中城市建设用地规模192.43公顷，非城市建设用地27.03公顷。</w:t>
            </w:r>
          </w:p>
          <w:p>
            <w:pPr>
              <w:pStyle w:val="5"/>
              <w:ind w:firstLine="480"/>
            </w:pPr>
            <w:r>
              <w:rPr>
                <w:rFonts w:hint="eastAsia"/>
              </w:rPr>
              <w:t>规划定位及产值目标：主要发展饮料制造、农副食品加工、眼镜及眼健康产品制造。规划目标产值为80亿元。</w:t>
            </w:r>
          </w:p>
          <w:p>
            <w:pPr>
              <w:pStyle w:val="5"/>
              <w:ind w:firstLine="480"/>
            </w:pPr>
            <w:r>
              <w:rPr>
                <w:rFonts w:hint="eastAsia"/>
              </w:rPr>
              <w:t>规划空间布局结构为“一心、一带、四片”，以及发展储备区。其中：一心：指规划区中部的综合服务中心，包含社区综合服务中心、批发市场、酒店及公寓等配套设施；一带：指朱衣河沿线景观带；四片：指围绕综合服务中心形成的四个产业片区，以工业用地为主，布局少量的物流仓储用地；发展储备区：沪蓉高速公路以北的陡坡地，根据未来的发展需求适时开发，建设时再确定具体功能。城市建设用地主要布设有居住用地、工业用地、道路与交通设施用地、绿地与广场用地。</w:t>
            </w:r>
          </w:p>
          <w:p>
            <w:pPr>
              <w:pStyle w:val="5"/>
              <w:ind w:firstLine="480"/>
            </w:pPr>
            <w:r>
              <w:rPr>
                <w:rFonts w:hint="eastAsia"/>
              </w:rPr>
              <w:t>规划在朱衣河以南，郑万高铁以北新增一座污水处理厂，近期（2024年-2028年）规模为5000 m</w:t>
            </w:r>
            <w:r>
              <w:rPr>
                <w:rFonts w:hint="eastAsia"/>
                <w:vertAlign w:val="superscript"/>
              </w:rPr>
              <w:t>3/</w:t>
            </w:r>
            <w:r>
              <w:rPr>
                <w:rFonts w:hint="eastAsia"/>
              </w:rPr>
              <w:t>d，远期规模为10000 m</w:t>
            </w:r>
            <w:r>
              <w:rPr>
                <w:rFonts w:hint="eastAsia"/>
                <w:vertAlign w:val="superscript"/>
              </w:rPr>
              <w:t>3</w:t>
            </w:r>
            <w:r>
              <w:rPr>
                <w:rFonts w:hint="eastAsia"/>
              </w:rPr>
              <w:t>/d，出水水质执行《城镇污水处理厂污染物排放标准》（GB18918-2002）一级A标后排入朱衣河。规划区域所有污水最终均进入规划新增的污水处理厂进行处理。</w:t>
            </w:r>
          </w:p>
          <w:p>
            <w:pPr>
              <w:pStyle w:val="5"/>
              <w:ind w:firstLine="480"/>
            </w:pPr>
            <w:r>
              <w:rPr>
                <w:rFonts w:hint="eastAsia"/>
              </w:rPr>
              <w:t>本项目为生活污水处理厂，设计规模为10000 m</w:t>
            </w:r>
            <w:r>
              <w:rPr>
                <w:rFonts w:hint="eastAsia"/>
                <w:vertAlign w:val="superscript"/>
              </w:rPr>
              <w:t>3</w:t>
            </w:r>
            <w:r>
              <w:rPr>
                <w:rFonts w:hint="eastAsia"/>
              </w:rPr>
              <w:t>/d，出水水质执行《城镇污水处理厂污染物排放标准》（GB18918-2002）一级A标后排入朱衣河，处理高铁生态城新兴产业集聚区工业废水、生活污水和集聚区外区域生活污水，项目设计规模、出水水质标准、受纳水体和处理污水范围满足《重庆市奉节县高铁生态城新兴产业集聚区控制性详细规划》要求。</w:t>
            </w:r>
          </w:p>
          <w:p>
            <w:pPr>
              <w:pStyle w:val="4"/>
              <w:spacing w:before="120" w:after="120"/>
            </w:pPr>
            <w:r>
              <w:rPr>
                <w:rFonts w:ascii="ZWAdobeF" w:hAnsi="ZWAdobeF" w:cs="ZWAdobeF"/>
                <w:b w:val="0"/>
                <w:sz w:val="2"/>
                <w:szCs w:val="2"/>
              </w:rPr>
              <w:t>B</w:t>
            </w:r>
            <w:r>
              <w:rPr>
                <w:rFonts w:hint="eastAsia"/>
              </w:rPr>
              <w:t>与《重庆市奉节县高铁生态城新兴产业集聚区控制性详细规划环境影响报告书》符合性分析</w:t>
            </w:r>
          </w:p>
          <w:p>
            <w:pPr>
              <w:pStyle w:val="5"/>
              <w:ind w:firstLine="480"/>
            </w:pPr>
            <w:r>
              <w:rPr>
                <w:rFonts w:hint="eastAsia"/>
              </w:rPr>
              <w:t>项目与规划环评分区环境管控要求符合性分析见</w:t>
            </w:r>
            <w:r>
              <w:fldChar w:fldCharType="begin" w:fldLock="1"/>
            </w:r>
            <w:r>
              <w:instrText xml:space="preserve"> </w:instrText>
            </w:r>
            <w:r>
              <w:rPr>
                <w:rFonts w:hint="eastAsia"/>
              </w:rPr>
              <w:instrText xml:space="preserve">REF _Ref178153367 \h</w:instrText>
            </w:r>
            <w:r>
              <w:instrText xml:space="preserve"> </w:instrText>
            </w:r>
            <w:r>
              <w:fldChar w:fldCharType="separate"/>
            </w:r>
            <w:r>
              <w:rPr>
                <w:rFonts w:hint="eastAsia"/>
              </w:rPr>
              <w:t xml:space="preserve">表 </w:t>
            </w:r>
            <w:r>
              <w:t>1.1</w:t>
            </w:r>
            <w:r>
              <w:noBreakHyphen/>
            </w:r>
            <w:r>
              <w:t>2</w:t>
            </w:r>
            <w:r>
              <w:fldChar w:fldCharType="end"/>
            </w:r>
            <w:r>
              <w:rPr>
                <w:rFonts w:hint="eastAsia"/>
              </w:rPr>
              <w:t>，根据下表本项目满足规划环评分区环境管控要求。</w:t>
            </w:r>
          </w:p>
          <w:p>
            <w:pPr>
              <w:pStyle w:val="14"/>
              <w:keepNext/>
            </w:pPr>
            <w:bookmarkStart w:id="3" w:name="_Ref178153367"/>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3"/>
            <w:r>
              <w:rPr>
                <w:rFonts w:hint="eastAsia"/>
              </w:rPr>
              <w:t xml:space="preserve">   本项目与规划环评分区环境管控要求符合性分析表</w:t>
            </w:r>
          </w:p>
          <w:tbl>
            <w:tblPr>
              <w:tblStyle w:val="39"/>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2694"/>
              <w:gridCol w:w="3117"/>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52" w:type="dxa"/>
                  <w:gridSpan w:val="2"/>
                  <w:vAlign w:val="center"/>
                </w:tcPr>
                <w:p>
                  <w:pPr>
                    <w:pStyle w:val="63"/>
                  </w:pPr>
                  <w:r>
                    <w:rPr>
                      <w:rFonts w:hint="eastAsia"/>
                    </w:rPr>
                    <w:t>规划环评</w:t>
                  </w:r>
                </w:p>
              </w:tc>
              <w:tc>
                <w:tcPr>
                  <w:tcW w:w="3117" w:type="dxa"/>
                  <w:vMerge w:val="restart"/>
                  <w:vAlign w:val="center"/>
                </w:tcPr>
                <w:p>
                  <w:pPr>
                    <w:pStyle w:val="63"/>
                  </w:pPr>
                  <w:r>
                    <w:rPr>
                      <w:rFonts w:hint="eastAsia"/>
                    </w:rPr>
                    <w:t>本项目</w:t>
                  </w:r>
                </w:p>
              </w:tc>
              <w:tc>
                <w:tcPr>
                  <w:tcW w:w="927" w:type="dxa"/>
                  <w:vMerge w:val="restart"/>
                  <w:vAlign w:val="center"/>
                </w:tcPr>
                <w:p>
                  <w:pPr>
                    <w:pStyle w:val="63"/>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Align w:val="center"/>
                </w:tcPr>
                <w:p>
                  <w:pPr>
                    <w:pStyle w:val="63"/>
                  </w:pPr>
                  <w:r>
                    <w:rPr>
                      <w:rFonts w:hint="eastAsia"/>
                    </w:rPr>
                    <w:t>分类</w:t>
                  </w:r>
                </w:p>
              </w:tc>
              <w:tc>
                <w:tcPr>
                  <w:tcW w:w="2694" w:type="dxa"/>
                  <w:vAlign w:val="center"/>
                </w:tcPr>
                <w:p>
                  <w:pPr>
                    <w:pStyle w:val="63"/>
                  </w:pPr>
                  <w:r>
                    <w:rPr>
                      <w:rFonts w:hint="eastAsia"/>
                    </w:rPr>
                    <w:t>清单内容</w:t>
                  </w:r>
                </w:p>
              </w:tc>
              <w:tc>
                <w:tcPr>
                  <w:tcW w:w="3117" w:type="dxa"/>
                  <w:vMerge w:val="continue"/>
                  <w:vAlign w:val="center"/>
                </w:tcPr>
                <w:p>
                  <w:pPr>
                    <w:pStyle w:val="63"/>
                  </w:pPr>
                </w:p>
              </w:tc>
              <w:tc>
                <w:tcPr>
                  <w:tcW w:w="92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vAlign w:val="center"/>
                </w:tcPr>
                <w:p>
                  <w:pPr>
                    <w:pStyle w:val="63"/>
                  </w:pPr>
                  <w:r>
                    <w:rPr>
                      <w:rFonts w:hint="eastAsia"/>
                    </w:rPr>
                    <w:t>空间布局约束</w:t>
                  </w:r>
                </w:p>
              </w:tc>
              <w:tc>
                <w:tcPr>
                  <w:tcW w:w="2694" w:type="dxa"/>
                  <w:vAlign w:val="center"/>
                </w:tcPr>
                <w:p>
                  <w:pPr>
                    <w:pStyle w:val="63"/>
                  </w:pPr>
                  <w:r>
                    <w:rPr>
                      <w:rFonts w:hint="eastAsia"/>
                    </w:rPr>
                    <w:t>1、合理布局有防护距离要求的工业企业，环境防护距离不应超出园区规划边界或用地红线。</w:t>
                  </w:r>
                </w:p>
              </w:tc>
              <w:tc>
                <w:tcPr>
                  <w:tcW w:w="3117" w:type="dxa"/>
                  <w:vAlign w:val="center"/>
                </w:tcPr>
                <w:p>
                  <w:pPr>
                    <w:pStyle w:val="63"/>
                  </w:pPr>
                  <w:r>
                    <w:rPr>
                      <w:rFonts w:hint="eastAsia"/>
                    </w:rPr>
                    <w:t>本项目为生活污水处理厂，选址位于规划区排水用地，已办理用地手续，根据计算本项目不设置大气环境防护距离。为减少废气影响，类比已建同类型污水处理厂情况，设置100m防护距离，根据现状调查防护距离内无居民点分布</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2、朱衣河河道管理范围外侧，应当控制不少于三十米的绿化缓冲带。</w:t>
                  </w:r>
                </w:p>
              </w:tc>
              <w:tc>
                <w:tcPr>
                  <w:tcW w:w="3117" w:type="dxa"/>
                  <w:vAlign w:val="center"/>
                </w:tcPr>
                <w:p>
                  <w:pPr>
                    <w:pStyle w:val="63"/>
                  </w:pPr>
                  <w:r>
                    <w:rPr>
                      <w:rFonts w:hint="eastAsia"/>
                    </w:rPr>
                    <w:t>项目位于规划排水用地范围内，不占用绿化缓冲带</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3、禁止使用高污染燃料。</w:t>
                  </w:r>
                </w:p>
              </w:tc>
              <w:tc>
                <w:tcPr>
                  <w:tcW w:w="3117" w:type="dxa"/>
                  <w:vAlign w:val="center"/>
                </w:tcPr>
                <w:p>
                  <w:pPr>
                    <w:pStyle w:val="63"/>
                  </w:pPr>
                  <w:r>
                    <w:rPr>
                      <w:rFonts w:hint="eastAsia"/>
                    </w:rPr>
                    <w:t>项目采用电为燃料，不使用高污染燃料</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4、新、改扩建涉及VOCs排放的工艺及设备不宜布置在居住用地50m范围内。</w:t>
                  </w:r>
                </w:p>
              </w:tc>
              <w:tc>
                <w:tcPr>
                  <w:tcW w:w="3117" w:type="dxa"/>
                  <w:vAlign w:val="center"/>
                </w:tcPr>
                <w:p>
                  <w:pPr>
                    <w:pStyle w:val="63"/>
                  </w:pPr>
                  <w:r>
                    <w:rPr>
                      <w:rFonts w:hint="eastAsia"/>
                    </w:rPr>
                    <w:t>本项目为生活污水处理厂，周围主要为绿地、工业用地和果园，周围100m范围内无居住用地</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5、禁止引入眼镜产业配套涉及表面处理（电镀）工序的项目入驻园区</w:t>
                  </w:r>
                </w:p>
              </w:tc>
              <w:tc>
                <w:tcPr>
                  <w:tcW w:w="3117" w:type="dxa"/>
                  <w:vAlign w:val="center"/>
                </w:tcPr>
                <w:p>
                  <w:pPr>
                    <w:pStyle w:val="63"/>
                  </w:pPr>
                  <w:r>
                    <w:rPr>
                      <w:rFonts w:hint="eastAsia"/>
                    </w:rPr>
                    <w:t>本项目为生活污水处理厂，不属于禁止引入的项目</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6、规划区禁止使用液氨作为制冷剂</w:t>
                  </w:r>
                </w:p>
              </w:tc>
              <w:tc>
                <w:tcPr>
                  <w:tcW w:w="3117" w:type="dxa"/>
                  <w:vAlign w:val="center"/>
                </w:tcPr>
                <w:p>
                  <w:pPr>
                    <w:pStyle w:val="63"/>
                  </w:pPr>
                  <w:r>
                    <w:rPr>
                      <w:rFonts w:hint="eastAsia"/>
                    </w:rPr>
                    <w:t>本项目不使用液氮作为制冷剂</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7、规划区禁止从事畜禽养殖、屠宰等经营活动</w:t>
                  </w:r>
                </w:p>
              </w:tc>
              <w:tc>
                <w:tcPr>
                  <w:tcW w:w="3117" w:type="dxa"/>
                  <w:vAlign w:val="center"/>
                </w:tcPr>
                <w:p>
                  <w:pPr>
                    <w:pStyle w:val="63"/>
                  </w:pPr>
                  <w:r>
                    <w:rPr>
                      <w:rFonts w:hint="eastAsia"/>
                    </w:rPr>
                    <w:t>本项目为生活污水处理厂，不属于禁止经营活动</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vAlign w:val="center"/>
                </w:tcPr>
                <w:p>
                  <w:pPr>
                    <w:pStyle w:val="63"/>
                  </w:pPr>
                  <w:r>
                    <w:rPr>
                      <w:rFonts w:hint="eastAsia"/>
                    </w:rPr>
                    <w:t>污染物排放管控</w:t>
                  </w:r>
                </w:p>
              </w:tc>
              <w:tc>
                <w:tcPr>
                  <w:tcW w:w="2694" w:type="dxa"/>
                  <w:vAlign w:val="center"/>
                </w:tcPr>
                <w:p>
                  <w:pPr>
                    <w:pStyle w:val="63"/>
                  </w:pPr>
                  <w:r>
                    <w:rPr>
                      <w:rFonts w:hint="eastAsia"/>
                    </w:rPr>
                    <w:t>1、规划实施排放的主要污染物及特征污染物排放量不得突破本次确定的总量管控指标。</w:t>
                  </w:r>
                </w:p>
              </w:tc>
              <w:tc>
                <w:tcPr>
                  <w:tcW w:w="3117" w:type="dxa"/>
                  <w:vAlign w:val="center"/>
                </w:tcPr>
                <w:p>
                  <w:pPr>
                    <w:pStyle w:val="63"/>
                  </w:pPr>
                  <w:r>
                    <w:rPr>
                      <w:rFonts w:hint="eastAsia"/>
                    </w:rPr>
                    <w:t>本项目为生活污水处理厂，服务范围为高铁生态城新兴产业集聚区和集聚区外居民集中区，集聚区范围内主要污染物及特征污染物排放量不突破本次确定的总量管控指标</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2、以生物质燃料作为替代燃料时，应执行燃气的排放标准。</w:t>
                  </w:r>
                </w:p>
              </w:tc>
              <w:tc>
                <w:tcPr>
                  <w:tcW w:w="3117" w:type="dxa"/>
                  <w:vAlign w:val="center"/>
                </w:tcPr>
                <w:p>
                  <w:pPr>
                    <w:pStyle w:val="63"/>
                  </w:pPr>
                  <w:r>
                    <w:rPr>
                      <w:rFonts w:hint="eastAsia"/>
                    </w:rPr>
                    <w:t>本项目不使用生物质燃料</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3、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3117" w:type="dxa"/>
                  <w:vAlign w:val="center"/>
                </w:tcPr>
                <w:p>
                  <w:pPr>
                    <w:pStyle w:val="63"/>
                  </w:pPr>
                  <w:r>
                    <w:rPr>
                      <w:rFonts w:hint="eastAsia"/>
                    </w:rPr>
                    <w:t>本项目为生活污水处理厂，不涉及喷漆、喷粉、印刷工序</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4、使用低挥发性有机物含量的涂料、油墨、胶粘剂、清洗剂。</w:t>
                  </w:r>
                </w:p>
              </w:tc>
              <w:tc>
                <w:tcPr>
                  <w:tcW w:w="3117" w:type="dxa"/>
                  <w:vAlign w:val="center"/>
                </w:tcPr>
                <w:p>
                  <w:pPr>
                    <w:pStyle w:val="63"/>
                  </w:pPr>
                  <w:r>
                    <w:rPr>
                      <w:rFonts w:hint="eastAsia"/>
                    </w:rPr>
                    <w:t>本项目为生活污水处理厂，生产工艺不涉及使用涂料、油墨、胶粘剂、清洗剂</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5、鼓励企业实施生产过程密闭化、连续化、自动化，建立密闭式负压废气收集系统，废气治理设施按要求设置单独电表或气表并与生产过程同步运行。推行“一企一策”，引导企业选择多种技术的组合工艺提高VOCs治理效率。</w:t>
                  </w:r>
                </w:p>
              </w:tc>
              <w:tc>
                <w:tcPr>
                  <w:tcW w:w="3117" w:type="dxa"/>
                  <w:vAlign w:val="center"/>
                </w:tcPr>
                <w:p>
                  <w:pPr>
                    <w:pStyle w:val="63"/>
                  </w:pPr>
                  <w:r>
                    <w:rPr>
                      <w:rFonts w:hint="eastAsia"/>
                    </w:rPr>
                    <w:t>本项目为生活污水处理厂，对产臭单元采取加盖或地埋封闭，负压收集臭气，管道输送至除臭装置处理后15m高排气筒排放。</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6、新建、改建、扩建涉烟粉尘排放的项目，应采取相应的废气污染防治措施，确保达标排放，减小粉尘的排放。对产尘量大设备实行密闭处理，采用高效布袋除尘器对含尘气体进行净化处理。</w:t>
                  </w:r>
                </w:p>
              </w:tc>
              <w:tc>
                <w:tcPr>
                  <w:tcW w:w="3117" w:type="dxa"/>
                  <w:vAlign w:val="center"/>
                </w:tcPr>
                <w:p>
                  <w:pPr>
                    <w:pStyle w:val="63"/>
                  </w:pPr>
                  <w:r>
                    <w:rPr>
                      <w:rFonts w:hint="eastAsia"/>
                    </w:rPr>
                    <w:t>本项目为生活污水处理厂，营运期废气不涉及烟粉尘，排放废气为硫化氢、氨，收集处理后有组织排放。</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7、规划区企业废水有行业排放标准的，执行行业标准；特征污染物和第一类污染物必须由各企业自行处理达一级标准或行业预处理排放标准后才能排入规划区污水管网，经高铁生态城新兴产业集聚区污水处理厂处理达《城镇污水处理厂污染物排放标准》（GB18918-2002）一级A标后排入朱衣河。</w:t>
                  </w:r>
                </w:p>
              </w:tc>
              <w:tc>
                <w:tcPr>
                  <w:tcW w:w="3117" w:type="dxa"/>
                  <w:vAlign w:val="center"/>
                </w:tcPr>
                <w:p>
                  <w:pPr>
                    <w:pStyle w:val="63"/>
                  </w:pPr>
                  <w:r>
                    <w:rPr>
                      <w:rFonts w:hint="eastAsia"/>
                    </w:rPr>
                    <w:t>本项目为生活污水处理厂，排放标准为《城镇污水处理厂污染物排放标准》（GB18918-2002）一级A标，处理达标尾水排入朱衣河</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vAlign w:val="center"/>
                </w:tcPr>
                <w:p>
                  <w:pPr>
                    <w:pStyle w:val="63"/>
                  </w:pPr>
                  <w:r>
                    <w:rPr>
                      <w:rFonts w:hint="eastAsia"/>
                    </w:rPr>
                    <w:t>环境风险防控</w:t>
                  </w:r>
                </w:p>
              </w:tc>
              <w:tc>
                <w:tcPr>
                  <w:tcW w:w="2694" w:type="dxa"/>
                  <w:vAlign w:val="center"/>
                </w:tcPr>
                <w:p>
                  <w:pPr>
                    <w:pStyle w:val="63"/>
                  </w:pPr>
                  <w:r>
                    <w:rPr>
                      <w:rFonts w:hint="eastAsia"/>
                    </w:rPr>
                    <w:t>1、加强对生产原料在运输、储存、生产过程中的管理，防止其泄漏，威胁周边生态环境。</w:t>
                  </w:r>
                </w:p>
                <w:p>
                  <w:pPr>
                    <w:jc w:val="center"/>
                  </w:pPr>
                </w:p>
              </w:tc>
              <w:tc>
                <w:tcPr>
                  <w:tcW w:w="3117" w:type="dxa"/>
                  <w:vAlign w:val="center"/>
                </w:tcPr>
                <w:p>
                  <w:pPr>
                    <w:pStyle w:val="63"/>
                  </w:pPr>
                  <w:r>
                    <w:rPr>
                      <w:rFonts w:hint="eastAsia"/>
                    </w:rPr>
                    <w:t>本项目为生活污水处理厂，采取分区防渗、液体物料设置围堰并单独贮存、设置事故废水收集池等措施防治泄漏，保护周围生态环境。</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2、建立环境风险防控体系，严控环境风险事故发生，严防事故废水进入水体。</w:t>
                  </w:r>
                </w:p>
              </w:tc>
              <w:tc>
                <w:tcPr>
                  <w:tcW w:w="3117" w:type="dxa"/>
                  <w:vAlign w:val="center"/>
                </w:tcPr>
                <w:p>
                  <w:pPr>
                    <w:pStyle w:val="63"/>
                  </w:pPr>
                  <w:r>
                    <w:rPr>
                      <w:rFonts w:hint="eastAsia"/>
                    </w:rPr>
                    <w:t>本项目为生活污水处理厂，设置3000m</w:t>
                  </w:r>
                  <w:r>
                    <w:rPr>
                      <w:rFonts w:hint="eastAsia"/>
                      <w:vertAlign w:val="superscript"/>
                    </w:rPr>
                    <w:t>3</w:t>
                  </w:r>
                  <w:r>
                    <w:rPr>
                      <w:rFonts w:hint="eastAsia"/>
                    </w:rPr>
                    <w:t>事故池1座，根据分析事故池容积满足收集废水量要求，环境风险可控</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3、涉及入渗途径影响的，应根据相关标准规范要求，对设备设施采取相应的防渗措施。</w:t>
                  </w:r>
                </w:p>
              </w:tc>
              <w:tc>
                <w:tcPr>
                  <w:tcW w:w="3117" w:type="dxa"/>
                  <w:vAlign w:val="center"/>
                </w:tcPr>
                <w:p>
                  <w:pPr>
                    <w:pStyle w:val="63"/>
                  </w:pPr>
                  <w:r>
                    <w:rPr>
                      <w:rFonts w:hint="eastAsia"/>
                    </w:rPr>
                    <w:t>本项目为生活污水处理厂，采取分区防渗措施，各分区根据防渗等级要求采取相应的防渗措施</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restart"/>
                  <w:vAlign w:val="center"/>
                </w:tcPr>
                <w:p>
                  <w:pPr>
                    <w:pStyle w:val="63"/>
                  </w:pPr>
                  <w:r>
                    <w:rPr>
                      <w:rFonts w:hint="eastAsia"/>
                    </w:rPr>
                    <w:t>资源开发利用要求</w:t>
                  </w:r>
                </w:p>
              </w:tc>
              <w:tc>
                <w:tcPr>
                  <w:tcW w:w="2694" w:type="dxa"/>
                  <w:vAlign w:val="center"/>
                </w:tcPr>
                <w:p>
                  <w:pPr>
                    <w:pStyle w:val="63"/>
                  </w:pPr>
                  <w:r>
                    <w:rPr>
                      <w:rFonts w:hint="eastAsia"/>
                    </w:rPr>
                    <w:t>1、推进企业内部工业用水循环利用、园区内企业间用水系统集成优化，鼓励污水处理厂中水回用。</w:t>
                  </w:r>
                </w:p>
              </w:tc>
              <w:tc>
                <w:tcPr>
                  <w:tcW w:w="3117" w:type="dxa"/>
                  <w:vAlign w:val="center"/>
                </w:tcPr>
                <w:p>
                  <w:pPr>
                    <w:pStyle w:val="63"/>
                  </w:pPr>
                  <w:r>
                    <w:rPr>
                      <w:rFonts w:hint="eastAsia"/>
                    </w:rPr>
                    <w:t>本项目为生活污水处理厂，营运期根据政府相关文件进行中水回用</w:t>
                  </w:r>
                </w:p>
              </w:tc>
              <w:tc>
                <w:tcPr>
                  <w:tcW w:w="927"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8" w:type="dxa"/>
                  <w:vMerge w:val="continue"/>
                  <w:vAlign w:val="center"/>
                </w:tcPr>
                <w:p>
                  <w:pPr>
                    <w:pStyle w:val="63"/>
                  </w:pPr>
                </w:p>
              </w:tc>
              <w:tc>
                <w:tcPr>
                  <w:tcW w:w="2694" w:type="dxa"/>
                  <w:vAlign w:val="center"/>
                </w:tcPr>
                <w:p>
                  <w:pPr>
                    <w:pStyle w:val="63"/>
                  </w:pPr>
                  <w:r>
                    <w:rPr>
                      <w:rFonts w:hint="eastAsia"/>
                    </w:rPr>
                    <w:t>2、推广新能源交通。</w:t>
                  </w:r>
                </w:p>
              </w:tc>
              <w:tc>
                <w:tcPr>
                  <w:tcW w:w="3117" w:type="dxa"/>
                  <w:vAlign w:val="center"/>
                </w:tcPr>
                <w:p>
                  <w:pPr>
                    <w:pStyle w:val="63"/>
                  </w:pPr>
                  <w:r>
                    <w:rPr>
                      <w:rFonts w:hint="eastAsia"/>
                    </w:rPr>
                    <w:t>本项目为生活污水处理厂，营运期根据政府相关文件执行</w:t>
                  </w:r>
                </w:p>
              </w:tc>
              <w:tc>
                <w:tcPr>
                  <w:tcW w:w="927" w:type="dxa"/>
                  <w:vAlign w:val="center"/>
                </w:tcPr>
                <w:p>
                  <w:pPr>
                    <w:pStyle w:val="63"/>
                  </w:pPr>
                  <w:r>
                    <w:rPr>
                      <w:rFonts w:hint="eastAsia"/>
                    </w:rPr>
                    <w:t>符合</w:t>
                  </w:r>
                </w:p>
              </w:tc>
            </w:tr>
          </w:tbl>
          <w:p>
            <w:pPr>
              <w:pStyle w:val="63"/>
            </w:pPr>
          </w:p>
          <w:p>
            <w:pPr>
              <w:pStyle w:val="5"/>
              <w:ind w:firstLine="480"/>
            </w:pPr>
            <w:r>
              <w:rPr>
                <w:rFonts w:hint="eastAsia"/>
              </w:rPr>
              <w:t>项目与规划环评审查意见（奉节环函〔2024〕64号）符合性分析见</w:t>
            </w:r>
            <w:r>
              <w:fldChar w:fldCharType="begin"/>
            </w:r>
            <w:r>
              <w:instrText xml:space="preserve"> </w:instrText>
            </w:r>
            <w:r>
              <w:rPr>
                <w:rFonts w:hint="eastAsia"/>
              </w:rPr>
              <w:instrText xml:space="preserve">REF _Ref180490637 \h</w:instrText>
            </w:r>
            <w:r>
              <w:instrText xml:space="preserve">  \* MERGEFORMAT </w:instrText>
            </w:r>
            <w:r>
              <w:fldChar w:fldCharType="separate"/>
            </w:r>
            <w:r>
              <w:rPr>
                <w:rFonts w:hint="eastAsia"/>
              </w:rPr>
              <w:t xml:space="preserve">表 </w:t>
            </w:r>
            <w:r>
              <w:t>1.1</w:t>
            </w:r>
            <w:r>
              <w:noBreakHyphen/>
            </w:r>
            <w:r>
              <w:t>2</w:t>
            </w:r>
            <w:r>
              <w:fldChar w:fldCharType="end"/>
            </w:r>
            <w:r>
              <w:rPr>
                <w:rFonts w:hint="eastAsia"/>
              </w:rPr>
              <w:t>，根据下表本项目符合规划环评审查意见要求。</w:t>
            </w:r>
          </w:p>
          <w:p>
            <w:pPr>
              <w:pStyle w:val="14"/>
              <w:keepNext/>
            </w:pPr>
            <w:bookmarkStart w:id="4" w:name="_Ref180490637"/>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4"/>
            <w:r>
              <w:rPr>
                <w:rFonts w:hint="eastAsia"/>
              </w:rPr>
              <w:t xml:space="preserve">   项目与规划环评审查意见符合性分析</w:t>
            </w:r>
          </w:p>
          <w:tbl>
            <w:tblPr>
              <w:tblStyle w:val="39"/>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3074"/>
              <w:gridCol w:w="2596"/>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序号</w:t>
                  </w:r>
                </w:p>
              </w:tc>
              <w:tc>
                <w:tcPr>
                  <w:tcW w:w="3074" w:type="dxa"/>
                  <w:vAlign w:val="center"/>
                </w:tcPr>
                <w:p>
                  <w:pPr>
                    <w:pStyle w:val="63"/>
                  </w:pPr>
                  <w:r>
                    <w:rPr>
                      <w:rFonts w:hint="eastAsia"/>
                    </w:rPr>
                    <w:t>奉节环函〔2024〕64号</w:t>
                  </w:r>
                </w:p>
              </w:tc>
              <w:tc>
                <w:tcPr>
                  <w:tcW w:w="2596" w:type="dxa"/>
                  <w:vAlign w:val="center"/>
                </w:tcPr>
                <w:p>
                  <w:pPr>
                    <w:pStyle w:val="63"/>
                  </w:pPr>
                  <w:r>
                    <w:rPr>
                      <w:rFonts w:hint="eastAsia"/>
                    </w:rPr>
                    <w:t>本项目</w:t>
                  </w:r>
                </w:p>
              </w:tc>
              <w:tc>
                <w:tcPr>
                  <w:tcW w:w="1202" w:type="dxa"/>
                  <w:vAlign w:val="center"/>
                </w:tcPr>
                <w:p>
                  <w:pPr>
                    <w:pStyle w:val="63"/>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1</w:t>
                  </w:r>
                </w:p>
              </w:tc>
              <w:tc>
                <w:tcPr>
                  <w:tcW w:w="3074" w:type="dxa"/>
                  <w:vAlign w:val="center"/>
                </w:tcPr>
                <w:p>
                  <w:pPr>
                    <w:pStyle w:val="63"/>
                  </w:pPr>
                  <w:r>
                    <w:rPr>
                      <w:rFonts w:hint="eastAsia"/>
                    </w:rPr>
                    <w:t>严格生态环境准入。强化规划环评与生态环境分区管控的联动，主要管控措施应符合重庆市及奉节县生态环境分区管控要求。严格建设项目环境准入，入驻工业企业需符合国家及重庆市相关产业、环境准入要求以及《报告书》提出的生态环境管控要求。</w:t>
                  </w:r>
                </w:p>
              </w:tc>
              <w:tc>
                <w:tcPr>
                  <w:tcW w:w="2596" w:type="dxa"/>
                  <w:vAlign w:val="center"/>
                </w:tcPr>
                <w:p>
                  <w:pPr>
                    <w:pStyle w:val="63"/>
                  </w:pPr>
                  <w:r>
                    <w:rPr>
                      <w:rFonts w:hint="eastAsia"/>
                    </w:rPr>
                    <w:t>本项目为生活污水处理厂，根据分析满足重庆市及奉节县生态环境分区管控要求，符合重庆市相关产业、环境准入要求以及《报告书》提出的生态环境管控要求</w:t>
                  </w:r>
                </w:p>
              </w:tc>
              <w:tc>
                <w:tcPr>
                  <w:tcW w:w="1202"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2</w:t>
                  </w:r>
                </w:p>
              </w:tc>
              <w:tc>
                <w:tcPr>
                  <w:tcW w:w="3074" w:type="dxa"/>
                  <w:vAlign w:val="center"/>
                </w:tcPr>
                <w:p>
                  <w:pPr>
                    <w:pStyle w:val="63"/>
                  </w:pPr>
                  <w:r>
                    <w:rPr>
                      <w:rFonts w:hint="eastAsia"/>
                    </w:rPr>
                    <w:t>强化空间布局约束。合理布局有防护距离要求的工业企业，其环境防护距离包络线原则上应控制在规划边界或用地红线内。规划区超出城市开发边界外的用地，应严格按照《自然资源部关于做好城镇开发边界管理的通知》（自然资发(2023)193号）进行用地管控。朱衣河河道管理范围外侧，应严格按照《重庆市水污染防治条例》要求，控制不少于三十米的绿化缓冲带。规划区工业用地与居住用地之间间距、长输气管线两侧保护走廊均应满足相关要求。</w:t>
                  </w:r>
                </w:p>
              </w:tc>
              <w:tc>
                <w:tcPr>
                  <w:tcW w:w="2596" w:type="dxa"/>
                  <w:vAlign w:val="center"/>
                </w:tcPr>
                <w:p>
                  <w:pPr>
                    <w:pStyle w:val="63"/>
                  </w:pPr>
                  <w:r>
                    <w:rPr>
                      <w:rFonts w:hint="eastAsia"/>
                    </w:rPr>
                    <w:t>本项目为生活污水处理厂，选址位于规划区排水用地，已办理用地手续，根据计算本项目不设置大气环境防护距离。为减少废气影响，类比已建同类型污水处理厂情况，设置100m防护距离，根据现状调查防护距离内无居民点分布。项目占地范围位于城镇开发边界内，不占用朱衣河河道管理范围。</w:t>
                  </w:r>
                </w:p>
              </w:tc>
              <w:tc>
                <w:tcPr>
                  <w:tcW w:w="1202"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3</w:t>
                  </w:r>
                </w:p>
              </w:tc>
              <w:tc>
                <w:tcPr>
                  <w:tcW w:w="3074" w:type="dxa"/>
                  <w:vAlign w:val="center"/>
                </w:tcPr>
                <w:p>
                  <w:pPr>
                    <w:pStyle w:val="63"/>
                  </w:pPr>
                  <w:r>
                    <w:rPr>
                      <w:rFonts w:hint="eastAsia"/>
                    </w:rPr>
                    <w:t>水污染物排放管控。加快规划区内“雨污分流”，污水得到有效收集。规划区内后续（除现有ll0kV朱衣变电站、郑万高铁配套的高铁检修站、220kV高铁专用变电站生活污水外）企业尽量提高工业用水重复利用率，减少废水排放量，外排废水应经企业自行处理达行业间接标准或《污水综合排放标准》(GB8978-1996)三级标准后，排入拟规划建设的高铁生态城新兴产业集聚区污水处理厂，经处理达《城镇污水处理厂污染物排放标准》(GB18918-2002)一级A标后排入朱衣河。规划区内现状巳建变电站及高铁检修站的生活污水接入夔府大道现状市政污水管，最终进入西部新区污水处理厂处理达《城镇污水处理厂污染物排放标准》(GB18918-2002)一级A标准后排入朱衣河。规划区污水收集管网、提升泵站、污水处理厂及其事故池应先于服务范围内项目建成，拟规划建设的高铁生态城新兴产业集聚区污水处理厂设计规模1万m</w:t>
                  </w:r>
                  <w:r>
                    <w:rPr>
                      <w:rFonts w:hint="eastAsia"/>
                      <w:vertAlign w:val="superscript"/>
                    </w:rPr>
                    <w:t>3</w:t>
                  </w:r>
                  <w:r>
                    <w:rPr>
                      <w:rFonts w:hint="eastAsia"/>
                    </w:rPr>
                    <w:t>/d。</w:t>
                  </w:r>
                </w:p>
              </w:tc>
              <w:tc>
                <w:tcPr>
                  <w:tcW w:w="2596" w:type="dxa"/>
                  <w:vAlign w:val="center"/>
                </w:tcPr>
                <w:p>
                  <w:pPr>
                    <w:pStyle w:val="63"/>
                  </w:pPr>
                  <w:r>
                    <w:rPr>
                      <w:rFonts w:hint="eastAsia"/>
                    </w:rPr>
                    <w:t>本项目为生活污水处理厂，接纳集聚区内生活和生产废水处理，本项目处理规模10000m3/d，处理规模和工艺满足接纳废水量和水质要求，出水水质执行《城镇污水处理厂污染物排放标准》(GB18918-2002)一级A标准后排入朱衣河</w:t>
                  </w:r>
                </w:p>
              </w:tc>
              <w:tc>
                <w:tcPr>
                  <w:tcW w:w="1202"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3</w:t>
                  </w:r>
                </w:p>
              </w:tc>
              <w:tc>
                <w:tcPr>
                  <w:tcW w:w="3074" w:type="dxa"/>
                  <w:vAlign w:val="center"/>
                </w:tcPr>
                <w:p>
                  <w:pPr>
                    <w:pStyle w:val="63"/>
                  </w:pPr>
                  <w:r>
                    <w:rPr>
                      <w:rFonts w:hint="eastAsia"/>
                    </w:rPr>
                    <w:t>大气污染物排放管控。规划区主要采用天然气、电等清洁能源，禁止燃煤和重油等高污染燃料，燃气锅炉应采用低氮燃烧工艺。加强工业企业大气污染综合治理，入驻企业生产废气应采用高效的收集措施和先进的污染防治设施，确保工艺废气稳定达标排放。入驻企业应尽量将异味明显的设备远离居住区一侧布置。涉及挥发性有机物排放的项目应从源头加强控制，优先使用低（无）VOCs含量的原辅料，并严格按照国家及重庆市关于挥发性有机物治理的相关要求落实污染防治措施。严格控制工业企业粉尘无组织排放，加强工业企业臭气、异味的污染防治，确保厂界达标，避免对周边环境敏感点造成影响。</w:t>
                  </w:r>
                </w:p>
              </w:tc>
              <w:tc>
                <w:tcPr>
                  <w:tcW w:w="2596" w:type="dxa"/>
                  <w:vAlign w:val="center"/>
                </w:tcPr>
                <w:p>
                  <w:pPr>
                    <w:pStyle w:val="63"/>
                  </w:pPr>
                  <w:r>
                    <w:rPr>
                      <w:rFonts w:hint="eastAsia"/>
                    </w:rPr>
                    <w:t>本项目为生活污水处理厂，选址位于高铁集聚区内，能源主要为电，不涉及燃煤和重油等高污染燃料，不涉及燃气锅炉。营运期废气主要为氨、硫化氢，采用污水处理构筑物地埋、加盖负压收集，污泥脱水设施室内设置并设置集气罩负压收集，收集废气通过生物除臭设施处理后有组织排放，同时产臭单元设置100m防护距离，根据调查防护距离内无现状敏感点分布。</w:t>
                  </w:r>
                </w:p>
              </w:tc>
              <w:tc>
                <w:tcPr>
                  <w:tcW w:w="1202"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4</w:t>
                  </w:r>
                </w:p>
              </w:tc>
              <w:tc>
                <w:tcPr>
                  <w:tcW w:w="3074" w:type="dxa"/>
                  <w:vAlign w:val="center"/>
                </w:tcPr>
                <w:p>
                  <w:pPr>
                    <w:pStyle w:val="63"/>
                  </w:pPr>
                  <w:r>
                    <w:rPr>
                      <w:rFonts w:hint="eastAsia"/>
                    </w:rPr>
                    <w:t>工业固废排放管控。固体废物应桉资源化、减量化、无害化方式进行妥善收集、处置，最大限度减轻工业固体废物造成的二次污染。生活垃圾经分类收集后由环卫部门统一清运处置；般工业固废尽可能综合利用，不能综合利用的，送工业垃圾处置场填埋处置，减少对环境的影响。危险废物依法依规交有资质单位处理，严格落实危险废物环境管理制度，做好危险废物管理计划和管理台账，对企业危险废物收集、贮存、运输、利用、处置各环节进行全过程环境监管，确保危险废物得到合法合规妥善处置。严格按照《危险废物贮存污染控制标准》(GB18597-2023)等有关规定，设置危险废物暂存场所。生态工业园区管委会应定期督促企业及时转移危险废物，严禁在企业厂内过量堆存，危险废物转移应严格执行《危险废物转移管理办法》（生态环境部公安部交通运输部部令第23号）等相关要求。</w:t>
                  </w:r>
                </w:p>
              </w:tc>
              <w:tc>
                <w:tcPr>
                  <w:tcW w:w="2596" w:type="dxa"/>
                  <w:vAlign w:val="center"/>
                </w:tcPr>
                <w:p>
                  <w:pPr>
                    <w:pStyle w:val="63"/>
                  </w:pPr>
                  <w:r>
                    <w:rPr>
                      <w:rFonts w:hint="eastAsia"/>
                    </w:rPr>
                    <w:t>污泥脱水后至位于重庆市奉节县草堂镇的重庆市奉节县康卓环保工程有限公司进行无害化处置，危险废物厂区内危废间暂存交有处置资质单位转运处置，生活垃圾厂内垃圾桶暂存环卫转运处置，一般工业固体废物厂区内一般固废暂存间暂存自行利用或外委单位处置。</w:t>
                  </w:r>
                </w:p>
              </w:tc>
              <w:tc>
                <w:tcPr>
                  <w:tcW w:w="1202"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5</w:t>
                  </w:r>
                </w:p>
              </w:tc>
              <w:tc>
                <w:tcPr>
                  <w:tcW w:w="3074" w:type="dxa"/>
                  <w:vAlign w:val="center"/>
                </w:tcPr>
                <w:p>
                  <w:pPr>
                    <w:pStyle w:val="63"/>
                  </w:pPr>
                  <w:r>
                    <w:rPr>
                      <w:rFonts w:hint="eastAsia"/>
                    </w:rPr>
                    <w:t>噪声污染管控。合理布局企业噪声源，高噪声源企业选址和布局应满足相应的环境防护距离要求，尽量远离居住、学校等敏感区域；选择低 噪声设备，采取消声、隔声、减震等措施，确保厂界噪声达标；合理布局、科学设定建筑物与交通于线的噪声防护距离，严格落实规划区内高速公路、高铁沿线、交通主于道两侧的防护绿化带要求。</w:t>
                  </w:r>
                </w:p>
              </w:tc>
              <w:tc>
                <w:tcPr>
                  <w:tcW w:w="2596" w:type="dxa"/>
                  <w:vAlign w:val="center"/>
                </w:tcPr>
                <w:p>
                  <w:pPr>
                    <w:pStyle w:val="63"/>
                  </w:pPr>
                  <w:r>
                    <w:rPr>
                      <w:rFonts w:hint="eastAsia"/>
                    </w:rPr>
                    <w:t>项目选用低噪声设施设备，项目选址远离居住、学校等敏感区域，噪声源采用减震、隔声措施，根据预测厂界噪声达标。</w:t>
                  </w:r>
                </w:p>
              </w:tc>
              <w:tc>
                <w:tcPr>
                  <w:tcW w:w="1202"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6</w:t>
                  </w:r>
                </w:p>
              </w:tc>
              <w:tc>
                <w:tcPr>
                  <w:tcW w:w="3074" w:type="dxa"/>
                  <w:vAlign w:val="center"/>
                </w:tcPr>
                <w:p>
                  <w:pPr>
                    <w:pStyle w:val="63"/>
                  </w:pPr>
                  <w:r>
                    <w:rPr>
                      <w:rFonts w:hint="eastAsia"/>
                    </w:rPr>
                    <w:t>土壤、地下水污染管控。按源头防控的原则，可能产生地下水、土壤污染的企业，应严格落实分区、分级防渗措施，防范规划的实施对土壤及地下水环境造成污染。定期开展土壤、地下水跟踪监测，根据监测结果完善污染防控措施，确保规划区土壤、地下水环境质量稳定达标。</w:t>
                  </w:r>
                </w:p>
              </w:tc>
              <w:tc>
                <w:tcPr>
                  <w:tcW w:w="2596" w:type="dxa"/>
                  <w:vAlign w:val="center"/>
                </w:tcPr>
                <w:p>
                  <w:pPr>
                    <w:pStyle w:val="63"/>
                  </w:pPr>
                  <w:r>
                    <w:rPr>
                      <w:rFonts w:hint="eastAsia"/>
                    </w:rPr>
                    <w:t>项目根据本评价提出的分区防渗要求落实，设置地下水跟踪监测井1口，定期监测</w:t>
                  </w:r>
                </w:p>
              </w:tc>
              <w:tc>
                <w:tcPr>
                  <w:tcW w:w="1202"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7</w:t>
                  </w:r>
                </w:p>
              </w:tc>
              <w:tc>
                <w:tcPr>
                  <w:tcW w:w="3074" w:type="dxa"/>
                  <w:vAlign w:val="center"/>
                </w:tcPr>
                <w:p>
                  <w:pPr>
                    <w:pStyle w:val="63"/>
                  </w:pPr>
                  <w:r>
                    <w:rPr>
                      <w:rFonts w:hint="eastAsia"/>
                    </w:rPr>
                    <w:t>环境风险防控。规划区入驻企业应当严格执行环境风险防范的相关法律法规和政策要求，严格落实各类环境风险防范措施。规划区应建立健全环境风险防范体系，按要求编制突发环境事件风险评估和应急预案， 定期开展应急演练，提升环境风险防范和事故应急处置能力。规划区建立事故废水三级防控体系，企业内部建设围堰－收集池两级防范系统，入园企业建设完善的污水管网与拟规划建设的高铁生态城新兴产业集聚区污水处理厂相连接，并且在各个企业的事故池与污水管道之间设置切换阀门，区域拟规划新建的污水处理厂内应建设事故池， 并与污水管道之间设置切换阀门。加强对企业环境风险源的监督管理，相关企业应严格落实各项环境风险防范措施， 防范突发性环境风险事故发生。</w:t>
                  </w:r>
                </w:p>
              </w:tc>
              <w:tc>
                <w:tcPr>
                  <w:tcW w:w="2596" w:type="dxa"/>
                  <w:vAlign w:val="center"/>
                </w:tcPr>
                <w:p>
                  <w:pPr>
                    <w:pStyle w:val="63"/>
                  </w:pPr>
                  <w:r>
                    <w:rPr>
                      <w:rFonts w:hint="eastAsia"/>
                    </w:rPr>
                    <w:t>本项目按相关要求建立健全环境风险防范体系，按要求编制突发环境事件风险评估和应急预案， 定期开展应急演练，厂区内设置1座3000m</w:t>
                  </w:r>
                  <w:r>
                    <w:rPr>
                      <w:rFonts w:hint="eastAsia"/>
                      <w:vertAlign w:val="superscript"/>
                    </w:rPr>
                    <w:t>3</w:t>
                  </w:r>
                  <w:r>
                    <w:rPr>
                      <w:rFonts w:hint="eastAsia"/>
                    </w:rPr>
                    <w:t>事故池和应急处理设施，可应对项目可能发生的环境风险情景</w:t>
                  </w:r>
                </w:p>
              </w:tc>
              <w:tc>
                <w:tcPr>
                  <w:tcW w:w="1202"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4" w:type="dxa"/>
                  <w:vAlign w:val="center"/>
                </w:tcPr>
                <w:p>
                  <w:pPr>
                    <w:pStyle w:val="63"/>
                  </w:pPr>
                  <w:r>
                    <w:rPr>
                      <w:rFonts w:hint="eastAsia"/>
                    </w:rPr>
                    <w:t>8</w:t>
                  </w:r>
                </w:p>
              </w:tc>
              <w:tc>
                <w:tcPr>
                  <w:tcW w:w="3074" w:type="dxa"/>
                  <w:vAlign w:val="center"/>
                </w:tcPr>
                <w:p>
                  <w:pPr>
                    <w:pStyle w:val="63"/>
                  </w:pPr>
                  <w:r>
                    <w:rPr>
                      <w:rFonts w:hint="eastAsia"/>
                    </w:rPr>
                    <w:t>温室气体排放管控。规划区禁止燃煤，能源主要以天然气和电力为主，桉照碳达峰、碳中和相关政策要求， 统筹抓好温室气体排放控制管理和生态环境保护工作，推动减污降碳协同共治。督促规划区企业采用各种先进技术和生产工艺， 改进能源利用技术， 降低能量损失，提高能源综合利用效率，从源头减少和控制温室气体排放，促进规划区产业绿色低碳循环发展。</w:t>
                  </w:r>
                </w:p>
              </w:tc>
              <w:tc>
                <w:tcPr>
                  <w:tcW w:w="2596" w:type="dxa"/>
                  <w:vAlign w:val="center"/>
                </w:tcPr>
                <w:p>
                  <w:pPr>
                    <w:pStyle w:val="63"/>
                  </w:pPr>
                  <w:r>
                    <w:rPr>
                      <w:rFonts w:hint="eastAsia"/>
                    </w:rPr>
                    <w:t>本项目以电为主要能源，项目电耗、能耗满足先进值要求，项目根据进水水质和出水要求，选用合理的污水处理工艺，设置前处理工艺，减轻生化处理段处理负荷，同时加强工艺自动化控制程度，确保污水处理设施高效运行，减少甲烷产生</w:t>
                  </w:r>
                </w:p>
              </w:tc>
              <w:tc>
                <w:tcPr>
                  <w:tcW w:w="1202" w:type="dxa"/>
                  <w:vAlign w:val="center"/>
                </w:tcPr>
                <w:p>
                  <w:pPr>
                    <w:pStyle w:val="63"/>
                  </w:pPr>
                  <w:r>
                    <w:rPr>
                      <w:rFonts w:hint="eastAsia"/>
                    </w:rPr>
                    <w:t>符合</w:t>
                  </w:r>
                </w:p>
              </w:tc>
            </w:tr>
          </w:tbl>
          <w:p>
            <w:pPr>
              <w:pStyle w:val="5"/>
              <w:ind w:firstLine="480"/>
            </w:pPr>
          </w:p>
          <w:p>
            <w:pPr>
              <w:pStyle w:val="5"/>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002" w:type="dxa"/>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其他符合性分析</w:t>
            </w:r>
          </w:p>
        </w:tc>
        <w:tc>
          <w:tcPr>
            <w:tcW w:w="7822" w:type="dxa"/>
            <w:gridSpan w:val="3"/>
            <w:vAlign w:val="center"/>
          </w:tcPr>
          <w:p>
            <w:pPr>
              <w:pStyle w:val="3"/>
              <w:spacing w:before="120" w:after="120"/>
            </w:pPr>
            <w:r>
              <w:rPr>
                <w:rFonts w:hint="eastAsia"/>
              </w:rPr>
              <w:t>其他符合性分析</w:t>
            </w:r>
          </w:p>
          <w:p>
            <w:pPr>
              <w:pStyle w:val="4"/>
              <w:spacing w:before="120" w:after="120"/>
            </w:pPr>
            <w:r>
              <w:rPr>
                <w:rFonts w:hint="eastAsia"/>
              </w:rPr>
              <w:t>产业政策符合性分析</w:t>
            </w:r>
          </w:p>
          <w:p>
            <w:pPr>
              <w:pStyle w:val="5"/>
              <w:ind w:firstLine="480"/>
            </w:pPr>
            <w:r>
              <w:rPr>
                <w:rFonts w:hint="eastAsia"/>
              </w:rPr>
              <w:t>根据《产业结构调整指导目录（2024 年本）》，项目属于其中“鼓励类，二十二、城镇基础设施，2．市政基础设施：城镇供排水工程及相关设备生产。” 所以项目符合《产业结构调整指导目录（2024年本）》，项目已取得重庆奉节县发展和改革委员会备案，项目代码：2404-500236-04-01-876743。</w:t>
            </w:r>
          </w:p>
          <w:p>
            <w:pPr>
              <w:pStyle w:val="4"/>
              <w:spacing w:before="120" w:after="120"/>
            </w:pPr>
            <w:r>
              <w:rPr>
                <w:rFonts w:hint="eastAsia"/>
              </w:rPr>
              <w:t>环境准入分析</w:t>
            </w:r>
          </w:p>
          <w:p>
            <w:pPr>
              <w:pStyle w:val="6"/>
              <w:spacing w:before="120" w:after="120"/>
            </w:pPr>
            <w:r>
              <w:rPr>
                <w:rFonts w:hint="eastAsia"/>
              </w:rPr>
              <w:t>与《长江经济带发展负面清单指南（试行，2022年版）》（长江办〔2022〕7号）符合性分析</w:t>
            </w:r>
          </w:p>
          <w:p>
            <w:pPr>
              <w:pStyle w:val="5"/>
              <w:ind w:firstLine="480"/>
              <w:rPr>
                <w:b/>
              </w:rPr>
            </w:pPr>
            <w:r>
              <w:rPr>
                <w:rFonts w:hint="eastAsia"/>
              </w:rPr>
              <w:t>本项目</w:t>
            </w:r>
            <w:r>
              <w:t>与《长江经济带发展负面清单指南（试行，2022年版）》符合性见</w:t>
            </w:r>
            <w:r>
              <w:fldChar w:fldCharType="begin"/>
            </w:r>
            <w:r>
              <w:instrText xml:space="preserve"> REF _Ref133567758 \h  \* MERGEFORMAT </w:instrText>
            </w:r>
            <w:r>
              <w:fldChar w:fldCharType="separate"/>
            </w:r>
            <w:r>
              <w:rPr>
                <w:rFonts w:hint="eastAsia"/>
              </w:rPr>
              <w:t xml:space="preserve">表 </w:t>
            </w:r>
            <w:r>
              <w:t>1.2</w:t>
            </w:r>
            <w:r>
              <w:noBreakHyphen/>
            </w:r>
            <w:r>
              <w:t>1</w:t>
            </w:r>
            <w:r>
              <w:fldChar w:fldCharType="end"/>
            </w:r>
            <w:r>
              <w:t>。根据分析可知，项目满足《长江经济带发展负面清单指南（试行，2022年版）》要求。</w:t>
            </w:r>
          </w:p>
          <w:p>
            <w:pPr>
              <w:pStyle w:val="14"/>
              <w:keepNext/>
            </w:pPr>
            <w:bookmarkStart w:id="5" w:name="_Ref133567758"/>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5"/>
            <w:r>
              <w:t xml:space="preserve">   </w:t>
            </w:r>
            <w:r>
              <w:rPr>
                <w:rFonts w:hint="eastAsia"/>
              </w:rPr>
              <w:t>与《长江经济带发展负面清单指南（试行，2022年版）》</w:t>
            </w:r>
          </w:p>
          <w:p>
            <w:pPr>
              <w:pStyle w:val="14"/>
              <w:keepNext/>
            </w:pPr>
            <w:r>
              <w:rPr>
                <w:rFonts w:hint="eastAsia"/>
              </w:rPr>
              <w:t>符合性分析</w:t>
            </w:r>
          </w:p>
          <w:tbl>
            <w:tblPr>
              <w:tblStyle w:val="38"/>
              <w:tblW w:w="7596" w:type="dxa"/>
              <w:tblInd w:w="0" w:type="dxa"/>
              <w:tblLayout w:type="fixed"/>
              <w:tblCellMar>
                <w:top w:w="0" w:type="dxa"/>
                <w:left w:w="0" w:type="dxa"/>
                <w:bottom w:w="0" w:type="dxa"/>
                <w:right w:w="0" w:type="dxa"/>
              </w:tblCellMar>
            </w:tblPr>
            <w:tblGrid>
              <w:gridCol w:w="434"/>
              <w:gridCol w:w="3417"/>
              <w:gridCol w:w="3134"/>
              <w:gridCol w:w="611"/>
            </w:tblGrid>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序号</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负面清单</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rFonts w:hint="eastAsia"/>
                      <w:sz w:val="21"/>
                      <w:szCs w:val="21"/>
                    </w:rPr>
                    <w:t>符合性分析</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是否符合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1</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禁止建设不符合全国和省级港口布局规划以及港口总体规划的码头项目，禁止建设不符合《长江干线过江通道布局规划》的过长江通道项目。</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项目不属于码头项目和过长江通道项目</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2</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rFonts w:hint="eastAsia"/>
                      <w:sz w:val="21"/>
                      <w:szCs w:val="21"/>
                    </w:rPr>
                    <w:t>项目不涉及</w:t>
                  </w:r>
                  <w:r>
                    <w:rPr>
                      <w:sz w:val="21"/>
                      <w:szCs w:val="21"/>
                    </w:rPr>
                    <w:t>自然保护区核心区、缓冲区的岸线和河段范围内</w:t>
                  </w:r>
                  <w:r>
                    <w:rPr>
                      <w:rFonts w:hint="eastAsia"/>
                      <w:sz w:val="21"/>
                      <w:szCs w:val="21"/>
                    </w:rPr>
                    <w:t>，不涉及</w:t>
                  </w:r>
                  <w:r>
                    <w:rPr>
                      <w:sz w:val="21"/>
                      <w:szCs w:val="21"/>
                    </w:rPr>
                    <w:t>在风景名胜区核心景区的岸线和河段范围内</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3</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rFonts w:hint="eastAsia"/>
                      <w:sz w:val="21"/>
                      <w:szCs w:val="21"/>
                    </w:rPr>
                    <w:t>项目评价范围内不涉及</w:t>
                  </w:r>
                  <w:r>
                    <w:rPr>
                      <w:sz w:val="21"/>
                      <w:szCs w:val="21"/>
                    </w:rPr>
                    <w:t>饮用水水源保护区</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4</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rFonts w:hint="eastAsia"/>
                      <w:sz w:val="21"/>
                      <w:szCs w:val="21"/>
                    </w:rPr>
                    <w:t>项目不涉及</w:t>
                  </w:r>
                  <w:r>
                    <w:rPr>
                      <w:sz w:val="21"/>
                      <w:szCs w:val="21"/>
                    </w:rPr>
                    <w:t>水产种质资源保护区</w:t>
                  </w:r>
                  <w:r>
                    <w:rPr>
                      <w:rFonts w:hint="eastAsia"/>
                      <w:sz w:val="21"/>
                      <w:szCs w:val="21"/>
                    </w:rPr>
                    <w:t>、</w:t>
                  </w:r>
                  <w:r>
                    <w:rPr>
                      <w:sz w:val="21"/>
                      <w:szCs w:val="21"/>
                    </w:rPr>
                    <w:t>国家湿地公园</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5</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rFonts w:hint="eastAsia"/>
                      <w:sz w:val="21"/>
                      <w:szCs w:val="21"/>
                    </w:rPr>
                    <w:t>项目为污水处理厂，属于生态环境保护项目，属于有利于自然保护的项目</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6</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禁止未经许可在长江干支流及湖泊新设、改设或扩大排污口。</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rFonts w:hint="eastAsia"/>
                      <w:sz w:val="21"/>
                      <w:szCs w:val="21"/>
                    </w:rPr>
                    <w:t>项目为污水处理厂，排水受纳水体为朱衣河，为长江支流，项目为新设排污口，项目按要求办理排污口设置手续</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7</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禁止在“一江一口两湖七河”和332个水生生物保护区开展生产性捕捞。</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项目不涉及</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8</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项目不属于化工项目，不属于尾矿库、冶炼渣库和磷石膏库，符合</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9</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禁止在合规园区外新建、扩建钢铁、石化、化工、焦化、建材、有色、制浆造纸等高污染项目。</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项目</w:t>
                  </w:r>
                  <w:r>
                    <w:rPr>
                      <w:rFonts w:hint="eastAsia"/>
                      <w:sz w:val="21"/>
                      <w:szCs w:val="21"/>
                    </w:rPr>
                    <w:t>为污水处理厂，属于市政工程，</w:t>
                  </w:r>
                  <w:r>
                    <w:rPr>
                      <w:sz w:val="21"/>
                      <w:szCs w:val="21"/>
                    </w:rPr>
                    <w:t>不属于钢铁、石化、化工、焦化、建材、有色、制浆造纸等高污染项目，</w:t>
                  </w:r>
                  <w:r>
                    <w:rPr>
                      <w:rFonts w:hint="eastAsia"/>
                      <w:sz w:val="21"/>
                      <w:szCs w:val="21"/>
                    </w:rPr>
                    <w:t>项目位于集聚区范围内</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10</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禁止新建、扩建不符合国家石化、现代煤化工等产业布局规划的项目。</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项目不属于石化、现代煤化工产业</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r>
              <w:tblPrEx>
                <w:tblLayout w:type="fixed"/>
                <w:tblCellMar>
                  <w:top w:w="0" w:type="dxa"/>
                  <w:left w:w="0" w:type="dxa"/>
                  <w:bottom w:w="0" w:type="dxa"/>
                  <w:right w:w="0" w:type="dxa"/>
                </w:tblCellMar>
              </w:tblPrEx>
              <w:tc>
                <w:tcPr>
                  <w:tcW w:w="4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11</w:t>
                  </w:r>
                </w:p>
              </w:tc>
              <w:tc>
                <w:tcPr>
                  <w:tcW w:w="34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3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pStyle w:val="126"/>
                    <w:rPr>
                      <w:sz w:val="21"/>
                      <w:szCs w:val="21"/>
                    </w:rPr>
                  </w:pPr>
                  <w:r>
                    <w:rPr>
                      <w:sz w:val="21"/>
                      <w:szCs w:val="21"/>
                    </w:rPr>
                    <w:t>项目不属于禁止的落后产能项目</w:t>
                  </w:r>
                  <w:r>
                    <w:rPr>
                      <w:rFonts w:hint="eastAsia"/>
                      <w:sz w:val="21"/>
                      <w:szCs w:val="21"/>
                    </w:rPr>
                    <w:t>、</w:t>
                  </w:r>
                  <w:r>
                    <w:rPr>
                      <w:sz w:val="21"/>
                      <w:szCs w:val="21"/>
                    </w:rPr>
                    <w:t>严重过剩产能行业的项目</w:t>
                  </w:r>
                  <w:r>
                    <w:rPr>
                      <w:rFonts w:hint="eastAsia"/>
                      <w:sz w:val="21"/>
                      <w:szCs w:val="21"/>
                    </w:rPr>
                    <w:t>、</w:t>
                  </w:r>
                  <w:r>
                    <w:rPr>
                      <w:sz w:val="21"/>
                      <w:szCs w:val="21"/>
                    </w:rPr>
                    <w:t>高耗能</w:t>
                  </w:r>
                  <w:r>
                    <w:rPr>
                      <w:rFonts w:hint="eastAsia"/>
                      <w:sz w:val="21"/>
                      <w:szCs w:val="21"/>
                    </w:rPr>
                    <w:t>高排放</w:t>
                  </w:r>
                  <w:r>
                    <w:rPr>
                      <w:sz w:val="21"/>
                      <w:szCs w:val="21"/>
                    </w:rPr>
                    <w:t>项目</w:t>
                  </w:r>
                </w:p>
              </w:tc>
              <w:tc>
                <w:tcPr>
                  <w:tcW w:w="611" w:type="dxa"/>
                  <w:tcBorders>
                    <w:top w:val="single" w:color="000000" w:sz="4" w:space="0"/>
                    <w:left w:val="single" w:color="000000" w:sz="4" w:space="0"/>
                    <w:bottom w:val="single" w:color="000000" w:sz="4" w:space="0"/>
                    <w:right w:val="single" w:color="000000" w:sz="4" w:space="0"/>
                  </w:tcBorders>
                  <w:vAlign w:val="center"/>
                </w:tcPr>
                <w:p>
                  <w:pPr>
                    <w:pStyle w:val="126"/>
                    <w:rPr>
                      <w:sz w:val="21"/>
                      <w:szCs w:val="21"/>
                    </w:rPr>
                  </w:pPr>
                  <w:r>
                    <w:rPr>
                      <w:rFonts w:hint="eastAsia"/>
                      <w:sz w:val="21"/>
                      <w:szCs w:val="21"/>
                    </w:rPr>
                    <w:t>符合</w:t>
                  </w:r>
                </w:p>
              </w:tc>
            </w:tr>
          </w:tbl>
          <w:p/>
          <w:p>
            <w:pPr>
              <w:pStyle w:val="6"/>
              <w:spacing w:before="120" w:after="120"/>
            </w:pPr>
            <w:r>
              <w:rPr>
                <w:rFonts w:hint="eastAsia"/>
              </w:rPr>
              <w:t>与《四川省、重庆市长江经济带发展负面清单实施细则（试行，2022年版）》（川长江办〔2022〕17号）符合性分析</w:t>
            </w:r>
          </w:p>
          <w:p>
            <w:pPr>
              <w:pStyle w:val="5"/>
              <w:ind w:firstLine="480"/>
            </w:pPr>
            <w:r>
              <w:t>本项目与《四川省、重庆市长江经济带发展负面清单实施细则(试行，2022年版)》符合性见</w:t>
            </w:r>
            <w:r>
              <w:fldChar w:fldCharType="begin"/>
            </w:r>
            <w:r>
              <w:instrText xml:space="preserve"> REF _Ref133569950 \h </w:instrText>
            </w:r>
            <w:r>
              <w:fldChar w:fldCharType="separate"/>
            </w:r>
            <w:r>
              <w:rPr>
                <w:rFonts w:hint="eastAsia"/>
              </w:rPr>
              <w:t xml:space="preserve">表 </w:t>
            </w:r>
            <w:r>
              <w:t>1.2</w:t>
            </w:r>
            <w:r>
              <w:noBreakHyphen/>
            </w:r>
            <w:r>
              <w:t>2</w:t>
            </w:r>
            <w:r>
              <w:fldChar w:fldCharType="end"/>
            </w:r>
            <w:r>
              <w:t>。根据分析，</w:t>
            </w:r>
            <w:r>
              <w:rPr>
                <w:rFonts w:hint="eastAsia"/>
              </w:rPr>
              <w:t>项目</w:t>
            </w:r>
            <w:r>
              <w:t>符合《四川省、重庆市长江经济带发展负面清单实施细则(试行，2022年版)》要求。</w:t>
            </w:r>
          </w:p>
          <w:p>
            <w:pPr>
              <w:pStyle w:val="14"/>
              <w:keepNext/>
            </w:pPr>
            <w:bookmarkStart w:id="6" w:name="_Ref133569950"/>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6"/>
            <w:r>
              <w:t xml:space="preserve">   </w:t>
            </w:r>
            <w:r>
              <w:rPr>
                <w:rFonts w:hint="eastAsia"/>
              </w:rPr>
              <w:t>与《四川省、重庆市长江经济带发展负面清单实施细则(试行，2022年版)》符合性分析</w:t>
            </w:r>
          </w:p>
          <w:tbl>
            <w:tblPr>
              <w:tblStyle w:val="38"/>
              <w:tblW w:w="75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7"/>
              <w:gridCol w:w="4119"/>
              <w:gridCol w:w="2409"/>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序号</w:t>
                  </w:r>
                </w:p>
              </w:tc>
              <w:tc>
                <w:tcPr>
                  <w:tcW w:w="4119" w:type="dxa"/>
                  <w:vAlign w:val="center"/>
                </w:tcPr>
                <w:p>
                  <w:pPr>
                    <w:jc w:val="center"/>
                    <w:rPr>
                      <w:rFonts w:cs="Times New Roman"/>
                      <w:szCs w:val="21"/>
                    </w:rPr>
                  </w:pPr>
                  <w:r>
                    <w:rPr>
                      <w:rFonts w:cs="Times New Roman"/>
                      <w:szCs w:val="21"/>
                    </w:rPr>
                    <w:t>管控内容</w:t>
                  </w:r>
                </w:p>
              </w:tc>
              <w:tc>
                <w:tcPr>
                  <w:tcW w:w="2409" w:type="dxa"/>
                  <w:vAlign w:val="center"/>
                </w:tcPr>
                <w:p>
                  <w:pPr>
                    <w:jc w:val="center"/>
                    <w:rPr>
                      <w:rFonts w:cs="Times New Roman"/>
                      <w:szCs w:val="21"/>
                    </w:rPr>
                  </w:pPr>
                  <w:r>
                    <w:rPr>
                      <w:rFonts w:cs="Times New Roman"/>
                      <w:szCs w:val="21"/>
                    </w:rPr>
                    <w:t>符合性分析</w:t>
                  </w:r>
                </w:p>
              </w:tc>
              <w:tc>
                <w:tcPr>
                  <w:tcW w:w="623" w:type="dxa"/>
                  <w:vAlign w:val="center"/>
                </w:tcPr>
                <w:p>
                  <w:pPr>
                    <w:jc w:val="center"/>
                    <w:rPr>
                      <w:rFonts w:cs="Times New Roman"/>
                      <w:szCs w:val="21"/>
                    </w:rPr>
                  </w:pPr>
                  <w:r>
                    <w:rPr>
                      <w:rFonts w:hint="eastAsia" w:cs="Times New Roman"/>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w:t>
                  </w:r>
                </w:p>
              </w:tc>
              <w:tc>
                <w:tcPr>
                  <w:tcW w:w="4119" w:type="dxa"/>
                  <w:vAlign w:val="center"/>
                </w:tcPr>
                <w:p>
                  <w:pPr>
                    <w:spacing w:before="29"/>
                    <w:jc w:val="center"/>
                    <w:rPr>
                      <w:rFonts w:cs="Times New Roman"/>
                      <w:spacing w:val="-3"/>
                      <w:szCs w:val="21"/>
                    </w:rPr>
                  </w:pPr>
                  <w:r>
                    <w:rPr>
                      <w:rFonts w:cs="Times New Roman"/>
                      <w:spacing w:val="-3"/>
                      <w:szCs w:val="21"/>
                    </w:rPr>
                    <w:t>禁止新建、改建和扩建不符合全国港口布局规划，以及《四川省内河水运发展规划》《泸州—宜宾—乐山港口群布局规划》《重庆港总体规划(2035年)》等省级港口布局规划及市级港口总体规划的码头项目。</w:t>
                  </w:r>
                </w:p>
              </w:tc>
              <w:tc>
                <w:tcPr>
                  <w:tcW w:w="2409" w:type="dxa"/>
                  <w:vAlign w:val="center"/>
                </w:tcPr>
                <w:p>
                  <w:pPr>
                    <w:jc w:val="center"/>
                    <w:rPr>
                      <w:rFonts w:cs="Times New Roman"/>
                      <w:szCs w:val="21"/>
                    </w:rPr>
                  </w:pPr>
                  <w:r>
                    <w:rPr>
                      <w:rFonts w:cs="Times New Roman"/>
                      <w:szCs w:val="21"/>
                    </w:rPr>
                    <w:t>项目不属于码头项目</w:t>
                  </w:r>
                </w:p>
              </w:tc>
              <w:tc>
                <w:tcPr>
                  <w:tcW w:w="623" w:type="dxa"/>
                  <w:vAlign w:val="center"/>
                </w:tcPr>
                <w:p>
                  <w:pPr>
                    <w:jc w:val="center"/>
                    <w:rPr>
                      <w:rFonts w:cs="Times New Roman"/>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2</w:t>
                  </w:r>
                </w:p>
              </w:tc>
              <w:tc>
                <w:tcPr>
                  <w:tcW w:w="4119" w:type="dxa"/>
                  <w:vAlign w:val="center"/>
                </w:tcPr>
                <w:p>
                  <w:pPr>
                    <w:spacing w:before="29"/>
                    <w:jc w:val="center"/>
                    <w:rPr>
                      <w:rFonts w:cs="Times New Roman"/>
                      <w:spacing w:val="-3"/>
                      <w:szCs w:val="21"/>
                    </w:rPr>
                  </w:pPr>
                  <w:r>
                    <w:rPr>
                      <w:rFonts w:cs="Times New Roman"/>
                      <w:spacing w:val="-3"/>
                      <w:szCs w:val="21"/>
                    </w:rPr>
                    <w:t>禁止新建、改建和扩建不符合《长江干线过江通道布局规划(2020—2035年)》的过长江通道项目(含桥梁、隧道),国家发展改革委同意过长江通道线位调整的除外。</w:t>
                  </w:r>
                </w:p>
              </w:tc>
              <w:tc>
                <w:tcPr>
                  <w:tcW w:w="2409" w:type="dxa"/>
                  <w:vAlign w:val="center"/>
                </w:tcPr>
                <w:p>
                  <w:pPr>
                    <w:jc w:val="center"/>
                    <w:rPr>
                      <w:rFonts w:cs="Times New Roman"/>
                      <w:szCs w:val="21"/>
                    </w:rPr>
                  </w:pPr>
                  <w:r>
                    <w:rPr>
                      <w:rFonts w:cs="Times New Roman"/>
                      <w:szCs w:val="21"/>
                    </w:rPr>
                    <w:t>项目不属于过长江通道项目</w:t>
                  </w:r>
                </w:p>
              </w:tc>
              <w:tc>
                <w:tcPr>
                  <w:tcW w:w="623" w:type="dxa"/>
                  <w:vAlign w:val="center"/>
                </w:tcPr>
                <w:p>
                  <w:pPr>
                    <w:jc w:val="center"/>
                    <w:rPr>
                      <w:rFonts w:cs="Times New Roman"/>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3</w:t>
                  </w:r>
                </w:p>
              </w:tc>
              <w:tc>
                <w:tcPr>
                  <w:tcW w:w="4119" w:type="dxa"/>
                  <w:vAlign w:val="center"/>
                </w:tcPr>
                <w:p>
                  <w:pPr>
                    <w:spacing w:before="29"/>
                    <w:jc w:val="center"/>
                    <w:rPr>
                      <w:rFonts w:cs="Times New Roman"/>
                      <w:spacing w:val="-3"/>
                      <w:szCs w:val="21"/>
                    </w:rPr>
                  </w:pPr>
                  <w:r>
                    <w:rPr>
                      <w:rFonts w:cs="Times New Roman"/>
                      <w:spacing w:val="-3"/>
                      <w:szCs w:val="21"/>
                    </w:rPr>
                    <w:t>禁止在自然保护区核心区、缓冲区的岸线和河段范围内投资建设旅游和生产经营项目。自然保护区的内部未分区的，依照核心区和缓冲区的规定管控。</w:t>
                  </w:r>
                </w:p>
              </w:tc>
              <w:tc>
                <w:tcPr>
                  <w:tcW w:w="2409" w:type="dxa"/>
                  <w:vAlign w:val="center"/>
                </w:tcPr>
                <w:p>
                  <w:pPr>
                    <w:jc w:val="center"/>
                    <w:rPr>
                      <w:rFonts w:cs="Times New Roman"/>
                      <w:szCs w:val="21"/>
                    </w:rPr>
                  </w:pPr>
                  <w:r>
                    <w:rPr>
                      <w:rFonts w:hint="eastAsia" w:cs="Times New Roman"/>
                      <w:szCs w:val="21"/>
                    </w:rPr>
                    <w:t>项目评价范围内不涉及</w:t>
                  </w:r>
                  <w:r>
                    <w:rPr>
                      <w:rFonts w:cs="Times New Roman"/>
                      <w:spacing w:val="-3"/>
                      <w:szCs w:val="21"/>
                    </w:rPr>
                    <w:t>自然保护区</w:t>
                  </w:r>
                </w:p>
              </w:tc>
              <w:tc>
                <w:tcPr>
                  <w:tcW w:w="623" w:type="dxa"/>
                  <w:vAlign w:val="center"/>
                </w:tcPr>
                <w:p>
                  <w:pPr>
                    <w:jc w:val="center"/>
                    <w:rPr>
                      <w:rFonts w:cs="Times New Roman"/>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17" w:hRule="atLeast"/>
                <w:jc w:val="center"/>
              </w:trPr>
              <w:tc>
                <w:tcPr>
                  <w:tcW w:w="407" w:type="dxa"/>
                  <w:vAlign w:val="center"/>
                </w:tcPr>
                <w:p>
                  <w:pPr>
                    <w:jc w:val="center"/>
                    <w:rPr>
                      <w:rFonts w:cs="Times New Roman"/>
                      <w:szCs w:val="21"/>
                    </w:rPr>
                  </w:pPr>
                  <w:r>
                    <w:rPr>
                      <w:rFonts w:cs="Times New Roman"/>
                      <w:szCs w:val="21"/>
                    </w:rPr>
                    <w:t>4</w:t>
                  </w:r>
                </w:p>
              </w:tc>
              <w:tc>
                <w:tcPr>
                  <w:tcW w:w="4119" w:type="dxa"/>
                  <w:vAlign w:val="center"/>
                </w:tcPr>
                <w:p>
                  <w:pPr>
                    <w:spacing w:before="29"/>
                    <w:jc w:val="center"/>
                    <w:rPr>
                      <w:rFonts w:cs="Times New Roman"/>
                      <w:spacing w:val="-3"/>
                      <w:szCs w:val="21"/>
                    </w:rPr>
                  </w:pPr>
                  <w:r>
                    <w:rPr>
                      <w:rFonts w:cs="Times New Roman"/>
                      <w:spacing w:val="-3"/>
                      <w:szCs w:val="21"/>
                    </w:rPr>
                    <w:t>禁止违反风景名胜区规划，在风景名胜区内设立各类开发区。禁止在风景名胜区核心景区的岸线和河段范围内建设宾馆、招待所、培训中心、疗养院以及与风景名胜资源保护无关的项目。</w:t>
                  </w:r>
                </w:p>
              </w:tc>
              <w:tc>
                <w:tcPr>
                  <w:tcW w:w="2409" w:type="dxa"/>
                  <w:vAlign w:val="center"/>
                </w:tcPr>
                <w:p>
                  <w:pPr>
                    <w:jc w:val="center"/>
                    <w:rPr>
                      <w:rFonts w:cs="Times New Roman"/>
                      <w:szCs w:val="21"/>
                    </w:rPr>
                  </w:pPr>
                  <w:r>
                    <w:rPr>
                      <w:rFonts w:cs="Times New Roman"/>
                      <w:szCs w:val="21"/>
                    </w:rPr>
                    <w:t>项目</w:t>
                  </w:r>
                  <w:r>
                    <w:rPr>
                      <w:rFonts w:hint="eastAsia" w:cs="Times New Roman"/>
                      <w:szCs w:val="21"/>
                    </w:rPr>
                    <w:t>评价范围内</w:t>
                  </w:r>
                  <w:r>
                    <w:rPr>
                      <w:rFonts w:cs="Times New Roman"/>
                      <w:szCs w:val="21"/>
                    </w:rPr>
                    <w:t>不涉及风景名胜区</w:t>
                  </w:r>
                </w:p>
              </w:tc>
              <w:tc>
                <w:tcPr>
                  <w:tcW w:w="623" w:type="dxa"/>
                  <w:vAlign w:val="center"/>
                </w:tcPr>
                <w:p>
                  <w:pPr>
                    <w:jc w:val="center"/>
                    <w:rPr>
                      <w:rFonts w:cs="Times New Roman"/>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5</w:t>
                  </w:r>
                </w:p>
              </w:tc>
              <w:tc>
                <w:tcPr>
                  <w:tcW w:w="4119" w:type="dxa"/>
                  <w:vAlign w:val="center"/>
                </w:tcPr>
                <w:p>
                  <w:pPr>
                    <w:spacing w:before="29"/>
                    <w:jc w:val="center"/>
                    <w:rPr>
                      <w:rFonts w:cs="Times New Roman"/>
                      <w:spacing w:val="-3"/>
                      <w:szCs w:val="21"/>
                    </w:rPr>
                  </w:pPr>
                  <w:r>
                    <w:rPr>
                      <w:rFonts w:cs="Times New Roman"/>
                      <w:spacing w:val="-3"/>
                      <w:szCs w:val="21"/>
                    </w:rPr>
                    <w:t>禁止在饮用水水源准保护区的岸线和河段范围内新建、扩建对水体污染严重的建设项目，禁止改建增加排污量的建设项目。</w:t>
                  </w:r>
                </w:p>
              </w:tc>
              <w:tc>
                <w:tcPr>
                  <w:tcW w:w="2409" w:type="dxa"/>
                  <w:vAlign w:val="center"/>
                </w:tcPr>
                <w:p>
                  <w:pPr>
                    <w:jc w:val="center"/>
                    <w:rPr>
                      <w:rFonts w:cs="Times New Roman"/>
                      <w:szCs w:val="21"/>
                    </w:rPr>
                  </w:pPr>
                  <w:r>
                    <w:rPr>
                      <w:rFonts w:hint="eastAsia" w:cs="Times New Roman"/>
                      <w:szCs w:val="21"/>
                    </w:rPr>
                    <w:t>评价范围内不涉及饮用水水源准保护区</w:t>
                  </w:r>
                </w:p>
              </w:tc>
              <w:tc>
                <w:tcPr>
                  <w:tcW w:w="623" w:type="dxa"/>
                  <w:vAlign w:val="center"/>
                </w:tcPr>
                <w:p>
                  <w:pPr>
                    <w:jc w:val="center"/>
                    <w:rPr>
                      <w:rFonts w:cs="Times New Roman"/>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6</w:t>
                  </w:r>
                </w:p>
              </w:tc>
              <w:tc>
                <w:tcPr>
                  <w:tcW w:w="4119" w:type="dxa"/>
                  <w:vAlign w:val="center"/>
                </w:tcPr>
                <w:p>
                  <w:pPr>
                    <w:spacing w:before="29"/>
                    <w:jc w:val="center"/>
                    <w:rPr>
                      <w:rFonts w:cs="Times New Roman"/>
                      <w:spacing w:val="-3"/>
                      <w:szCs w:val="21"/>
                    </w:rPr>
                  </w:pPr>
                  <w:r>
                    <w:rPr>
                      <w:rFonts w:cs="Times New Roman"/>
                      <w:spacing w:val="-3"/>
                      <w:szCs w:val="21"/>
                    </w:rPr>
                    <w:t>饮用水水源二级保护区的岸线和河段范围内，除遵守准保护区规定外，禁止新建、改建、扩建排放污染物的投资建设项目；禁止从事对水体有污染的水产养殖等活动。</w:t>
                  </w:r>
                </w:p>
              </w:tc>
              <w:tc>
                <w:tcPr>
                  <w:tcW w:w="2409" w:type="dxa"/>
                  <w:vAlign w:val="center"/>
                </w:tcPr>
                <w:p>
                  <w:pPr>
                    <w:jc w:val="center"/>
                    <w:rPr>
                      <w:rFonts w:cs="Times New Roman"/>
                      <w:szCs w:val="21"/>
                    </w:rPr>
                  </w:pPr>
                  <w:r>
                    <w:rPr>
                      <w:rFonts w:hint="eastAsia" w:cs="Times New Roman"/>
                      <w:szCs w:val="21"/>
                    </w:rPr>
                    <w:t>评价范围内不涉及饮用水源二级保护区</w:t>
                  </w:r>
                </w:p>
              </w:tc>
              <w:tc>
                <w:tcPr>
                  <w:tcW w:w="623" w:type="dxa"/>
                  <w:vAlign w:val="center"/>
                </w:tcPr>
                <w:p>
                  <w:pPr>
                    <w:jc w:val="center"/>
                    <w:rPr>
                      <w:rFonts w:cs="Times New Roman"/>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7</w:t>
                  </w:r>
                </w:p>
              </w:tc>
              <w:tc>
                <w:tcPr>
                  <w:tcW w:w="4119" w:type="dxa"/>
                  <w:vAlign w:val="center"/>
                </w:tcPr>
                <w:p>
                  <w:pPr>
                    <w:spacing w:before="29"/>
                    <w:jc w:val="center"/>
                    <w:rPr>
                      <w:rFonts w:cs="Times New Roman"/>
                      <w:spacing w:val="-3"/>
                      <w:szCs w:val="21"/>
                    </w:rPr>
                  </w:pPr>
                  <w:r>
                    <w:rPr>
                      <w:rFonts w:cs="Times New Roman"/>
                      <w:spacing w:val="-3"/>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409" w:type="dxa"/>
                  <w:vAlign w:val="center"/>
                </w:tcPr>
                <w:p>
                  <w:pPr>
                    <w:pStyle w:val="126"/>
                    <w:rPr>
                      <w:sz w:val="21"/>
                      <w:szCs w:val="21"/>
                    </w:rPr>
                  </w:pPr>
                  <w:r>
                    <w:rPr>
                      <w:rFonts w:hint="eastAsia"/>
                      <w:szCs w:val="21"/>
                    </w:rPr>
                    <w:t>评</w:t>
                  </w:r>
                  <w:r>
                    <w:rPr>
                      <w:rFonts w:hint="eastAsia"/>
                      <w:sz w:val="21"/>
                      <w:szCs w:val="21"/>
                    </w:rPr>
                    <w:t>价范围内不涉及饮用水源一级保护区</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8</w:t>
                  </w:r>
                </w:p>
              </w:tc>
              <w:tc>
                <w:tcPr>
                  <w:tcW w:w="4119" w:type="dxa"/>
                  <w:vAlign w:val="center"/>
                </w:tcPr>
                <w:p>
                  <w:pPr>
                    <w:spacing w:before="29"/>
                    <w:jc w:val="center"/>
                    <w:rPr>
                      <w:rFonts w:cs="Times New Roman"/>
                      <w:spacing w:val="-3"/>
                      <w:szCs w:val="21"/>
                    </w:rPr>
                  </w:pPr>
                  <w:r>
                    <w:rPr>
                      <w:rFonts w:cs="Times New Roman"/>
                      <w:spacing w:val="-3"/>
                      <w:szCs w:val="21"/>
                    </w:rPr>
                    <w:t>禁止在水产种质资源保护区岸线和河段范围内新建围湖造田、围湖造地或挖沙采石等投资建设项目。</w:t>
                  </w:r>
                </w:p>
              </w:tc>
              <w:tc>
                <w:tcPr>
                  <w:tcW w:w="2409" w:type="dxa"/>
                  <w:vAlign w:val="center"/>
                </w:tcPr>
                <w:p>
                  <w:pPr>
                    <w:pStyle w:val="126"/>
                    <w:rPr>
                      <w:sz w:val="21"/>
                      <w:szCs w:val="21"/>
                    </w:rPr>
                  </w:pPr>
                  <w:r>
                    <w:rPr>
                      <w:sz w:val="21"/>
                      <w:szCs w:val="21"/>
                    </w:rPr>
                    <w:t>项目不涉及水产种质资源保护区</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9</w:t>
                  </w:r>
                </w:p>
              </w:tc>
              <w:tc>
                <w:tcPr>
                  <w:tcW w:w="4119" w:type="dxa"/>
                  <w:vAlign w:val="center"/>
                </w:tcPr>
                <w:p>
                  <w:pPr>
                    <w:spacing w:before="29"/>
                    <w:jc w:val="center"/>
                    <w:rPr>
                      <w:rFonts w:cs="Times New Roman"/>
                      <w:spacing w:val="-3"/>
                      <w:szCs w:val="21"/>
                    </w:rPr>
                  </w:pPr>
                  <w:r>
                    <w:rPr>
                      <w:rFonts w:cs="Times New Roman"/>
                      <w:spacing w:val="-3"/>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2409" w:type="dxa"/>
                  <w:vAlign w:val="center"/>
                </w:tcPr>
                <w:p>
                  <w:pPr>
                    <w:pStyle w:val="126"/>
                    <w:rPr>
                      <w:sz w:val="21"/>
                      <w:szCs w:val="21"/>
                    </w:rPr>
                  </w:pPr>
                  <w:r>
                    <w:rPr>
                      <w:rFonts w:hint="eastAsia"/>
                      <w:sz w:val="21"/>
                      <w:szCs w:val="21"/>
                    </w:rPr>
                    <w:t>工程不涉及国家湿地公园</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10</w:t>
                  </w:r>
                </w:p>
              </w:tc>
              <w:tc>
                <w:tcPr>
                  <w:tcW w:w="4119" w:type="dxa"/>
                  <w:vAlign w:val="center"/>
                </w:tcPr>
                <w:p>
                  <w:pPr>
                    <w:spacing w:before="29"/>
                    <w:jc w:val="center"/>
                    <w:rPr>
                      <w:rFonts w:cs="Times New Roman"/>
                      <w:spacing w:val="-3"/>
                      <w:szCs w:val="21"/>
                    </w:rPr>
                  </w:pPr>
                  <w:r>
                    <w:rPr>
                      <w:rFonts w:cs="Times New Roman"/>
                      <w:spacing w:val="-3"/>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409" w:type="dxa"/>
                  <w:vAlign w:val="center"/>
                </w:tcPr>
                <w:p>
                  <w:pPr>
                    <w:pStyle w:val="126"/>
                    <w:rPr>
                      <w:sz w:val="21"/>
                      <w:szCs w:val="21"/>
                    </w:rPr>
                  </w:pPr>
                  <w:r>
                    <w:rPr>
                      <w:rFonts w:hint="eastAsia"/>
                      <w:sz w:val="21"/>
                      <w:szCs w:val="21"/>
                    </w:rPr>
                    <w:t>项目为污水处理厂，属于生态环境保护项目</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11</w:t>
                  </w:r>
                </w:p>
              </w:tc>
              <w:tc>
                <w:tcPr>
                  <w:tcW w:w="4119" w:type="dxa"/>
                  <w:vAlign w:val="center"/>
                </w:tcPr>
                <w:p>
                  <w:pPr>
                    <w:spacing w:before="29"/>
                    <w:jc w:val="center"/>
                    <w:rPr>
                      <w:rFonts w:cs="Times New Roman"/>
                      <w:spacing w:val="-3"/>
                      <w:szCs w:val="21"/>
                    </w:rPr>
                  </w:pPr>
                  <w:r>
                    <w:rPr>
                      <w:rFonts w:cs="Times New Roman"/>
                      <w:spacing w:val="-3"/>
                      <w:szCs w:val="21"/>
                    </w:rPr>
                    <w:t>禁止在《全国重要江河湖泊水功能区划》划定的河段及湖泊保护区、保留区内投资建设不利于水资源及自然生态保护的项目。</w:t>
                  </w:r>
                </w:p>
              </w:tc>
              <w:tc>
                <w:tcPr>
                  <w:tcW w:w="2409" w:type="dxa"/>
                  <w:vAlign w:val="center"/>
                </w:tcPr>
                <w:p>
                  <w:pPr>
                    <w:pStyle w:val="126"/>
                    <w:rPr>
                      <w:sz w:val="21"/>
                      <w:szCs w:val="21"/>
                    </w:rPr>
                  </w:pPr>
                  <w:r>
                    <w:rPr>
                      <w:rFonts w:hint="eastAsia"/>
                      <w:sz w:val="21"/>
                      <w:szCs w:val="21"/>
                    </w:rPr>
                    <w:t>项目为污水处理厂，属于有利于生态环境保护项目</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12</w:t>
                  </w:r>
                </w:p>
              </w:tc>
              <w:tc>
                <w:tcPr>
                  <w:tcW w:w="4119" w:type="dxa"/>
                  <w:vAlign w:val="center"/>
                </w:tcPr>
                <w:p>
                  <w:pPr>
                    <w:spacing w:before="29"/>
                    <w:jc w:val="center"/>
                    <w:rPr>
                      <w:rFonts w:cs="Times New Roman"/>
                      <w:spacing w:val="-3"/>
                      <w:szCs w:val="21"/>
                    </w:rPr>
                  </w:pPr>
                  <w:r>
                    <w:rPr>
                      <w:rFonts w:cs="Times New Roman"/>
                      <w:spacing w:val="-3"/>
                      <w:szCs w:val="21"/>
                    </w:rPr>
                    <w:t>禁止在长江流域江河、湖泊新设、改设或者扩大排污口，经有管辖权的生态环境主管部门或者长江流域生态环境监督管理机构同意的除外。</w:t>
                  </w:r>
                </w:p>
              </w:tc>
              <w:tc>
                <w:tcPr>
                  <w:tcW w:w="2409" w:type="dxa"/>
                  <w:vAlign w:val="center"/>
                </w:tcPr>
                <w:p>
                  <w:pPr>
                    <w:pStyle w:val="126"/>
                    <w:rPr>
                      <w:sz w:val="21"/>
                      <w:szCs w:val="21"/>
                    </w:rPr>
                  </w:pPr>
                  <w:r>
                    <w:rPr>
                      <w:rFonts w:hint="eastAsia"/>
                      <w:sz w:val="21"/>
                      <w:szCs w:val="21"/>
                    </w:rPr>
                    <w:t>项目为污水处理厂，排水受纳水体为朱衣河，为长江支流，项目为新设排污口，项目按要求办理排污口设置手续</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13</w:t>
                  </w:r>
                </w:p>
              </w:tc>
              <w:tc>
                <w:tcPr>
                  <w:tcW w:w="4119" w:type="dxa"/>
                  <w:vAlign w:val="center"/>
                </w:tcPr>
                <w:p>
                  <w:pPr>
                    <w:spacing w:before="29"/>
                    <w:jc w:val="center"/>
                    <w:rPr>
                      <w:rFonts w:cs="Times New Roman"/>
                      <w:spacing w:val="-3"/>
                      <w:szCs w:val="21"/>
                    </w:rPr>
                  </w:pPr>
                  <w:r>
                    <w:rPr>
                      <w:rFonts w:cs="Times New Roman"/>
                      <w:spacing w:val="-3"/>
                      <w:szCs w:val="21"/>
                    </w:rPr>
                    <w:t>禁止在长江干流、大渡河、岷江、赤水河、沱江、嘉陵江、乌江、汉江和51个(四川省45个、重庆市6个)水生生物保护区开展生产性捕捞。</w:t>
                  </w:r>
                </w:p>
              </w:tc>
              <w:tc>
                <w:tcPr>
                  <w:tcW w:w="2409" w:type="dxa"/>
                  <w:vAlign w:val="center"/>
                </w:tcPr>
                <w:p>
                  <w:pPr>
                    <w:pStyle w:val="126"/>
                    <w:rPr>
                      <w:sz w:val="21"/>
                      <w:szCs w:val="21"/>
                    </w:rPr>
                  </w:pPr>
                  <w:r>
                    <w:rPr>
                      <w:sz w:val="21"/>
                      <w:szCs w:val="21"/>
                    </w:rPr>
                    <w:t>项目不涉及</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14</w:t>
                  </w:r>
                </w:p>
              </w:tc>
              <w:tc>
                <w:tcPr>
                  <w:tcW w:w="4119" w:type="dxa"/>
                  <w:vAlign w:val="center"/>
                </w:tcPr>
                <w:p>
                  <w:pPr>
                    <w:spacing w:before="29"/>
                    <w:jc w:val="center"/>
                    <w:rPr>
                      <w:rFonts w:cs="Times New Roman"/>
                      <w:spacing w:val="-3"/>
                      <w:szCs w:val="21"/>
                    </w:rPr>
                  </w:pPr>
                  <w:r>
                    <w:rPr>
                      <w:rFonts w:cs="Times New Roman"/>
                      <w:spacing w:val="-3"/>
                      <w:szCs w:val="21"/>
                    </w:rPr>
                    <w:t>禁止在长江干支流、重要湖泊岸线一公里范围内新建、扩建化工园区和化工项目。</w:t>
                  </w:r>
                </w:p>
              </w:tc>
              <w:tc>
                <w:tcPr>
                  <w:tcW w:w="2409" w:type="dxa"/>
                  <w:vAlign w:val="center"/>
                </w:tcPr>
                <w:p>
                  <w:pPr>
                    <w:pStyle w:val="126"/>
                    <w:rPr>
                      <w:sz w:val="21"/>
                      <w:szCs w:val="21"/>
                    </w:rPr>
                  </w:pPr>
                  <w:r>
                    <w:rPr>
                      <w:sz w:val="21"/>
                      <w:szCs w:val="21"/>
                    </w:rPr>
                    <w:t>项目不属于化工项目</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15</w:t>
                  </w:r>
                </w:p>
              </w:tc>
              <w:tc>
                <w:tcPr>
                  <w:tcW w:w="4119" w:type="dxa"/>
                  <w:vAlign w:val="center"/>
                </w:tcPr>
                <w:p>
                  <w:pPr>
                    <w:spacing w:before="29"/>
                    <w:jc w:val="center"/>
                    <w:rPr>
                      <w:rFonts w:cs="Times New Roman"/>
                      <w:spacing w:val="-3"/>
                      <w:szCs w:val="21"/>
                    </w:rPr>
                  </w:pPr>
                  <w:r>
                    <w:rPr>
                      <w:rFonts w:cs="Times New Roman"/>
                      <w:spacing w:val="-3"/>
                      <w:szCs w:val="21"/>
                    </w:rPr>
                    <w:t>禁止在长江干流岸线三公里范围内和重要支流岸线一公里范围内新建、改建、扩建尾矿库、冶炼渣库、磷石膏库，以提升安全、生态环境保护水平为目的的改建除外。</w:t>
                  </w:r>
                </w:p>
              </w:tc>
              <w:tc>
                <w:tcPr>
                  <w:tcW w:w="2409" w:type="dxa"/>
                  <w:vAlign w:val="center"/>
                </w:tcPr>
                <w:p>
                  <w:pPr>
                    <w:pStyle w:val="126"/>
                    <w:rPr>
                      <w:sz w:val="21"/>
                      <w:szCs w:val="21"/>
                    </w:rPr>
                  </w:pPr>
                  <w:r>
                    <w:rPr>
                      <w:sz w:val="21"/>
                      <w:szCs w:val="21"/>
                    </w:rPr>
                    <w:t>项目</w:t>
                  </w:r>
                  <w:r>
                    <w:rPr>
                      <w:rFonts w:hint="eastAsia"/>
                      <w:sz w:val="21"/>
                      <w:szCs w:val="21"/>
                    </w:rPr>
                    <w:t>不属于</w:t>
                  </w:r>
                  <w:r>
                    <w:rPr>
                      <w:spacing w:val="-3"/>
                      <w:sz w:val="21"/>
                      <w:szCs w:val="21"/>
                    </w:rPr>
                    <w:t>尾矿库、冶炼渣库、磷石膏库</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16</w:t>
                  </w:r>
                </w:p>
              </w:tc>
              <w:tc>
                <w:tcPr>
                  <w:tcW w:w="4119" w:type="dxa"/>
                  <w:vAlign w:val="center"/>
                </w:tcPr>
                <w:p>
                  <w:pPr>
                    <w:spacing w:before="29"/>
                    <w:jc w:val="center"/>
                    <w:rPr>
                      <w:rFonts w:cs="Times New Roman"/>
                      <w:spacing w:val="-3"/>
                      <w:szCs w:val="21"/>
                    </w:rPr>
                  </w:pPr>
                  <w:r>
                    <w:rPr>
                      <w:rFonts w:cs="Times New Roman"/>
                      <w:spacing w:val="-3"/>
                      <w:szCs w:val="21"/>
                    </w:rPr>
                    <w:t>禁止在生态保护红线区域、永久基本农田集中区域和其他需要特别保护的区域内选址建设尾矿库、冶炼渣库、磷石膏库。</w:t>
                  </w:r>
                </w:p>
              </w:tc>
              <w:tc>
                <w:tcPr>
                  <w:tcW w:w="2409" w:type="dxa"/>
                  <w:vAlign w:val="center"/>
                </w:tcPr>
                <w:p>
                  <w:pPr>
                    <w:pStyle w:val="126"/>
                    <w:rPr>
                      <w:sz w:val="21"/>
                      <w:szCs w:val="21"/>
                    </w:rPr>
                  </w:pPr>
                  <w:r>
                    <w:rPr>
                      <w:sz w:val="21"/>
                      <w:szCs w:val="21"/>
                    </w:rPr>
                    <w:t>项目</w:t>
                  </w:r>
                  <w:r>
                    <w:rPr>
                      <w:rFonts w:hint="eastAsia"/>
                      <w:sz w:val="21"/>
                      <w:szCs w:val="21"/>
                    </w:rPr>
                    <w:t>不属于</w:t>
                  </w:r>
                  <w:r>
                    <w:rPr>
                      <w:spacing w:val="-3"/>
                      <w:sz w:val="21"/>
                      <w:szCs w:val="21"/>
                    </w:rPr>
                    <w:t>尾矿库、冶炼渣库、磷石膏库</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17</w:t>
                  </w:r>
                </w:p>
              </w:tc>
              <w:tc>
                <w:tcPr>
                  <w:tcW w:w="4119" w:type="dxa"/>
                  <w:vAlign w:val="center"/>
                </w:tcPr>
                <w:p>
                  <w:pPr>
                    <w:spacing w:before="29"/>
                    <w:jc w:val="center"/>
                    <w:rPr>
                      <w:rFonts w:cs="Times New Roman"/>
                      <w:spacing w:val="-3"/>
                      <w:szCs w:val="21"/>
                    </w:rPr>
                  </w:pPr>
                  <w:r>
                    <w:rPr>
                      <w:rFonts w:cs="Times New Roman"/>
                      <w:spacing w:val="-3"/>
                      <w:szCs w:val="21"/>
                    </w:rPr>
                    <w:t>禁止在合规园区外新建、扩建钢铁、石化、化工、焦化、建材、有色、制浆造纸等高污染项目。</w:t>
                  </w:r>
                </w:p>
              </w:tc>
              <w:tc>
                <w:tcPr>
                  <w:tcW w:w="2409" w:type="dxa"/>
                  <w:vAlign w:val="center"/>
                </w:tcPr>
                <w:p>
                  <w:pPr>
                    <w:pStyle w:val="126"/>
                    <w:rPr>
                      <w:sz w:val="21"/>
                      <w:szCs w:val="21"/>
                    </w:rPr>
                  </w:pPr>
                  <w:r>
                    <w:rPr>
                      <w:sz w:val="21"/>
                      <w:szCs w:val="21"/>
                    </w:rPr>
                    <w:t>项目</w:t>
                  </w:r>
                  <w:r>
                    <w:rPr>
                      <w:rFonts w:hint="eastAsia"/>
                      <w:sz w:val="21"/>
                      <w:szCs w:val="21"/>
                    </w:rPr>
                    <w:t>为污水处理厂，属于市政工程，</w:t>
                  </w:r>
                  <w:r>
                    <w:rPr>
                      <w:sz w:val="21"/>
                      <w:szCs w:val="21"/>
                    </w:rPr>
                    <w:t xml:space="preserve">不属于钢铁、石化、化工、焦化、建材、有色、制浆造纸等高污染项目， </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18</w:t>
                  </w:r>
                </w:p>
              </w:tc>
              <w:tc>
                <w:tcPr>
                  <w:tcW w:w="4119" w:type="dxa"/>
                  <w:vAlign w:val="center"/>
                </w:tcPr>
                <w:p>
                  <w:pPr>
                    <w:spacing w:before="29"/>
                    <w:jc w:val="center"/>
                    <w:rPr>
                      <w:rFonts w:cs="Times New Roman"/>
                      <w:spacing w:val="-3"/>
                      <w:szCs w:val="21"/>
                    </w:rPr>
                  </w:pPr>
                  <w:r>
                    <w:rPr>
                      <w:rFonts w:cs="Times New Roman"/>
                      <w:spacing w:val="-3"/>
                      <w:szCs w:val="21"/>
                    </w:rPr>
                    <w:t>禁止新建、扩建不符合国家石化、现代煤化工等产业布局规划的项目。</w:t>
                  </w:r>
                </w:p>
                <w:p>
                  <w:pPr>
                    <w:spacing w:before="29"/>
                    <w:jc w:val="center"/>
                    <w:rPr>
                      <w:rFonts w:cs="Times New Roman"/>
                      <w:spacing w:val="-3"/>
                      <w:szCs w:val="21"/>
                    </w:rPr>
                  </w:pPr>
                  <w:r>
                    <w:rPr>
                      <w:rFonts w:cs="Times New Roman"/>
                      <w:spacing w:val="-3"/>
                      <w:szCs w:val="21"/>
                    </w:rPr>
                    <w:t>(一)严格控制新增炼油产能，未列入《石化产业规划布局方案(修订版)》的新增炼油产能一律不得建设。</w:t>
                  </w:r>
                </w:p>
                <w:p>
                  <w:pPr>
                    <w:spacing w:before="29"/>
                    <w:jc w:val="center"/>
                    <w:rPr>
                      <w:rFonts w:cs="Times New Roman"/>
                      <w:spacing w:val="-3"/>
                      <w:szCs w:val="21"/>
                    </w:rPr>
                  </w:pPr>
                  <w:r>
                    <w:rPr>
                      <w:rFonts w:cs="Times New Roman"/>
                      <w:spacing w:val="-3"/>
                      <w:szCs w:val="21"/>
                    </w:rPr>
                    <w:t>(二)新建煤制烯烃、煤制芳烃项目必须列入《现代煤化工产业创新发展布局方案》,必须符合《现代煤化工建设项目环境准入条件(试行)》要求。</w:t>
                  </w:r>
                </w:p>
              </w:tc>
              <w:tc>
                <w:tcPr>
                  <w:tcW w:w="2409" w:type="dxa"/>
                  <w:vAlign w:val="center"/>
                </w:tcPr>
                <w:p>
                  <w:pPr>
                    <w:pStyle w:val="126"/>
                    <w:rPr>
                      <w:sz w:val="21"/>
                      <w:szCs w:val="21"/>
                    </w:rPr>
                  </w:pPr>
                  <w:r>
                    <w:rPr>
                      <w:sz w:val="21"/>
                      <w:szCs w:val="21"/>
                    </w:rPr>
                    <w:t>项目不属于</w:t>
                  </w:r>
                  <w:r>
                    <w:rPr>
                      <w:spacing w:val="-3"/>
                      <w:sz w:val="21"/>
                      <w:szCs w:val="21"/>
                    </w:rPr>
                    <w:t>石化、现代煤化工</w:t>
                  </w:r>
                  <w:r>
                    <w:rPr>
                      <w:sz w:val="21"/>
                      <w:szCs w:val="21"/>
                    </w:rPr>
                    <w:t>项目</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19</w:t>
                  </w:r>
                </w:p>
              </w:tc>
              <w:tc>
                <w:tcPr>
                  <w:tcW w:w="4119" w:type="dxa"/>
                  <w:vAlign w:val="center"/>
                </w:tcPr>
                <w:p>
                  <w:pPr>
                    <w:spacing w:before="29"/>
                    <w:jc w:val="center"/>
                    <w:rPr>
                      <w:rFonts w:cs="Times New Roman"/>
                      <w:spacing w:val="-3"/>
                      <w:szCs w:val="21"/>
                    </w:rPr>
                  </w:pPr>
                  <w:r>
                    <w:rPr>
                      <w:rFonts w:cs="Times New Roman"/>
                      <w:spacing w:val="-3"/>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409" w:type="dxa"/>
                  <w:vAlign w:val="center"/>
                </w:tcPr>
                <w:p>
                  <w:pPr>
                    <w:pStyle w:val="126"/>
                    <w:rPr>
                      <w:sz w:val="21"/>
                      <w:szCs w:val="21"/>
                    </w:rPr>
                  </w:pPr>
                  <w:r>
                    <w:rPr>
                      <w:sz w:val="21"/>
                      <w:szCs w:val="21"/>
                    </w:rPr>
                    <w:t>项目为鼓励类，不属于法律法规和相关政策明令禁止的落后产能项目</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20</w:t>
                  </w:r>
                </w:p>
              </w:tc>
              <w:tc>
                <w:tcPr>
                  <w:tcW w:w="4119" w:type="dxa"/>
                  <w:vAlign w:val="center"/>
                </w:tcPr>
                <w:p>
                  <w:pPr>
                    <w:spacing w:before="29"/>
                    <w:jc w:val="center"/>
                    <w:rPr>
                      <w:rFonts w:cs="Times New Roman"/>
                      <w:spacing w:val="-3"/>
                      <w:szCs w:val="21"/>
                    </w:rPr>
                  </w:pPr>
                  <w:r>
                    <w:rPr>
                      <w:rFonts w:cs="Times New Roman"/>
                      <w:spacing w:val="-3"/>
                      <w:szCs w:val="21"/>
                    </w:rPr>
                    <w:t>禁止新建、扩建不符合国家产能置换要求的严重过剩产能行业的项目。对于不符合国家产能置换要求的严重过剩产能行业，不得以其他任何名义、任何方式备案新增产能项目。</w:t>
                  </w:r>
                </w:p>
              </w:tc>
              <w:tc>
                <w:tcPr>
                  <w:tcW w:w="2409" w:type="dxa"/>
                  <w:vAlign w:val="center"/>
                </w:tcPr>
                <w:p>
                  <w:pPr>
                    <w:pStyle w:val="126"/>
                    <w:rPr>
                      <w:sz w:val="21"/>
                      <w:szCs w:val="21"/>
                    </w:rPr>
                  </w:pPr>
                  <w:r>
                    <w:rPr>
                      <w:sz w:val="21"/>
                      <w:szCs w:val="21"/>
                    </w:rPr>
                    <w:t>项目不属</w:t>
                  </w:r>
                  <w:r>
                    <w:rPr>
                      <w:rFonts w:hint="eastAsia"/>
                      <w:sz w:val="21"/>
                      <w:szCs w:val="21"/>
                    </w:rPr>
                    <w:t>于</w:t>
                  </w:r>
                  <w:r>
                    <w:rPr>
                      <w:spacing w:val="-3"/>
                      <w:sz w:val="21"/>
                      <w:szCs w:val="21"/>
                    </w:rPr>
                    <w:t>国家产能置换要求的严重过剩产能行业的项目</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21</w:t>
                  </w:r>
                </w:p>
              </w:tc>
              <w:tc>
                <w:tcPr>
                  <w:tcW w:w="4119" w:type="dxa"/>
                  <w:vAlign w:val="center"/>
                </w:tcPr>
                <w:p>
                  <w:pPr>
                    <w:spacing w:before="29"/>
                    <w:jc w:val="center"/>
                    <w:rPr>
                      <w:rFonts w:cs="Times New Roman"/>
                      <w:spacing w:val="-3"/>
                      <w:szCs w:val="21"/>
                    </w:rPr>
                  </w:pPr>
                  <w:r>
                    <w:rPr>
                      <w:rFonts w:cs="Times New Roman"/>
                      <w:spacing w:val="-3"/>
                      <w:szCs w:val="21"/>
                    </w:rPr>
                    <w:t>禁止建设以下燃油汽车投资项目(不在中国境内销售产品的投资项目除外)：</w:t>
                  </w:r>
                </w:p>
                <w:p>
                  <w:pPr>
                    <w:spacing w:before="29"/>
                    <w:jc w:val="center"/>
                    <w:rPr>
                      <w:rFonts w:cs="Times New Roman"/>
                      <w:spacing w:val="-3"/>
                      <w:szCs w:val="21"/>
                    </w:rPr>
                  </w:pPr>
                  <w:r>
                    <w:rPr>
                      <w:rFonts w:cs="Times New Roman"/>
                      <w:spacing w:val="-3"/>
                      <w:szCs w:val="21"/>
                    </w:rPr>
                    <w:t>(一)新建独立燃油汽车企业；</w:t>
                  </w:r>
                </w:p>
                <w:p>
                  <w:pPr>
                    <w:spacing w:before="29"/>
                    <w:jc w:val="center"/>
                    <w:rPr>
                      <w:rFonts w:cs="Times New Roman"/>
                      <w:spacing w:val="-3"/>
                      <w:szCs w:val="21"/>
                    </w:rPr>
                  </w:pPr>
                  <w:r>
                    <w:rPr>
                      <w:rFonts w:cs="Times New Roman"/>
                      <w:spacing w:val="-3"/>
                      <w:szCs w:val="21"/>
                    </w:rPr>
                    <w:t>(二)现有汽车企业跨乘用车、商用车类别建设燃油汽车生产能力；</w:t>
                  </w:r>
                </w:p>
                <w:p>
                  <w:pPr>
                    <w:spacing w:before="29"/>
                    <w:jc w:val="center"/>
                    <w:rPr>
                      <w:rFonts w:cs="Times New Roman"/>
                      <w:spacing w:val="-3"/>
                      <w:szCs w:val="21"/>
                    </w:rPr>
                  </w:pPr>
                  <w:r>
                    <w:rPr>
                      <w:rFonts w:cs="Times New Roman"/>
                      <w:spacing w:val="-3"/>
                      <w:szCs w:val="21"/>
                    </w:rPr>
                    <w:t>(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2409" w:type="dxa"/>
                  <w:vAlign w:val="center"/>
                </w:tcPr>
                <w:p>
                  <w:pPr>
                    <w:pStyle w:val="126"/>
                    <w:rPr>
                      <w:sz w:val="21"/>
                      <w:szCs w:val="21"/>
                    </w:rPr>
                  </w:pPr>
                  <w:r>
                    <w:rPr>
                      <w:sz w:val="21"/>
                      <w:szCs w:val="21"/>
                    </w:rPr>
                    <w:t>项目不涉及</w:t>
                  </w:r>
                </w:p>
              </w:tc>
              <w:tc>
                <w:tcPr>
                  <w:tcW w:w="623" w:type="dxa"/>
                  <w:vAlign w:val="center"/>
                </w:tcPr>
                <w:p>
                  <w:pPr>
                    <w:pStyle w:val="126"/>
                    <w:rPr>
                      <w:sz w:val="21"/>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07" w:type="dxa"/>
                  <w:vAlign w:val="center"/>
                </w:tcPr>
                <w:p>
                  <w:pPr>
                    <w:jc w:val="center"/>
                    <w:rPr>
                      <w:rFonts w:cs="Times New Roman"/>
                      <w:szCs w:val="21"/>
                    </w:rPr>
                  </w:pPr>
                  <w:r>
                    <w:rPr>
                      <w:rFonts w:cs="Times New Roman"/>
                      <w:szCs w:val="21"/>
                    </w:rPr>
                    <w:t>22</w:t>
                  </w:r>
                </w:p>
              </w:tc>
              <w:tc>
                <w:tcPr>
                  <w:tcW w:w="4119" w:type="dxa"/>
                  <w:vAlign w:val="center"/>
                </w:tcPr>
                <w:p>
                  <w:pPr>
                    <w:spacing w:before="29"/>
                    <w:jc w:val="center"/>
                    <w:rPr>
                      <w:rFonts w:cs="Times New Roman"/>
                      <w:spacing w:val="-3"/>
                      <w:szCs w:val="21"/>
                    </w:rPr>
                  </w:pPr>
                  <w:r>
                    <w:rPr>
                      <w:rFonts w:cs="Times New Roman"/>
                      <w:spacing w:val="-3"/>
                      <w:szCs w:val="21"/>
                    </w:rPr>
                    <w:t>禁止新建、扩建不符合要求的高耗能、高排放、低水平项目。</w:t>
                  </w:r>
                </w:p>
              </w:tc>
              <w:tc>
                <w:tcPr>
                  <w:tcW w:w="2409" w:type="dxa"/>
                  <w:vAlign w:val="center"/>
                </w:tcPr>
                <w:p>
                  <w:pPr>
                    <w:pStyle w:val="126"/>
                    <w:rPr>
                      <w:sz w:val="21"/>
                      <w:szCs w:val="21"/>
                    </w:rPr>
                  </w:pPr>
                  <w:r>
                    <w:rPr>
                      <w:sz w:val="21"/>
                      <w:szCs w:val="21"/>
                    </w:rPr>
                    <w:t>项目不属</w:t>
                  </w:r>
                  <w:r>
                    <w:rPr>
                      <w:spacing w:val="-3"/>
                      <w:sz w:val="21"/>
                      <w:szCs w:val="21"/>
                    </w:rPr>
                    <w:t>高耗能、高排放、低水平的项目</w:t>
                  </w:r>
                </w:p>
              </w:tc>
              <w:tc>
                <w:tcPr>
                  <w:tcW w:w="623" w:type="dxa"/>
                  <w:vAlign w:val="center"/>
                </w:tcPr>
                <w:p>
                  <w:pPr>
                    <w:pStyle w:val="126"/>
                    <w:rPr>
                      <w:sz w:val="21"/>
                      <w:szCs w:val="21"/>
                    </w:rPr>
                  </w:pPr>
                  <w:r>
                    <w:rPr>
                      <w:rFonts w:hint="eastAsia"/>
                    </w:rPr>
                    <w:t>符合</w:t>
                  </w:r>
                </w:p>
              </w:tc>
            </w:tr>
          </w:tbl>
          <w:p/>
          <w:p>
            <w:pPr>
              <w:pStyle w:val="6"/>
              <w:spacing w:before="120" w:after="120"/>
            </w:pPr>
            <w:r>
              <w:t>工程与《重庆市发展和改革委员会关于印发重庆市产业投资准入工作手册的通知》（渝发改投资〔2022〕1436号）符合性分析</w:t>
            </w:r>
          </w:p>
          <w:p>
            <w:pPr>
              <w:pStyle w:val="5"/>
              <w:ind w:firstLine="480"/>
            </w:pPr>
            <w:r>
              <w:rPr>
                <w:rFonts w:hint="eastAsia"/>
              </w:rPr>
              <w:t>项目</w:t>
            </w:r>
            <w:r>
              <w:t>与渝发改投资〔2022〕1436号符合性分析见</w:t>
            </w:r>
            <w:r>
              <w:fldChar w:fldCharType="begin"/>
            </w:r>
            <w:r>
              <w:instrText xml:space="preserve"> REF _Ref133569974 \h </w:instrText>
            </w:r>
            <w:r>
              <w:fldChar w:fldCharType="separate"/>
            </w:r>
            <w:r>
              <w:rPr>
                <w:rFonts w:hint="eastAsia"/>
              </w:rPr>
              <w:t xml:space="preserve">表 </w:t>
            </w:r>
            <w:r>
              <w:t>1.2</w:t>
            </w:r>
            <w:r>
              <w:noBreakHyphen/>
            </w:r>
            <w:r>
              <w:t>3</w:t>
            </w:r>
            <w:r>
              <w:fldChar w:fldCharType="end"/>
            </w:r>
            <w:r>
              <w:t>，根据分析工程满足渝发改投资〔2022〕1436号要求。</w:t>
            </w:r>
          </w:p>
          <w:p>
            <w:pPr>
              <w:pStyle w:val="14"/>
              <w:keepNext/>
            </w:pPr>
            <w:bookmarkStart w:id="7" w:name="_Ref133569974"/>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bookmarkEnd w:id="7"/>
            <w:r>
              <w:t xml:space="preserve">   </w:t>
            </w:r>
            <w:r>
              <w:rPr>
                <w:rFonts w:hint="eastAsia"/>
              </w:rPr>
              <w:t>工程与渝发改投资〔2022〕1436号符合性分析</w:t>
            </w:r>
          </w:p>
          <w:tbl>
            <w:tblPr>
              <w:tblStyle w:val="38"/>
              <w:tblW w:w="7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7"/>
              <w:gridCol w:w="3436"/>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7" w:type="dxa"/>
                  <w:shd w:val="clear" w:color="auto" w:fill="auto"/>
                  <w:vAlign w:val="center"/>
                </w:tcPr>
                <w:p>
                  <w:pPr>
                    <w:pStyle w:val="63"/>
                  </w:pPr>
                  <w:r>
                    <w:t>渝发改投资〔2022〕1436号</w:t>
                  </w:r>
                </w:p>
              </w:tc>
              <w:tc>
                <w:tcPr>
                  <w:tcW w:w="3436" w:type="dxa"/>
                  <w:shd w:val="clear" w:color="auto" w:fill="auto"/>
                  <w:vAlign w:val="center"/>
                </w:tcPr>
                <w:p>
                  <w:pPr>
                    <w:pStyle w:val="63"/>
                  </w:pPr>
                  <w:r>
                    <w:t>本工程</w:t>
                  </w:r>
                </w:p>
              </w:tc>
              <w:tc>
                <w:tcPr>
                  <w:tcW w:w="1175" w:type="dxa"/>
                  <w:vAlign w:val="center"/>
                </w:tcPr>
                <w:p>
                  <w:pPr>
                    <w:pStyle w:val="63"/>
                  </w:pPr>
                  <w:r>
                    <w:rPr>
                      <w:rFonts w:hint="eastAsia"/>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383" w:type="dxa"/>
                  <w:gridSpan w:val="2"/>
                  <w:shd w:val="clear" w:color="auto" w:fill="auto"/>
                  <w:vAlign w:val="center"/>
                </w:tcPr>
                <w:p>
                  <w:pPr>
                    <w:pStyle w:val="63"/>
                  </w:pPr>
                  <w:r>
                    <w:t>一、不予准入类</w:t>
                  </w:r>
                </w:p>
              </w:tc>
              <w:tc>
                <w:tcPr>
                  <w:tcW w:w="1175"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7" w:type="dxa"/>
                  <w:shd w:val="clear" w:color="auto" w:fill="auto"/>
                  <w:vAlign w:val="center"/>
                </w:tcPr>
                <w:p>
                  <w:pPr>
                    <w:pStyle w:val="63"/>
                    <w:jc w:val="both"/>
                  </w:pPr>
                  <w:r>
                    <w:t>（一）全市范围内不予准入的产业</w:t>
                  </w:r>
                </w:p>
                <w:p>
                  <w:pPr>
                    <w:pStyle w:val="63"/>
                    <w:jc w:val="both"/>
                  </w:pPr>
                  <w:r>
                    <w:t>1．国家产业结构调整指导目录中的淘汰类项目。</w:t>
                  </w:r>
                </w:p>
                <w:p>
                  <w:pPr>
                    <w:pStyle w:val="63"/>
                    <w:jc w:val="both"/>
                  </w:pPr>
                  <w:r>
                    <w:t>2．天然林商业性采伐。</w:t>
                  </w:r>
                </w:p>
                <w:p>
                  <w:pPr>
                    <w:pStyle w:val="63"/>
                    <w:jc w:val="both"/>
                  </w:pPr>
                  <w:r>
                    <w:t>3．法律法规和相关政策明令不予准入的其他项目</w:t>
                  </w:r>
                </w:p>
              </w:tc>
              <w:tc>
                <w:tcPr>
                  <w:tcW w:w="3436" w:type="dxa"/>
                  <w:shd w:val="clear" w:color="auto" w:fill="auto"/>
                  <w:vAlign w:val="center"/>
                </w:tcPr>
                <w:p>
                  <w:pPr>
                    <w:pStyle w:val="63"/>
                    <w:jc w:val="both"/>
                  </w:pPr>
                  <w:r>
                    <w:rPr>
                      <w:rFonts w:hint="eastAsia"/>
                    </w:rPr>
                    <w:t>1项目属于</w:t>
                  </w:r>
                  <w:r>
                    <w:t>鼓励类项目，</w:t>
                  </w:r>
                </w:p>
                <w:p>
                  <w:pPr>
                    <w:pStyle w:val="63"/>
                    <w:jc w:val="both"/>
                  </w:pPr>
                  <w:r>
                    <w:rPr>
                      <w:rFonts w:hint="eastAsia"/>
                    </w:rPr>
                    <w:t>2项目不涉及</w:t>
                  </w:r>
                  <w:r>
                    <w:t>天然林商业采伐</w:t>
                  </w:r>
                  <w:r>
                    <w:rPr>
                      <w:rFonts w:hint="eastAsia"/>
                    </w:rPr>
                    <w:t>，</w:t>
                  </w:r>
                </w:p>
                <w:p>
                  <w:pPr>
                    <w:pStyle w:val="63"/>
                    <w:jc w:val="both"/>
                  </w:pPr>
                  <w:r>
                    <w:rPr>
                      <w:rFonts w:hint="eastAsia"/>
                    </w:rPr>
                    <w:t>3项目不属于</w:t>
                  </w:r>
                  <w:r>
                    <w:t>法律法规和相关政策明令不予准入的其他项目</w:t>
                  </w:r>
                  <w:r>
                    <w:rPr>
                      <w:rFonts w:hint="eastAsia"/>
                    </w:rPr>
                    <w:t>，已取得忠县发改委批复；</w:t>
                  </w:r>
                </w:p>
                <w:p>
                  <w:pPr>
                    <w:pStyle w:val="63"/>
                    <w:jc w:val="both"/>
                  </w:pPr>
                </w:p>
              </w:tc>
              <w:tc>
                <w:tcPr>
                  <w:tcW w:w="1175"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7" w:type="dxa"/>
                  <w:shd w:val="clear" w:color="auto" w:fill="auto"/>
                  <w:vAlign w:val="center"/>
                </w:tcPr>
                <w:p>
                  <w:pPr>
                    <w:pStyle w:val="63"/>
                    <w:jc w:val="both"/>
                  </w:pPr>
                  <w:r>
                    <w:t>（二）重点区域不予准入的产业</w:t>
                  </w:r>
                </w:p>
                <w:p>
                  <w:pPr>
                    <w:pStyle w:val="63"/>
                    <w:jc w:val="both"/>
                  </w:pPr>
                  <w:r>
                    <w:t>1．外环绕城高速公路以内长江、嘉陵江水域采砂。</w:t>
                  </w:r>
                </w:p>
                <w:p>
                  <w:pPr>
                    <w:pStyle w:val="63"/>
                    <w:jc w:val="both"/>
                  </w:pPr>
                  <w:r>
                    <w:t>2．二十五度以上陡坡地开垦种植农作物。</w:t>
                  </w:r>
                </w:p>
                <w:p>
                  <w:pPr>
                    <w:pStyle w:val="63"/>
                    <w:jc w:val="both"/>
                  </w:pPr>
                  <w:r>
                    <w:t>3．在自然保护区核心区、缓冲区的岸线和河段范围内投资建设旅游和生产经营项目。</w:t>
                  </w:r>
                </w:p>
                <w:p>
                  <w:pPr>
                    <w:pStyle w:val="63"/>
                    <w:jc w:val="both"/>
                  </w:pPr>
                  <w: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pPr>
                    <w:pStyle w:val="63"/>
                    <w:jc w:val="both"/>
                  </w:pPr>
                  <w:r>
                    <w:t>5．长江干流岸线3公里范围内和重要支流岸线1公里范围内新建、改建、扩建尾矿库、冶炼渣库和磷石膏库（以提升安全、生态环境保护水平为目的的改建除外）。</w:t>
                  </w:r>
                </w:p>
                <w:p>
                  <w:pPr>
                    <w:pStyle w:val="63"/>
                    <w:jc w:val="both"/>
                  </w:pPr>
                  <w:r>
                    <w:t>6．在风景名胜区核心景区的岸线和河段范围内投资建设与风景名胜资源保护无关的项目。</w:t>
                  </w:r>
                </w:p>
                <w:p>
                  <w:pPr>
                    <w:pStyle w:val="63"/>
                    <w:jc w:val="both"/>
                  </w:pPr>
                  <w:r>
                    <w:t>7．在国家湿地公园的岸线和河段范围内挖沙、采矿，以及任何不符合主体功能定位的投资建设项目。</w:t>
                  </w:r>
                </w:p>
                <w:p>
                  <w:pPr>
                    <w:pStyle w:val="63"/>
                    <w:jc w:val="both"/>
                  </w:pPr>
                  <w:r>
                    <w:t>8．在《长江岸线保护和开发利用总体规划》划定的岸线保护区和保留区内投资建设除事关公共安全及公众利益的防洪护岸、河道治理、供水、生态环境保护、航道整治、国家重要基础设施以外的项目。</w:t>
                  </w:r>
                </w:p>
                <w:p>
                  <w:pPr>
                    <w:pStyle w:val="63"/>
                    <w:jc w:val="both"/>
                  </w:pPr>
                  <w:r>
                    <w:t>9．在《全国重要江河湖泊水功能区划》划定的河段及湖泊保护区、保留区内投资建设不利于水资源及自然生态保护的项目</w:t>
                  </w:r>
                </w:p>
              </w:tc>
              <w:tc>
                <w:tcPr>
                  <w:tcW w:w="3436" w:type="dxa"/>
                  <w:shd w:val="clear" w:color="auto" w:fill="auto"/>
                  <w:vAlign w:val="center"/>
                </w:tcPr>
                <w:p>
                  <w:pPr>
                    <w:pStyle w:val="63"/>
                    <w:jc w:val="both"/>
                  </w:pPr>
                  <w:r>
                    <w:t>1</w:t>
                  </w:r>
                  <w:r>
                    <w:rPr>
                      <w:rFonts w:hint="eastAsia"/>
                    </w:rPr>
                    <w:t>项目</w:t>
                  </w:r>
                  <w:r>
                    <w:t>不涉及水域采砂；</w:t>
                  </w:r>
                </w:p>
                <w:p>
                  <w:pPr>
                    <w:pStyle w:val="63"/>
                    <w:jc w:val="both"/>
                  </w:pPr>
                  <w:r>
                    <w:t>2</w:t>
                  </w:r>
                  <w:r>
                    <w:rPr>
                      <w:rFonts w:hint="eastAsia"/>
                    </w:rPr>
                    <w:t>项目</w:t>
                  </w:r>
                  <w:r>
                    <w:t>不涉及开垦种植农作物；</w:t>
                  </w:r>
                </w:p>
                <w:p>
                  <w:pPr>
                    <w:pStyle w:val="63"/>
                    <w:jc w:val="both"/>
                  </w:pPr>
                  <w:r>
                    <w:t>3</w:t>
                  </w:r>
                  <w:r>
                    <w:rPr>
                      <w:rFonts w:hint="eastAsia" w:cs="Times New Roman"/>
                      <w:szCs w:val="21"/>
                    </w:rPr>
                    <w:t>项目不涉及</w:t>
                  </w:r>
                  <w:r>
                    <w:t>自然保护区核心区、缓冲区的岸线和河段范围；</w:t>
                  </w:r>
                </w:p>
                <w:p>
                  <w:pPr>
                    <w:pStyle w:val="63"/>
                    <w:jc w:val="both"/>
                  </w:pPr>
                  <w:r>
                    <w:t>4</w:t>
                  </w:r>
                  <w:r>
                    <w:rPr>
                      <w:rFonts w:hint="eastAsia"/>
                    </w:rPr>
                    <w:t>项目评价范围内不涉及饮用水源保护区；</w:t>
                  </w:r>
                </w:p>
                <w:p>
                  <w:pPr>
                    <w:pStyle w:val="63"/>
                    <w:jc w:val="both"/>
                  </w:pPr>
                  <w:r>
                    <w:t>5</w:t>
                  </w:r>
                  <w:r>
                    <w:rPr>
                      <w:rFonts w:hint="eastAsia"/>
                    </w:rPr>
                    <w:t>项目</w:t>
                  </w:r>
                  <w:r>
                    <w:t>不属于尾矿库、冶炼渣库和磷石膏库</w:t>
                  </w:r>
                </w:p>
                <w:p>
                  <w:pPr>
                    <w:pStyle w:val="63"/>
                    <w:jc w:val="both"/>
                  </w:pPr>
                  <w:r>
                    <w:t>6</w:t>
                  </w:r>
                  <w:r>
                    <w:rPr>
                      <w:rFonts w:hint="eastAsia"/>
                    </w:rPr>
                    <w:t>项目</w:t>
                  </w:r>
                  <w:r>
                    <w:t>不涉及风景名胜区</w:t>
                  </w:r>
                </w:p>
                <w:p>
                  <w:pPr>
                    <w:pStyle w:val="63"/>
                    <w:jc w:val="both"/>
                  </w:pPr>
                  <w:r>
                    <w:t>7</w:t>
                  </w:r>
                  <w:r>
                    <w:rPr>
                      <w:rFonts w:hint="eastAsia"/>
                    </w:rPr>
                    <w:t>项目</w:t>
                  </w:r>
                  <w:r>
                    <w:t>不涉及国家湿地公园</w:t>
                  </w:r>
                </w:p>
                <w:p>
                  <w:pPr>
                    <w:pStyle w:val="63"/>
                    <w:jc w:val="both"/>
                  </w:pPr>
                  <w:r>
                    <w:t>8</w:t>
                  </w:r>
                  <w:r>
                    <w:rPr>
                      <w:rFonts w:hint="eastAsia"/>
                    </w:rPr>
                    <w:t>项目为污水处理厂，属于生态环境保护项目。</w:t>
                  </w:r>
                </w:p>
                <w:p>
                  <w:pPr>
                    <w:pStyle w:val="63"/>
                    <w:jc w:val="both"/>
                  </w:pPr>
                  <w:r>
                    <w:t>9</w:t>
                  </w:r>
                  <w:r>
                    <w:rPr>
                      <w:rFonts w:hint="eastAsia"/>
                    </w:rPr>
                    <w:t>项目为污水处理厂，属于有利于生态环境保护项目。</w:t>
                  </w:r>
                </w:p>
                <w:p>
                  <w:pPr>
                    <w:pStyle w:val="63"/>
                    <w:jc w:val="both"/>
                  </w:pPr>
                </w:p>
              </w:tc>
              <w:tc>
                <w:tcPr>
                  <w:tcW w:w="1175"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383" w:type="dxa"/>
                  <w:gridSpan w:val="2"/>
                  <w:shd w:val="clear" w:color="auto" w:fill="auto"/>
                  <w:vAlign w:val="center"/>
                </w:tcPr>
                <w:p>
                  <w:pPr>
                    <w:pStyle w:val="63"/>
                    <w:jc w:val="both"/>
                  </w:pPr>
                  <w:r>
                    <w:t>二、限制准入类</w:t>
                  </w:r>
                </w:p>
              </w:tc>
              <w:tc>
                <w:tcPr>
                  <w:tcW w:w="1175"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7" w:type="dxa"/>
                  <w:shd w:val="clear" w:color="auto" w:fill="auto"/>
                  <w:vAlign w:val="center"/>
                </w:tcPr>
                <w:p>
                  <w:pPr>
                    <w:pStyle w:val="63"/>
                    <w:jc w:val="both"/>
                  </w:pPr>
                  <w:r>
                    <w:t>（一）全市范围内限制准入的产业</w:t>
                  </w:r>
                </w:p>
                <w:p>
                  <w:pPr>
                    <w:pStyle w:val="63"/>
                    <w:jc w:val="both"/>
                  </w:pPr>
                  <w:r>
                    <w:t>1．新建、扩建不符合国家产能置换要求的严重过剩产能行业的项目。新建、扩建不符合要求的高耗能高排放项目。</w:t>
                  </w:r>
                </w:p>
                <w:p>
                  <w:pPr>
                    <w:pStyle w:val="63"/>
                    <w:jc w:val="both"/>
                  </w:pPr>
                  <w:r>
                    <w:t>2．新建、扩建不符合国家石化、现代煤化工等产业布局规划的项目。</w:t>
                  </w:r>
                </w:p>
                <w:p>
                  <w:pPr>
                    <w:pStyle w:val="63"/>
                    <w:jc w:val="both"/>
                  </w:pPr>
                  <w:r>
                    <w:t>3．在合规园区外新建、扩建钢铁、石化、化工、焦化、建材、有色、制浆造纸等高污染项目。</w:t>
                  </w:r>
                </w:p>
                <w:p>
                  <w:pPr>
                    <w:pStyle w:val="63"/>
                    <w:jc w:val="both"/>
                  </w:pPr>
                  <w:r>
                    <w:t>4．《汽车产业投资管理规定》（国家发展和改革委员会令第22号）明确禁止建设的汽车投资项目。</w:t>
                  </w:r>
                </w:p>
              </w:tc>
              <w:tc>
                <w:tcPr>
                  <w:tcW w:w="3436" w:type="dxa"/>
                  <w:shd w:val="clear" w:color="auto" w:fill="auto"/>
                  <w:vAlign w:val="center"/>
                </w:tcPr>
                <w:p>
                  <w:pPr>
                    <w:pStyle w:val="63"/>
                    <w:jc w:val="both"/>
                  </w:pPr>
                  <w:r>
                    <w:t>1</w:t>
                  </w:r>
                  <w:r>
                    <w:rPr>
                      <w:rFonts w:hint="eastAsia"/>
                    </w:rPr>
                    <w:t>项目</w:t>
                  </w:r>
                  <w:r>
                    <w:t>不属于国家产能置换要求的严重过剩产能行业的项目</w:t>
                  </w:r>
                  <w:r>
                    <w:rPr>
                      <w:rFonts w:hint="eastAsia"/>
                    </w:rPr>
                    <w:t>、高耗能、高排放项目</w:t>
                  </w:r>
                  <w:r>
                    <w:t>。</w:t>
                  </w:r>
                </w:p>
                <w:p>
                  <w:pPr>
                    <w:pStyle w:val="63"/>
                    <w:jc w:val="both"/>
                  </w:pPr>
                  <w:r>
                    <w:t>2</w:t>
                  </w:r>
                  <w:r>
                    <w:rPr>
                      <w:rFonts w:hint="eastAsia"/>
                    </w:rPr>
                    <w:t>项目</w:t>
                  </w:r>
                  <w:r>
                    <w:t>不属于石化、现代煤化工等下项目。</w:t>
                  </w:r>
                </w:p>
                <w:p>
                  <w:pPr>
                    <w:pStyle w:val="63"/>
                    <w:jc w:val="both"/>
                  </w:pPr>
                  <w:r>
                    <w:t>3</w:t>
                  </w:r>
                  <w:r>
                    <w:rPr>
                      <w:rFonts w:hint="eastAsia"/>
                    </w:rPr>
                    <w:t>项目</w:t>
                  </w:r>
                  <w:r>
                    <w:t>不属于钢铁、石化、化工、焦化、有色、制浆造纸等高污染项目。</w:t>
                  </w:r>
                </w:p>
                <w:p>
                  <w:pPr>
                    <w:pStyle w:val="63"/>
                    <w:jc w:val="both"/>
                  </w:pPr>
                  <w:r>
                    <w:t>4</w:t>
                  </w:r>
                  <w:r>
                    <w:rPr>
                      <w:rFonts w:hint="eastAsia"/>
                    </w:rPr>
                    <w:t>项目</w:t>
                  </w:r>
                  <w:r>
                    <w:t>不属于汽车投资项目。</w:t>
                  </w:r>
                </w:p>
                <w:p>
                  <w:pPr>
                    <w:pStyle w:val="63"/>
                    <w:jc w:val="both"/>
                  </w:pPr>
                </w:p>
              </w:tc>
              <w:tc>
                <w:tcPr>
                  <w:tcW w:w="1175"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947" w:type="dxa"/>
                  <w:shd w:val="clear" w:color="auto" w:fill="auto"/>
                  <w:vAlign w:val="center"/>
                </w:tcPr>
                <w:p>
                  <w:pPr>
                    <w:pStyle w:val="63"/>
                    <w:jc w:val="both"/>
                  </w:pPr>
                  <w:r>
                    <w:t>（二）重点区域范围内限制准入的产业</w:t>
                  </w:r>
                </w:p>
                <w:p>
                  <w:pPr>
                    <w:pStyle w:val="63"/>
                    <w:jc w:val="both"/>
                  </w:pPr>
                  <w:r>
                    <w:t>1．长江干支流、重要湖泊岸线1公里范围内新建、扩建化工园区和化工项目，长江、嘉陵江、乌江岸线1公里范围内布局新建纸浆制造、印染等存在环境风险的项目。</w:t>
                  </w:r>
                </w:p>
                <w:p>
                  <w:pPr>
                    <w:pStyle w:val="63"/>
                    <w:jc w:val="both"/>
                  </w:pPr>
                  <w:r>
                    <w:t>2．在水产种质资源保护区的岸线和河段范围内新建围湖造田等投资建设项目。</w:t>
                  </w:r>
                </w:p>
              </w:tc>
              <w:tc>
                <w:tcPr>
                  <w:tcW w:w="3436" w:type="dxa"/>
                  <w:shd w:val="clear" w:color="auto" w:fill="auto"/>
                  <w:vAlign w:val="center"/>
                </w:tcPr>
                <w:p>
                  <w:pPr>
                    <w:pStyle w:val="63"/>
                    <w:jc w:val="both"/>
                  </w:pPr>
                  <w:r>
                    <w:t>1</w:t>
                  </w:r>
                  <w:r>
                    <w:rPr>
                      <w:rFonts w:hint="eastAsia"/>
                    </w:rPr>
                    <w:t>项目</w:t>
                  </w:r>
                  <w:r>
                    <w:t>不属于化工、纸浆制造、印染等存在环境风险的项目。</w:t>
                  </w:r>
                </w:p>
                <w:p>
                  <w:pPr>
                    <w:pStyle w:val="63"/>
                    <w:jc w:val="both"/>
                  </w:pPr>
                  <w:r>
                    <w:t>2</w:t>
                  </w:r>
                  <w:r>
                    <w:rPr>
                      <w:rFonts w:hint="eastAsia"/>
                    </w:rPr>
                    <w:t>项目</w:t>
                  </w:r>
                  <w:r>
                    <w:t>不涉及水产种质资源保护区的岸线和河段范围。</w:t>
                  </w:r>
                </w:p>
                <w:p>
                  <w:pPr>
                    <w:pStyle w:val="63"/>
                    <w:jc w:val="both"/>
                  </w:pPr>
                </w:p>
              </w:tc>
              <w:tc>
                <w:tcPr>
                  <w:tcW w:w="1175" w:type="dxa"/>
                  <w:vAlign w:val="center"/>
                </w:tcPr>
                <w:p>
                  <w:pPr>
                    <w:pStyle w:val="63"/>
                  </w:pPr>
                  <w:r>
                    <w:rPr>
                      <w:rFonts w:hint="eastAsia"/>
                    </w:rPr>
                    <w:t>符合</w:t>
                  </w:r>
                </w:p>
              </w:tc>
            </w:tr>
          </w:tbl>
          <w:p/>
          <w:p>
            <w:pPr>
              <w:pStyle w:val="5"/>
              <w:ind w:firstLine="480"/>
            </w:pPr>
            <w:bookmarkStart w:id="8" w:name="_Ref134178441"/>
            <w:r>
              <w:rPr>
                <w:rFonts w:hint="eastAsia"/>
              </w:rPr>
              <w:t>（4）</w:t>
            </w:r>
            <w:r>
              <w:t>与《中华人民共和国长江保护法》符合性分析</w:t>
            </w:r>
          </w:p>
          <w:p>
            <w:pPr>
              <w:pStyle w:val="5"/>
              <w:ind w:firstLine="480"/>
            </w:pPr>
            <w:r>
              <w:t>项目与《中华人民共和国长江保护法》（2021年3月1日起施行）符合性见</w:t>
            </w:r>
            <w:r>
              <w:fldChar w:fldCharType="begin"/>
            </w:r>
            <w:r>
              <w:instrText xml:space="preserve"> REF _Ref173485786 \h </w:instrText>
            </w:r>
            <w:r>
              <w:fldChar w:fldCharType="separate"/>
            </w:r>
            <w:r>
              <w:rPr>
                <w:rFonts w:hint="eastAsia"/>
              </w:rPr>
              <w:t xml:space="preserve">表 </w:t>
            </w:r>
            <w:r>
              <w:t>1.2</w:t>
            </w:r>
            <w:r>
              <w:noBreakHyphen/>
            </w:r>
            <w:r>
              <w:t>4</w:t>
            </w:r>
            <w:r>
              <w:fldChar w:fldCharType="end"/>
            </w:r>
            <w:r>
              <w:t>。根据分析可知，项目满足《中华人民共和国长江保护法》要求。</w:t>
            </w:r>
          </w:p>
          <w:p>
            <w:pPr>
              <w:pStyle w:val="14"/>
              <w:keepNext/>
            </w:pPr>
            <w:bookmarkStart w:id="9" w:name="_Ref173485786"/>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8"/>
            <w:bookmarkEnd w:id="9"/>
            <w:r>
              <w:t xml:space="preserve">   </w:t>
            </w:r>
            <w:r>
              <w:rPr>
                <w:rFonts w:hint="eastAsia"/>
              </w:rPr>
              <w:t>工程与《中华人民共和国长江保护法》符合性分析</w:t>
            </w:r>
          </w:p>
          <w:tbl>
            <w:tblPr>
              <w:tblStyle w:val="38"/>
              <w:tblW w:w="75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935"/>
              <w:gridCol w:w="243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20" w:hRule="atLeast"/>
                <w:jc w:val="center"/>
              </w:trPr>
              <w:tc>
                <w:tcPr>
                  <w:tcW w:w="426" w:type="dxa"/>
                  <w:vAlign w:val="center"/>
                </w:tcPr>
                <w:p>
                  <w:pPr>
                    <w:jc w:val="center"/>
                    <w:rPr>
                      <w:rFonts w:cs="Times New Roman"/>
                      <w:bCs/>
                      <w:szCs w:val="21"/>
                    </w:rPr>
                  </w:pPr>
                  <w:r>
                    <w:rPr>
                      <w:rFonts w:cs="Times New Roman"/>
                      <w:bCs/>
                      <w:szCs w:val="21"/>
                    </w:rPr>
                    <w:t>序号</w:t>
                  </w:r>
                </w:p>
              </w:tc>
              <w:tc>
                <w:tcPr>
                  <w:tcW w:w="3935" w:type="dxa"/>
                  <w:vAlign w:val="center"/>
                </w:tcPr>
                <w:p>
                  <w:pPr>
                    <w:pStyle w:val="63"/>
                  </w:pPr>
                  <w:r>
                    <w:t>相关规定</w:t>
                  </w:r>
                </w:p>
              </w:tc>
              <w:tc>
                <w:tcPr>
                  <w:tcW w:w="2432" w:type="dxa"/>
                  <w:vAlign w:val="center"/>
                </w:tcPr>
                <w:p>
                  <w:pPr>
                    <w:pStyle w:val="63"/>
                  </w:pPr>
                  <w:r>
                    <w:t>符合性分析</w:t>
                  </w:r>
                </w:p>
              </w:tc>
              <w:tc>
                <w:tcPr>
                  <w:tcW w:w="765" w:type="dxa"/>
                </w:tcPr>
                <w:p>
                  <w:pPr>
                    <w:pStyle w:val="63"/>
                  </w:pPr>
                  <w:r>
                    <w:rPr>
                      <w:rFonts w:hint="eastAsia"/>
                    </w:rPr>
                    <w:t>是否</w:t>
                  </w:r>
                </w:p>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jc w:val="center"/>
                    <w:rPr>
                      <w:rFonts w:cs="Times New Roman"/>
                      <w:bCs/>
                      <w:szCs w:val="21"/>
                    </w:rPr>
                  </w:pPr>
                  <w:r>
                    <w:rPr>
                      <w:rFonts w:hint="eastAsia" w:cs="Times New Roman"/>
                      <w:bCs/>
                      <w:szCs w:val="21"/>
                    </w:rPr>
                    <w:t>1</w:t>
                  </w:r>
                </w:p>
              </w:tc>
              <w:tc>
                <w:tcPr>
                  <w:tcW w:w="3935" w:type="dxa"/>
                  <w:vAlign w:val="center"/>
                </w:tcPr>
                <w:p>
                  <w:pPr>
                    <w:jc w:val="both"/>
                    <w:rPr>
                      <w:rFonts w:cs="Times New Roman"/>
                      <w:bCs/>
                      <w:szCs w:val="21"/>
                    </w:rPr>
                  </w:pPr>
                  <w:r>
                    <w:rPr>
                      <w:rFonts w:hint="eastAsia" w:cs="Times New Roman"/>
                      <w:bCs/>
                      <w:szCs w:val="21"/>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2432" w:type="dxa"/>
                  <w:vAlign w:val="center"/>
                </w:tcPr>
                <w:p>
                  <w:pPr>
                    <w:jc w:val="center"/>
                    <w:rPr>
                      <w:rFonts w:cs="Times New Roman"/>
                      <w:bCs/>
                      <w:szCs w:val="21"/>
                    </w:rPr>
                  </w:pPr>
                  <w:r>
                    <w:rPr>
                      <w:rFonts w:hint="eastAsia" w:cs="Times New Roman"/>
                      <w:bCs/>
                      <w:szCs w:val="21"/>
                    </w:rPr>
                    <w:t>项目为污水处理厂，属于基础设施建设，属于有利于生态环境保护项目，不属于对生态系统有严重影响产业和重污染企业项目</w:t>
                  </w:r>
                </w:p>
              </w:tc>
              <w:tc>
                <w:tcPr>
                  <w:tcW w:w="765" w:type="dxa"/>
                  <w:vAlign w:val="center"/>
                </w:tcPr>
                <w:p>
                  <w:pPr>
                    <w:jc w:val="center"/>
                    <w:rPr>
                      <w:rFonts w:cs="Times New Roman"/>
                      <w:bCs/>
                      <w:szCs w:val="21"/>
                    </w:rPr>
                  </w:pPr>
                  <w:r>
                    <w:rPr>
                      <w:rFonts w:hint="eastAsia" w:cs="Times New Roman"/>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jc w:val="center"/>
                    <w:rPr>
                      <w:rFonts w:cs="Times New Roman"/>
                      <w:bCs/>
                      <w:szCs w:val="21"/>
                    </w:rPr>
                  </w:pPr>
                  <w:r>
                    <w:rPr>
                      <w:rFonts w:cs="Times New Roman"/>
                      <w:bCs/>
                      <w:szCs w:val="21"/>
                    </w:rPr>
                    <w:t>2</w:t>
                  </w:r>
                </w:p>
              </w:tc>
              <w:tc>
                <w:tcPr>
                  <w:tcW w:w="3935" w:type="dxa"/>
                  <w:vAlign w:val="center"/>
                </w:tcPr>
                <w:p>
                  <w:pPr>
                    <w:jc w:val="both"/>
                    <w:rPr>
                      <w:rFonts w:cs="Times New Roman"/>
                      <w:bCs/>
                      <w:szCs w:val="21"/>
                    </w:rPr>
                  </w:pPr>
                  <w:r>
                    <w:rPr>
                      <w:rFonts w:cs="Times New Roman"/>
                      <w:bCs/>
                      <w:szCs w:val="21"/>
                    </w:rPr>
                    <w:t>第二十六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扩建、扩建尾矿库；但是以提升安全、生态环境保护水平为目的的改扩建除外。</w:t>
                  </w:r>
                </w:p>
              </w:tc>
              <w:tc>
                <w:tcPr>
                  <w:tcW w:w="2432" w:type="dxa"/>
                  <w:vAlign w:val="center"/>
                </w:tcPr>
                <w:p>
                  <w:pPr>
                    <w:jc w:val="center"/>
                    <w:rPr>
                      <w:rFonts w:cs="Times New Roman"/>
                      <w:bCs/>
                      <w:szCs w:val="21"/>
                    </w:rPr>
                  </w:pPr>
                  <w:r>
                    <w:rPr>
                      <w:rFonts w:cs="Times New Roman"/>
                      <w:bCs/>
                      <w:szCs w:val="21"/>
                    </w:rPr>
                    <w:t>项目不属于化工项目</w:t>
                  </w:r>
                </w:p>
              </w:tc>
              <w:tc>
                <w:tcPr>
                  <w:tcW w:w="765" w:type="dxa"/>
                  <w:vAlign w:val="center"/>
                </w:tcPr>
                <w:p>
                  <w:pPr>
                    <w:jc w:val="center"/>
                    <w:rPr>
                      <w:rFonts w:cs="Times New Roman"/>
                      <w:bCs/>
                      <w:szCs w:val="21"/>
                    </w:rPr>
                  </w:pPr>
                  <w:r>
                    <w:rPr>
                      <w:rFonts w:hint="eastAsia" w:cs="Times New Roman"/>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jc w:val="center"/>
                    <w:rPr>
                      <w:rFonts w:cs="Times New Roman"/>
                      <w:bCs/>
                      <w:szCs w:val="21"/>
                    </w:rPr>
                  </w:pPr>
                  <w:r>
                    <w:rPr>
                      <w:rFonts w:hint="eastAsia" w:cs="Times New Roman"/>
                      <w:bCs/>
                      <w:szCs w:val="21"/>
                    </w:rPr>
                    <w:t>3</w:t>
                  </w:r>
                </w:p>
              </w:tc>
              <w:tc>
                <w:tcPr>
                  <w:tcW w:w="3935" w:type="dxa"/>
                  <w:vAlign w:val="center"/>
                </w:tcPr>
                <w:p>
                  <w:pPr>
                    <w:jc w:val="both"/>
                    <w:rPr>
                      <w:rFonts w:cs="Times New Roman"/>
                      <w:bCs/>
                      <w:szCs w:val="21"/>
                    </w:rPr>
                  </w:pPr>
                  <w:r>
                    <w:rPr>
                      <w:rFonts w:hint="eastAsia" w:cs="Times New Roman"/>
                      <w:bCs/>
                      <w:szCs w:val="21"/>
                    </w:rPr>
                    <w:t>第二十七条　·····禁止船舶在划定的禁止航行区域内航行。·····</w:t>
                  </w:r>
                </w:p>
              </w:tc>
              <w:tc>
                <w:tcPr>
                  <w:tcW w:w="2432" w:type="dxa"/>
                  <w:vAlign w:val="center"/>
                </w:tcPr>
                <w:p>
                  <w:pPr>
                    <w:jc w:val="center"/>
                    <w:rPr>
                      <w:rFonts w:cs="Times New Roman"/>
                      <w:bCs/>
                      <w:szCs w:val="21"/>
                    </w:rPr>
                  </w:pPr>
                  <w:r>
                    <w:rPr>
                      <w:rFonts w:hint="eastAsia" w:cs="Times New Roman"/>
                      <w:bCs/>
                      <w:szCs w:val="21"/>
                    </w:rPr>
                    <w:t>项目不涉及船舶航行。</w:t>
                  </w:r>
                </w:p>
              </w:tc>
              <w:tc>
                <w:tcPr>
                  <w:tcW w:w="765" w:type="dxa"/>
                  <w:vAlign w:val="center"/>
                </w:tcPr>
                <w:p>
                  <w:pPr>
                    <w:jc w:val="center"/>
                    <w:rPr>
                      <w:rFonts w:cs="Times New Roman"/>
                      <w:bCs/>
                      <w:szCs w:val="21"/>
                    </w:rPr>
                  </w:pPr>
                  <w:r>
                    <w:rPr>
                      <w:rFonts w:hint="eastAsia" w:cs="Times New Roman"/>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26" w:type="dxa"/>
                  <w:vAlign w:val="center"/>
                </w:tcPr>
                <w:p>
                  <w:pPr>
                    <w:jc w:val="center"/>
                    <w:rPr>
                      <w:rFonts w:cs="Times New Roman"/>
                      <w:bCs/>
                      <w:szCs w:val="21"/>
                    </w:rPr>
                  </w:pPr>
                  <w:r>
                    <w:rPr>
                      <w:rFonts w:hint="eastAsia" w:cs="Times New Roman"/>
                      <w:bCs/>
                      <w:szCs w:val="21"/>
                    </w:rPr>
                    <w:t>4</w:t>
                  </w:r>
                </w:p>
              </w:tc>
              <w:tc>
                <w:tcPr>
                  <w:tcW w:w="3935" w:type="dxa"/>
                  <w:vAlign w:val="center"/>
                </w:tcPr>
                <w:p>
                  <w:pPr>
                    <w:jc w:val="both"/>
                    <w:rPr>
                      <w:rFonts w:cs="Times New Roman"/>
                      <w:bCs/>
                      <w:szCs w:val="21"/>
                    </w:rPr>
                  </w:pPr>
                  <w:r>
                    <w:rPr>
                      <w:rFonts w:hint="eastAsia" w:cs="Times New Roman"/>
                      <w:bCs/>
                      <w:szCs w:val="21"/>
                    </w:rPr>
                    <w:t>第二十九条　长江流域水资源保护与利用，应当根据流域综合规划，优先满足城乡居民生活用水，保障基本生态用水，并统筹农业、工业用水以及航运等需要。</w:t>
                  </w:r>
                </w:p>
              </w:tc>
              <w:tc>
                <w:tcPr>
                  <w:tcW w:w="2432" w:type="dxa"/>
                  <w:vAlign w:val="center"/>
                </w:tcPr>
                <w:p>
                  <w:pPr>
                    <w:jc w:val="center"/>
                    <w:rPr>
                      <w:rFonts w:cs="Times New Roman"/>
                      <w:bCs/>
                      <w:szCs w:val="21"/>
                    </w:rPr>
                  </w:pPr>
                  <w:r>
                    <w:rPr>
                      <w:rFonts w:hint="eastAsia" w:cs="Times New Roman"/>
                      <w:bCs/>
                      <w:szCs w:val="21"/>
                    </w:rPr>
                    <w:t>项目为规划高铁生态城新兴产业集聚区污水处理厂，属于基础设施建设，项目实施可减少区域生产废水和生活污水排入周围水体污染物量，属于有利于水资源保护项目</w:t>
                  </w:r>
                </w:p>
              </w:tc>
              <w:tc>
                <w:tcPr>
                  <w:tcW w:w="765" w:type="dxa"/>
                  <w:vAlign w:val="center"/>
                </w:tcPr>
                <w:p>
                  <w:pPr>
                    <w:jc w:val="center"/>
                    <w:rPr>
                      <w:rFonts w:cs="Times New Roman"/>
                      <w:bCs/>
                      <w:szCs w:val="21"/>
                    </w:rPr>
                  </w:pPr>
                  <w:r>
                    <w:rPr>
                      <w:rFonts w:hint="eastAsia" w:cs="Times New Roman"/>
                      <w:bCs/>
                      <w:szCs w:val="21"/>
                    </w:rPr>
                    <w:t>符合</w:t>
                  </w:r>
                </w:p>
              </w:tc>
            </w:tr>
          </w:tbl>
          <w:p/>
          <w:p>
            <w:pPr>
              <w:pStyle w:val="6"/>
              <w:spacing w:before="120" w:after="120"/>
            </w:pPr>
            <w:r>
              <w:rPr>
                <w:rFonts w:hint="eastAsia"/>
              </w:rPr>
              <w:t>与《重庆市水污染防治条例》（2020年）符合性分析</w:t>
            </w:r>
          </w:p>
          <w:p>
            <w:pPr>
              <w:pStyle w:val="5"/>
              <w:ind w:firstLine="480"/>
            </w:pPr>
            <w:r>
              <w:rPr>
                <w:rFonts w:hint="eastAsia"/>
              </w:rPr>
              <w:t>项目与《重庆市水污染防治条例》符合性分析见</w:t>
            </w:r>
            <w:r>
              <w:fldChar w:fldCharType="begin"/>
            </w:r>
            <w:r>
              <w:instrText xml:space="preserve"> </w:instrText>
            </w:r>
            <w:r>
              <w:rPr>
                <w:rFonts w:hint="eastAsia"/>
              </w:rPr>
              <w:instrText xml:space="preserve">REF _Ref133579452 \h</w:instrText>
            </w:r>
            <w:r>
              <w:instrText xml:space="preserve"> </w:instrText>
            </w:r>
            <w:r>
              <w:fldChar w:fldCharType="separate"/>
            </w:r>
            <w:r>
              <w:rPr>
                <w:rFonts w:hint="eastAsia"/>
              </w:rPr>
              <w:t xml:space="preserve">表 </w:t>
            </w:r>
            <w:r>
              <w:t>1.2</w:t>
            </w:r>
            <w:r>
              <w:noBreakHyphen/>
            </w:r>
            <w:r>
              <w:t>5</w:t>
            </w:r>
            <w:r>
              <w:fldChar w:fldCharType="end"/>
            </w:r>
            <w:r>
              <w:rPr>
                <w:rFonts w:hint="eastAsia"/>
              </w:rPr>
              <w:t>。根据下表分析，项目符合《重庆市水污染防治条例》要求。</w:t>
            </w:r>
          </w:p>
          <w:p>
            <w:pPr>
              <w:pStyle w:val="14"/>
              <w:keepNext/>
            </w:pPr>
            <w:bookmarkStart w:id="10" w:name="_Ref133579452"/>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bookmarkEnd w:id="10"/>
            <w:r>
              <w:t xml:space="preserve">   </w:t>
            </w:r>
            <w:r>
              <w:rPr>
                <w:rFonts w:hint="eastAsia"/>
              </w:rPr>
              <w:t>工程与《重庆市水污染防治条例》符合性分析</w:t>
            </w:r>
          </w:p>
          <w:tbl>
            <w:tblPr>
              <w:tblStyle w:val="39"/>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4819"/>
              <w:gridCol w:w="1246"/>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0" w:type="dxa"/>
                  <w:vAlign w:val="center"/>
                </w:tcPr>
                <w:p>
                  <w:pPr>
                    <w:pStyle w:val="63"/>
                  </w:pPr>
                  <w:r>
                    <w:rPr>
                      <w:rFonts w:hint="eastAsia"/>
                    </w:rPr>
                    <w:t>序号</w:t>
                  </w:r>
                </w:p>
              </w:tc>
              <w:tc>
                <w:tcPr>
                  <w:tcW w:w="4819" w:type="dxa"/>
                  <w:vAlign w:val="center"/>
                </w:tcPr>
                <w:p>
                  <w:pPr>
                    <w:pStyle w:val="63"/>
                  </w:pPr>
                  <w:r>
                    <w:rPr>
                      <w:rFonts w:hint="eastAsia"/>
                    </w:rPr>
                    <w:t>《重庆市水污染防治条例》</w:t>
                  </w:r>
                </w:p>
              </w:tc>
              <w:tc>
                <w:tcPr>
                  <w:tcW w:w="1246" w:type="dxa"/>
                  <w:vAlign w:val="center"/>
                </w:tcPr>
                <w:p>
                  <w:pPr>
                    <w:pStyle w:val="63"/>
                  </w:pPr>
                  <w:r>
                    <w:rPr>
                      <w:rFonts w:hint="eastAsia"/>
                    </w:rPr>
                    <w:t>符合性分析</w:t>
                  </w:r>
                </w:p>
              </w:tc>
              <w:tc>
                <w:tcPr>
                  <w:tcW w:w="1101" w:type="dxa"/>
                  <w:vAlign w:val="center"/>
                </w:tcPr>
                <w:p>
                  <w:pPr>
                    <w:pStyle w:val="63"/>
                  </w:pPr>
                  <w:r>
                    <w:rPr>
                      <w:rFonts w:hint="eastAsia"/>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30" w:type="dxa"/>
                  <w:vAlign w:val="center"/>
                </w:tcPr>
                <w:p>
                  <w:pPr>
                    <w:pStyle w:val="63"/>
                  </w:pPr>
                  <w:r>
                    <w:rPr>
                      <w:rFonts w:hint="eastAsia"/>
                    </w:rPr>
                    <w:t>1</w:t>
                  </w:r>
                </w:p>
              </w:tc>
              <w:tc>
                <w:tcPr>
                  <w:tcW w:w="4819" w:type="dxa"/>
                  <w:vAlign w:val="center"/>
                </w:tcPr>
                <w:p>
                  <w:pPr>
                    <w:pStyle w:val="63"/>
                    <w:jc w:val="left"/>
                  </w:pPr>
                  <w:r>
                    <w:rPr>
                      <w:rFonts w:hint="eastAsia"/>
                    </w:rPr>
                    <w:t>第五十二条 在饮用水水源准保护区内禁止下列行为：</w:t>
                  </w:r>
                </w:p>
                <w:p>
                  <w:pPr>
                    <w:pStyle w:val="63"/>
                    <w:jc w:val="left"/>
                  </w:pPr>
                  <w:r>
                    <w:rPr>
                      <w:rFonts w:hint="eastAsia"/>
                    </w:rPr>
                    <w:t>（一）设置排污口；</w:t>
                  </w:r>
                </w:p>
                <w:p>
                  <w:pPr>
                    <w:pStyle w:val="63"/>
                    <w:jc w:val="left"/>
                  </w:pPr>
                  <w:r>
                    <w:rPr>
                      <w:rFonts w:hint="eastAsia"/>
                    </w:rPr>
                    <w:t>（二）新建、扩建对水体污染严重的建设项目，改建增加排污量的建设项目；</w:t>
                  </w:r>
                </w:p>
                <w:p>
                  <w:pPr>
                    <w:pStyle w:val="63"/>
                    <w:jc w:val="left"/>
                  </w:pPr>
                  <w:r>
                    <w:rPr>
                      <w:rFonts w:hint="eastAsia"/>
                    </w:rPr>
                    <w:t>（三）堆放、存贮可能造成水体污染的物品；</w:t>
                  </w:r>
                </w:p>
                <w:p>
                  <w:pPr>
                    <w:pStyle w:val="63"/>
                    <w:jc w:val="left"/>
                  </w:pPr>
                  <w:r>
                    <w:rPr>
                      <w:rFonts w:hint="eastAsia"/>
                    </w:rPr>
                    <w:t>（四）违反法律、法规规定的其他行为。</w:t>
                  </w:r>
                </w:p>
              </w:tc>
              <w:tc>
                <w:tcPr>
                  <w:tcW w:w="1246" w:type="dxa"/>
                  <w:vMerge w:val="restart"/>
                  <w:vAlign w:val="center"/>
                </w:tcPr>
                <w:p>
                  <w:pPr>
                    <w:pStyle w:val="63"/>
                  </w:pPr>
                  <w:r>
                    <w:rPr>
                      <w:rFonts w:hint="eastAsia"/>
                    </w:rPr>
                    <w:t>本工程不涉及饮用水源保护区</w:t>
                  </w:r>
                </w:p>
              </w:tc>
              <w:tc>
                <w:tcPr>
                  <w:tcW w:w="110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0" w:type="dxa"/>
                  <w:vAlign w:val="center"/>
                </w:tcPr>
                <w:p>
                  <w:pPr>
                    <w:pStyle w:val="63"/>
                  </w:pPr>
                  <w:r>
                    <w:rPr>
                      <w:rFonts w:hint="eastAsia"/>
                    </w:rPr>
                    <w:t>2</w:t>
                  </w:r>
                </w:p>
              </w:tc>
              <w:tc>
                <w:tcPr>
                  <w:tcW w:w="4819" w:type="dxa"/>
                  <w:vAlign w:val="center"/>
                </w:tcPr>
                <w:p>
                  <w:pPr>
                    <w:pStyle w:val="63"/>
                    <w:jc w:val="left"/>
                  </w:pPr>
                  <w:r>
                    <w:rPr>
                      <w:rFonts w:hint="eastAsia"/>
                    </w:rPr>
                    <w:t>第五十三条 在饮用水水源二级保护区内，除遵守准保护区管理规定外，还应当禁止下列行为：</w:t>
                  </w:r>
                </w:p>
                <w:p>
                  <w:pPr>
                    <w:pStyle w:val="63"/>
                    <w:jc w:val="left"/>
                  </w:pPr>
                  <w:r>
                    <w:rPr>
                      <w:rFonts w:hint="eastAsia"/>
                    </w:rPr>
                    <w:t>（一）新建、改建、扩建排放污染物的建设项目 ；</w:t>
                  </w:r>
                </w:p>
                <w:p>
                  <w:pPr>
                    <w:pStyle w:val="63"/>
                    <w:jc w:val="left"/>
                  </w:pPr>
                  <w:r>
                    <w:rPr>
                      <w:rFonts w:hint="eastAsia"/>
                    </w:rPr>
                    <w:t>（二）设置从事危险化学品、煤炭、矿砂、水泥等装卸作业的货运码头、建筑物、构筑物；</w:t>
                  </w:r>
                </w:p>
                <w:p>
                  <w:pPr>
                    <w:pStyle w:val="63"/>
                    <w:jc w:val="left"/>
                  </w:pPr>
                  <w:r>
                    <w:rPr>
                      <w:rFonts w:hint="eastAsia"/>
                    </w:rPr>
                    <w:t>（三）设置水上经营性餐饮、娱乐设施；</w:t>
                  </w:r>
                </w:p>
                <w:p>
                  <w:pPr>
                    <w:pStyle w:val="63"/>
                    <w:jc w:val="left"/>
                  </w:pPr>
                  <w:r>
                    <w:rPr>
                      <w:rFonts w:hint="eastAsia"/>
                    </w:rPr>
                    <w:t>（四）从事采砂、对水体有污染的水产养殖、放养畜禽等活动；</w:t>
                  </w:r>
                </w:p>
                <w:p>
                  <w:pPr>
                    <w:pStyle w:val="63"/>
                    <w:jc w:val="left"/>
                  </w:pPr>
                  <w:r>
                    <w:rPr>
                      <w:rFonts w:hint="eastAsia"/>
                    </w:rPr>
                    <w:t>（五）新增使用农药、化肥的农业种植和经济林。</w:t>
                  </w:r>
                </w:p>
              </w:tc>
              <w:tc>
                <w:tcPr>
                  <w:tcW w:w="1246" w:type="dxa"/>
                  <w:vMerge w:val="continue"/>
                  <w:vAlign w:val="center"/>
                </w:tcPr>
                <w:p>
                  <w:pPr>
                    <w:pStyle w:val="63"/>
                  </w:pPr>
                </w:p>
              </w:tc>
              <w:tc>
                <w:tcPr>
                  <w:tcW w:w="110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430" w:type="dxa"/>
                  <w:vAlign w:val="center"/>
                </w:tcPr>
                <w:p>
                  <w:pPr>
                    <w:pStyle w:val="63"/>
                  </w:pPr>
                  <w:r>
                    <w:rPr>
                      <w:rFonts w:hint="eastAsia"/>
                    </w:rPr>
                    <w:t>3</w:t>
                  </w:r>
                </w:p>
              </w:tc>
              <w:tc>
                <w:tcPr>
                  <w:tcW w:w="4819" w:type="dxa"/>
                  <w:vAlign w:val="center"/>
                </w:tcPr>
                <w:p>
                  <w:pPr>
                    <w:pStyle w:val="63"/>
                    <w:jc w:val="left"/>
                  </w:pPr>
                  <w:r>
                    <w:rPr>
                      <w:rFonts w:hint="eastAsia"/>
                    </w:rPr>
                    <w:t>第五十四条 在饮用水水源一级保护区内，除遵守准保护区、二级保护区管理规定外，还应当禁止下列行为：</w:t>
                  </w:r>
                </w:p>
                <w:p>
                  <w:pPr>
                    <w:pStyle w:val="63"/>
                    <w:jc w:val="left"/>
                  </w:pPr>
                  <w:r>
                    <w:rPr>
                      <w:rFonts w:hint="eastAsia"/>
                    </w:rPr>
                    <w:t>（一）新建、改建、扩建与供水设施和保护水源无关的建设项目；</w:t>
                  </w:r>
                </w:p>
                <w:p>
                  <w:pPr>
                    <w:pStyle w:val="63"/>
                    <w:jc w:val="left"/>
                  </w:pPr>
                  <w:r>
                    <w:rPr>
                      <w:rFonts w:hint="eastAsia"/>
                    </w:rPr>
                    <w:t>（二）从事网箱养殖、旅游、游泳、垂钓或者其他可能污染饮用水水体的活动；</w:t>
                  </w:r>
                </w:p>
                <w:p>
                  <w:pPr>
                    <w:pStyle w:val="63"/>
                    <w:jc w:val="left"/>
                  </w:pPr>
                  <w:r>
                    <w:rPr>
                      <w:rFonts w:hint="eastAsia"/>
                    </w:rPr>
                    <w:t>（三）新增农业种植。</w:t>
                  </w:r>
                </w:p>
              </w:tc>
              <w:tc>
                <w:tcPr>
                  <w:tcW w:w="1246" w:type="dxa"/>
                  <w:vMerge w:val="continue"/>
                  <w:vAlign w:val="center"/>
                </w:tcPr>
                <w:p>
                  <w:pPr>
                    <w:pStyle w:val="63"/>
                  </w:pPr>
                </w:p>
              </w:tc>
              <w:tc>
                <w:tcPr>
                  <w:tcW w:w="1101" w:type="dxa"/>
                  <w:vAlign w:val="center"/>
                </w:tcPr>
                <w:p>
                  <w:pPr>
                    <w:pStyle w:val="63"/>
                  </w:pPr>
                  <w:r>
                    <w:rPr>
                      <w:rFonts w:hint="eastAsia"/>
                    </w:rPr>
                    <w:t>符合</w:t>
                  </w:r>
                </w:p>
              </w:tc>
            </w:tr>
          </w:tbl>
          <w:p/>
          <w:p>
            <w:pPr>
              <w:pStyle w:val="6"/>
              <w:spacing w:before="120" w:after="120"/>
            </w:pPr>
            <w:r>
              <w:rPr>
                <w:rFonts w:hint="eastAsia"/>
              </w:rPr>
              <w:t>项目与《推进污水处理减污降碳协同增效的实施意见》（发改环资〔</w:t>
            </w:r>
            <w:r>
              <w:t>2023〕1714号</w:t>
            </w:r>
            <w:r>
              <w:rPr>
                <w:rFonts w:hint="eastAsia"/>
              </w:rPr>
              <w:t>）符合性</w:t>
            </w:r>
          </w:p>
          <w:p>
            <w:pPr>
              <w:pStyle w:val="5"/>
              <w:ind w:firstLine="480"/>
            </w:pPr>
            <w:r>
              <w:rPr>
                <w:rFonts w:hint="eastAsia"/>
              </w:rPr>
              <w:t>项目与《推进污水处理减污降碳协同增效的实施意见》符合性分析见</w:t>
            </w:r>
            <w:r>
              <w:fldChar w:fldCharType="begin"/>
            </w:r>
            <w:r>
              <w:instrText xml:space="preserve"> </w:instrText>
            </w:r>
            <w:r>
              <w:rPr>
                <w:rFonts w:hint="eastAsia"/>
              </w:rPr>
              <w:instrText xml:space="preserve">REF _Ref169871919 \h</w:instrText>
            </w:r>
            <w:r>
              <w:instrText xml:space="preserve"> </w:instrText>
            </w:r>
            <w:r>
              <w:fldChar w:fldCharType="separate"/>
            </w:r>
            <w:r>
              <w:t>表 1.2</w:t>
            </w:r>
            <w:r>
              <w:noBreakHyphen/>
            </w:r>
            <w:r>
              <w:t>6</w:t>
            </w:r>
            <w:r>
              <w:fldChar w:fldCharType="end"/>
            </w:r>
            <w:r>
              <w:rPr>
                <w:rFonts w:hint="eastAsia"/>
              </w:rPr>
              <w:t>，根据分析项目满足发改环资〔</w:t>
            </w:r>
            <w:r>
              <w:t>2023〕1714号</w:t>
            </w:r>
            <w:r>
              <w:rPr>
                <w:rFonts w:hint="eastAsia"/>
              </w:rPr>
              <w:t>要求。</w:t>
            </w:r>
          </w:p>
          <w:p>
            <w:pPr>
              <w:pStyle w:val="14"/>
              <w:keepNext/>
            </w:pPr>
            <w:bookmarkStart w:id="11" w:name="_Ref169871919"/>
            <w:r>
              <w:t xml:space="preserve">表 </w:t>
            </w:r>
            <w:r>
              <w:fldChar w:fldCharType="begin"/>
            </w:r>
            <w:r>
              <w:instrText xml:space="preserve"> STYLEREF 2 \s </w:instrText>
            </w:r>
            <w:r>
              <w:fldChar w:fldCharType="separate"/>
            </w:r>
            <w:r>
              <w:t>1.2</w:t>
            </w:r>
            <w:r>
              <w:fldChar w:fldCharType="end"/>
            </w:r>
            <w:r>
              <w:noBreakHyphen/>
            </w:r>
            <w:r>
              <w:fldChar w:fldCharType="begin"/>
            </w:r>
            <w:r>
              <w:instrText xml:space="preserve"> SEQ 表 \* ARABIC \s 2 </w:instrText>
            </w:r>
            <w:r>
              <w:fldChar w:fldCharType="separate"/>
            </w:r>
            <w:r>
              <w:t>6</w:t>
            </w:r>
            <w:r>
              <w:fldChar w:fldCharType="end"/>
            </w:r>
            <w:bookmarkEnd w:id="11"/>
            <w:r>
              <w:rPr>
                <w:rFonts w:hint="eastAsia"/>
              </w:rPr>
              <w:t xml:space="preserve">   与《推进污水处理减污降碳协同增效的实施意见》符合性分析</w:t>
            </w:r>
          </w:p>
          <w:tbl>
            <w:tblPr>
              <w:tblStyle w:val="39"/>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3950"/>
              <w:gridCol w:w="2233"/>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2" w:type="dxa"/>
                  <w:vAlign w:val="center"/>
                </w:tcPr>
                <w:p>
                  <w:pPr>
                    <w:pStyle w:val="63"/>
                  </w:pPr>
                  <w:r>
                    <w:rPr>
                      <w:rFonts w:hint="eastAsia"/>
                    </w:rPr>
                    <w:t>序号</w:t>
                  </w:r>
                </w:p>
              </w:tc>
              <w:tc>
                <w:tcPr>
                  <w:tcW w:w="3950" w:type="dxa"/>
                  <w:vAlign w:val="center"/>
                </w:tcPr>
                <w:p>
                  <w:pPr>
                    <w:pStyle w:val="63"/>
                  </w:pPr>
                  <w:r>
                    <w:rPr>
                      <w:rFonts w:hint="eastAsia"/>
                    </w:rPr>
                    <w:t>发改环资〔</w:t>
                  </w:r>
                  <w:r>
                    <w:t>2023〕1714号</w:t>
                  </w:r>
                </w:p>
              </w:tc>
              <w:tc>
                <w:tcPr>
                  <w:tcW w:w="2233" w:type="dxa"/>
                  <w:vAlign w:val="center"/>
                </w:tcPr>
                <w:p>
                  <w:pPr>
                    <w:pStyle w:val="63"/>
                  </w:pPr>
                  <w:r>
                    <w:rPr>
                      <w:rFonts w:hint="eastAsia"/>
                    </w:rPr>
                    <w:t>本项目</w:t>
                  </w:r>
                </w:p>
              </w:tc>
              <w:tc>
                <w:tcPr>
                  <w:tcW w:w="771" w:type="dxa"/>
                  <w:vAlign w:val="center"/>
                </w:tcPr>
                <w:p>
                  <w:pPr>
                    <w:pStyle w:val="63"/>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2" w:type="dxa"/>
                  <w:vAlign w:val="center"/>
                </w:tcPr>
                <w:p>
                  <w:pPr>
                    <w:pStyle w:val="63"/>
                  </w:pPr>
                  <w:r>
                    <w:rPr>
                      <w:rFonts w:hint="eastAsia"/>
                    </w:rPr>
                    <w:t>1</w:t>
                  </w:r>
                </w:p>
              </w:tc>
              <w:tc>
                <w:tcPr>
                  <w:tcW w:w="3950" w:type="dxa"/>
                  <w:vAlign w:val="center"/>
                </w:tcPr>
                <w:p>
                  <w:pPr>
                    <w:pStyle w:val="63"/>
                    <w:jc w:val="left"/>
                  </w:pPr>
                  <w:r>
                    <w:rPr>
                      <w:rFonts w:hint="eastAsia"/>
                    </w:rPr>
                    <w:t>二、强化源头节水增效</w:t>
                  </w:r>
                </w:p>
                <w:p>
                  <w:pPr>
                    <w:pStyle w:val="63"/>
                    <w:jc w:val="left"/>
                  </w:pPr>
                  <w:r>
                    <w:rPr>
                      <w:rFonts w:hint="eastAsia"/>
                    </w:rPr>
                    <w:t>（二）提升污水收集效能。······合理规划建设污水处理厂，鼓励生活污水就近集中处理，减少污水输送距离。</w:t>
                  </w:r>
                </w:p>
              </w:tc>
              <w:tc>
                <w:tcPr>
                  <w:tcW w:w="2233" w:type="dxa"/>
                  <w:vAlign w:val="center"/>
                </w:tcPr>
                <w:p>
                  <w:pPr>
                    <w:pStyle w:val="63"/>
                  </w:pPr>
                  <w:r>
                    <w:rPr>
                      <w:rFonts w:hint="eastAsia"/>
                    </w:rPr>
                    <w:t>项目选址符合规划要求，生产废水和生活污水处理减少区域废水直接排放</w:t>
                  </w:r>
                </w:p>
              </w:tc>
              <w:tc>
                <w:tcPr>
                  <w:tcW w:w="77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2" w:type="dxa"/>
                  <w:vAlign w:val="center"/>
                </w:tcPr>
                <w:p>
                  <w:pPr>
                    <w:pStyle w:val="63"/>
                  </w:pPr>
                  <w:r>
                    <w:rPr>
                      <w:rFonts w:hint="eastAsia"/>
                    </w:rPr>
                    <w:t>2</w:t>
                  </w:r>
                </w:p>
              </w:tc>
              <w:tc>
                <w:tcPr>
                  <w:tcW w:w="3950" w:type="dxa"/>
                  <w:vAlign w:val="center"/>
                </w:tcPr>
                <w:p>
                  <w:pPr>
                    <w:pStyle w:val="63"/>
                    <w:jc w:val="left"/>
                  </w:pPr>
                  <w:r>
                    <w:rPr>
                      <w:rFonts w:hint="eastAsia"/>
                    </w:rPr>
                    <w:t>三、加强污水处理节能降碳</w:t>
                  </w:r>
                </w:p>
                <w:p>
                  <w:pPr>
                    <w:pStyle w:val="63"/>
                    <w:jc w:val="left"/>
                  </w:pPr>
                  <w:r>
                    <w:rPr>
                      <w:rFonts w:hint="eastAsia"/>
                    </w:rPr>
                    <w:t>（三）开展节能降碳改造。推广选用高效节能的电机、风机、水泵、照明器具等通用产品设备，结合厂区升级改造，加快淘汰老旧低效的重点用能设备。优化负荷匹配，避免“大马拉小车”。推广建设智慧水务管理系统，开展全过程智能调控与优化，实现精准曝气与回流控制、泵站变频调控与负载匹配、数字计量精准加药等。</w:t>
                  </w:r>
                </w:p>
                <w:p>
                  <w:pPr>
                    <w:pStyle w:val="63"/>
                    <w:jc w:val="left"/>
                  </w:pPr>
                  <w:r>
                    <w:rPr>
                      <w:rFonts w:hint="eastAsia"/>
                    </w:rPr>
                    <w:t>（四）减少温室气体排放。······。加强高效脱氮除磷等低碳技术应用，减少脱氮过程氧化亚氮逸散。</w:t>
                  </w:r>
                </w:p>
              </w:tc>
              <w:tc>
                <w:tcPr>
                  <w:tcW w:w="2233" w:type="dxa"/>
                  <w:vAlign w:val="center"/>
                </w:tcPr>
                <w:p>
                  <w:pPr>
                    <w:pStyle w:val="63"/>
                  </w:pPr>
                  <w:r>
                    <w:rPr>
                      <w:rFonts w:hint="eastAsia"/>
                    </w:rPr>
                    <w:t>项目优先采用高效节能的电机、风机、水泵、照明器具等通用产品设备，处理规模和污水产生量相适宜，采用自动化对污水处理和加药进行控制。项目前端采用气浮+水解酸化工序减低后续生化工段负荷，生化工序采用AAO工序，满足脱氮除磷要求，减少脱氮过程氧化亚氮逸散</w:t>
                  </w:r>
                </w:p>
              </w:tc>
              <w:tc>
                <w:tcPr>
                  <w:tcW w:w="771" w:type="dxa"/>
                  <w:vAlign w:val="center"/>
                </w:tcPr>
                <w:p>
                  <w:pPr>
                    <w:pStyle w:val="63"/>
                  </w:pPr>
                  <w:r>
                    <w:rPr>
                      <w:rFonts w:hint="eastAsia"/>
                    </w:rPr>
                    <w:t>符合</w:t>
                  </w:r>
                </w:p>
              </w:tc>
            </w:tr>
          </w:tbl>
          <w:p/>
          <w:p>
            <w:pPr>
              <w:pStyle w:val="4"/>
              <w:spacing w:before="120" w:after="120"/>
            </w:pPr>
            <w:r>
              <w:rPr>
                <w:rFonts w:hint="eastAsia"/>
              </w:rPr>
              <w:t>三线一单符合性分析</w:t>
            </w:r>
          </w:p>
          <w:p>
            <w:pPr>
              <w:pStyle w:val="6"/>
              <w:spacing w:before="120" w:after="120"/>
            </w:pPr>
            <w:r>
              <w:t>与重庆市“三线一单”符合性分析</w:t>
            </w:r>
          </w:p>
          <w:p>
            <w:pPr>
              <w:pStyle w:val="5"/>
              <w:ind w:firstLine="480"/>
              <w:rPr>
                <w:rFonts w:cs="Times New Roman"/>
              </w:rPr>
            </w:pPr>
            <w:r>
              <w:rPr>
                <w:rFonts w:cs="Times New Roman"/>
              </w:rPr>
              <w:t>项目与《重庆市生态环境局关于印发《重庆市“三线一单”生态环境分区管控调整方案（2023年）》的通知（渝环规〔2024〕2号）》符合性分析见</w:t>
            </w:r>
            <w:r>
              <w:rPr>
                <w:rFonts w:cs="Times New Roman"/>
              </w:rPr>
              <w:fldChar w:fldCharType="begin"/>
            </w:r>
            <w:r>
              <w:rPr>
                <w:rFonts w:cs="Times New Roman"/>
              </w:rPr>
              <w:instrText xml:space="preserve"> REF _Ref103760909 \h  \* MERGEFORMAT </w:instrText>
            </w:r>
            <w:r>
              <w:rPr>
                <w:rFonts w:cs="Times New Roman"/>
              </w:rPr>
              <w:fldChar w:fldCharType="separate"/>
            </w:r>
            <w:r>
              <w:rPr>
                <w:rFonts w:cs="Times New Roman"/>
              </w:rPr>
              <w:t>表 1.2</w:t>
            </w:r>
            <w:r>
              <w:rPr>
                <w:rFonts w:cs="Times New Roman"/>
              </w:rPr>
              <w:noBreakHyphen/>
            </w:r>
            <w:r>
              <w:rPr>
                <w:rFonts w:cs="Times New Roman"/>
              </w:rPr>
              <w:t>7</w:t>
            </w:r>
            <w:r>
              <w:rPr>
                <w:rFonts w:cs="Times New Roman"/>
              </w:rPr>
              <w:fldChar w:fldCharType="end"/>
            </w:r>
            <w:r>
              <w:rPr>
                <w:rFonts w:cs="Times New Roman"/>
              </w:rPr>
              <w:t>。</w:t>
            </w:r>
            <w:r>
              <w:rPr>
                <w:rFonts w:hint="eastAsia" w:cs="Times New Roman"/>
              </w:rPr>
              <w:t>根据分析，项目满足</w:t>
            </w:r>
            <w:r>
              <w:rPr>
                <w:rFonts w:cs="Times New Roman"/>
              </w:rPr>
              <w:t>渝环规〔2024〕2号</w:t>
            </w:r>
            <w:r>
              <w:rPr>
                <w:rFonts w:hint="eastAsia" w:cs="Times New Roman"/>
              </w:rPr>
              <w:t>要求。</w:t>
            </w:r>
          </w:p>
          <w:p>
            <w:pPr>
              <w:pStyle w:val="14"/>
              <w:rPr>
                <w:bCs/>
              </w:rPr>
            </w:pPr>
            <w:bookmarkStart w:id="12" w:name="_Ref103760909"/>
            <w:r>
              <w:t xml:space="preserve">表 </w:t>
            </w:r>
            <w:r>
              <w:fldChar w:fldCharType="begin"/>
            </w:r>
            <w:r>
              <w:instrText xml:space="preserve"> STYLEREF 2 \s </w:instrText>
            </w:r>
            <w:r>
              <w:fldChar w:fldCharType="separate"/>
            </w:r>
            <w:r>
              <w:t>1.2</w:t>
            </w:r>
            <w:r>
              <w:fldChar w:fldCharType="end"/>
            </w:r>
            <w:r>
              <w:noBreakHyphen/>
            </w:r>
            <w:r>
              <w:fldChar w:fldCharType="begin"/>
            </w:r>
            <w:r>
              <w:instrText xml:space="preserve"> SEQ 表 \* ARABIC \s 2 </w:instrText>
            </w:r>
            <w:r>
              <w:fldChar w:fldCharType="separate"/>
            </w:r>
            <w:r>
              <w:t>7</w:t>
            </w:r>
            <w:r>
              <w:fldChar w:fldCharType="end"/>
            </w:r>
            <w:bookmarkEnd w:id="12"/>
            <w:r>
              <w:t xml:space="preserve">    </w:t>
            </w:r>
            <w:r>
              <w:rPr>
                <w:bCs/>
              </w:rPr>
              <w:t>与重庆市“三线一单”管控要求符合性分析</w:t>
            </w:r>
          </w:p>
          <w:tbl>
            <w:tblPr>
              <w:tblStyle w:val="38"/>
              <w:tblW w:w="75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9"/>
              <w:gridCol w:w="4453"/>
              <w:gridCol w:w="1443"/>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tcMar>
                    <w:top w:w="57" w:type="dxa"/>
                    <w:left w:w="85" w:type="dxa"/>
                    <w:bottom w:w="57" w:type="dxa"/>
                    <w:right w:w="85" w:type="dxa"/>
                  </w:tcMar>
                  <w:vAlign w:val="center"/>
                </w:tcPr>
                <w:p>
                  <w:pPr>
                    <w:pStyle w:val="63"/>
                  </w:pPr>
                  <w:r>
                    <w:t>管控</w:t>
                  </w:r>
                </w:p>
                <w:p>
                  <w:pPr>
                    <w:pStyle w:val="63"/>
                  </w:pPr>
                  <w:r>
                    <w:t>类型</w:t>
                  </w:r>
                </w:p>
              </w:tc>
              <w:tc>
                <w:tcPr>
                  <w:tcW w:w="4453" w:type="dxa"/>
                  <w:tcMar>
                    <w:top w:w="57" w:type="dxa"/>
                    <w:left w:w="85" w:type="dxa"/>
                    <w:bottom w:w="57" w:type="dxa"/>
                    <w:right w:w="85" w:type="dxa"/>
                  </w:tcMar>
                  <w:vAlign w:val="center"/>
                </w:tcPr>
                <w:p>
                  <w:pPr>
                    <w:pStyle w:val="63"/>
                  </w:pPr>
                  <w:r>
                    <w:t>管  控  要  求</w:t>
                  </w:r>
                </w:p>
              </w:tc>
              <w:tc>
                <w:tcPr>
                  <w:tcW w:w="1443" w:type="dxa"/>
                  <w:vAlign w:val="center"/>
                </w:tcPr>
                <w:p>
                  <w:pPr>
                    <w:pStyle w:val="63"/>
                  </w:pPr>
                  <w:r>
                    <w:rPr>
                      <w:rFonts w:hint="eastAsia"/>
                    </w:rPr>
                    <w:t>本项目</w:t>
                  </w:r>
                </w:p>
              </w:tc>
              <w:tc>
                <w:tcPr>
                  <w:tcW w:w="861" w:type="dxa"/>
                  <w:vAlign w:val="center"/>
                </w:tcPr>
                <w:p>
                  <w:pPr>
                    <w:pStyle w:val="63"/>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restart"/>
                  <w:tcMar>
                    <w:top w:w="57" w:type="dxa"/>
                    <w:left w:w="85" w:type="dxa"/>
                    <w:bottom w:w="57" w:type="dxa"/>
                    <w:right w:w="85" w:type="dxa"/>
                  </w:tcMar>
                  <w:vAlign w:val="center"/>
                </w:tcPr>
                <w:p>
                  <w:pPr>
                    <w:pStyle w:val="63"/>
                  </w:pPr>
                  <w:r>
                    <w:t>空间</w:t>
                  </w:r>
                </w:p>
                <w:p>
                  <w:pPr>
                    <w:pStyle w:val="63"/>
                  </w:pPr>
                  <w:r>
                    <w:t>布局</w:t>
                  </w:r>
                </w:p>
                <w:p>
                  <w:pPr>
                    <w:pStyle w:val="63"/>
                  </w:pPr>
                  <w:r>
                    <w:t>约束</w:t>
                  </w:r>
                </w:p>
              </w:tc>
              <w:tc>
                <w:tcPr>
                  <w:tcW w:w="4453" w:type="dxa"/>
                  <w:tcMar>
                    <w:top w:w="57" w:type="dxa"/>
                    <w:left w:w="85" w:type="dxa"/>
                    <w:bottom w:w="57" w:type="dxa"/>
                    <w:right w:w="85" w:type="dxa"/>
                  </w:tcMar>
                  <w:vAlign w:val="center"/>
                </w:tcPr>
                <w:p>
                  <w:pPr>
                    <w:pStyle w:val="63"/>
                  </w:pPr>
                  <w:r>
                    <w:t>第一条  深入贯彻习近平生态文明思想，筑牢长江上游重要生态屏障，推动优势区域重点发展、生态功能区重点保护、</w:t>
                  </w:r>
                  <w:r>
                    <w:fldChar w:fldCharType="begin"/>
                  </w:r>
                  <w:r>
                    <w:instrText xml:space="preserve"> HYPERLINK "http://guihuayun.com/baike/%E5%9F%8E%E4%B9%A1%E8%9E%8D%E5%90%88%E5%8F%91%E5%B1%95" \t "http://www.gui-hua.com/post/_blank" </w:instrText>
                  </w:r>
                  <w:r>
                    <w:fldChar w:fldCharType="separate"/>
                  </w:r>
                  <w:r>
                    <w:t>城乡融合发展</w:t>
                  </w:r>
                  <w:r>
                    <w:fldChar w:fldCharType="end"/>
                  </w:r>
                  <w:r>
                    <w:t>，优化重点区域、流域、产业的空间布局。</w:t>
                  </w:r>
                </w:p>
              </w:tc>
              <w:tc>
                <w:tcPr>
                  <w:tcW w:w="1443" w:type="dxa"/>
                  <w:vAlign w:val="center"/>
                </w:tcPr>
                <w:p>
                  <w:pPr>
                    <w:pStyle w:val="63"/>
                  </w:pPr>
                  <w:r>
                    <w:t>本项目按照要求执行</w:t>
                  </w:r>
                </w:p>
              </w:tc>
              <w:tc>
                <w:tcPr>
                  <w:tcW w:w="861" w:type="dxa"/>
                  <w:vAlign w:val="center"/>
                </w:tcPr>
                <w:p>
                  <w:pPr>
                    <w:pStyle w:val="63"/>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t>第二条  禁止在长江干支流、重要湖泊岸线一公里范围内新建、扩建化工园</w:t>
                  </w:r>
                  <w:r>
                    <w:rPr>
                      <w:spacing w:val="-2"/>
                    </w:rPr>
                    <w:t>区和化工项目。禁止在长江干流岸线三公里范围内和重要支流岸线一公里范</w:t>
                  </w:r>
                  <w:r>
                    <w:t>围内新建、改建、扩建尾矿库、冶炼渣库、磷石膏库，以提升安全、生态环境保护水平为目的的改建除外。禁止在长江、嘉陵江、乌江岸线一公里范围内布局新建重化工、纸浆制造、印染等存在环境风险的项目。</w:t>
                  </w:r>
                </w:p>
              </w:tc>
              <w:tc>
                <w:tcPr>
                  <w:tcW w:w="1443" w:type="dxa"/>
                  <w:vAlign w:val="center"/>
                </w:tcPr>
                <w:p>
                  <w:pPr>
                    <w:pStyle w:val="63"/>
                  </w:pPr>
                  <w:r>
                    <w:t>本项目为</w:t>
                  </w:r>
                  <w:r>
                    <w:rPr>
                      <w:rFonts w:hint="eastAsia"/>
                    </w:rPr>
                    <w:t>污水处理厂</w:t>
                  </w:r>
                  <w:r>
                    <w:t>，不属于上述项目</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w:t>
                  </w:r>
                  <w:r>
                    <w:rPr>
                      <w:spacing w:val="-2"/>
                    </w:rPr>
                    <w:t>生态环境准入清单、相关规划环评和相应行业建设项目环境准入条件、环评</w:t>
                  </w:r>
                  <w:r>
                    <w:t>文件审批原则要求。</w:t>
                  </w:r>
                </w:p>
              </w:tc>
              <w:tc>
                <w:tcPr>
                  <w:tcW w:w="1443" w:type="dxa"/>
                  <w:vAlign w:val="center"/>
                </w:tcPr>
                <w:p>
                  <w:pPr>
                    <w:pStyle w:val="63"/>
                  </w:pPr>
                  <w:r>
                    <w:t>本项目为</w:t>
                  </w:r>
                  <w:r>
                    <w:rPr>
                      <w:rFonts w:hint="eastAsia"/>
                    </w:rPr>
                    <w:t>污水处理厂</w:t>
                  </w:r>
                  <w:r>
                    <w:t>，不属于上述项目</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t>第四条  严把项目准入关口，对不符合要求的高耗能、高排放、低水平项目坚</w:t>
                  </w:r>
                  <w:r>
                    <w:rPr>
                      <w:spacing w:val="-2"/>
                    </w:rPr>
                    <w:t>决不予准入。除在安全或者产业布局等方面有特殊要求的项目外，新建有污染物排放的工业项目应当进入工业集聚区。新建化工项目应当进入全市统一布局的化工产业集聚区。鼓励现有工业项目、化工项目分别搬入工业集聚</w:t>
                  </w:r>
                  <w:r>
                    <w:t>区、化工产业集聚区。</w:t>
                  </w:r>
                </w:p>
              </w:tc>
              <w:tc>
                <w:tcPr>
                  <w:tcW w:w="1443" w:type="dxa"/>
                  <w:vAlign w:val="center"/>
                </w:tcPr>
                <w:p>
                  <w:pPr>
                    <w:pStyle w:val="63"/>
                  </w:pPr>
                  <w:r>
                    <w:t>本项目为</w:t>
                  </w:r>
                  <w:r>
                    <w:rPr>
                      <w:rFonts w:hint="eastAsia"/>
                    </w:rPr>
                    <w:t>污水处理厂，位于集聚区内</w:t>
                  </w:r>
                  <w:r>
                    <w:t>，不属于上述项目</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t>第五条  新建、扩建有色金属冶炼、电镀、铅蓄电池等企业应布设在依法合规设立并经过规划环评的产业园区。</w:t>
                  </w:r>
                </w:p>
              </w:tc>
              <w:tc>
                <w:tcPr>
                  <w:tcW w:w="1443" w:type="dxa"/>
                  <w:vAlign w:val="center"/>
                </w:tcPr>
                <w:p>
                  <w:pPr>
                    <w:pStyle w:val="63"/>
                  </w:pPr>
                  <w:r>
                    <w:t>本项目为</w:t>
                  </w:r>
                  <w:r>
                    <w:rPr>
                      <w:rFonts w:hint="eastAsia"/>
                    </w:rPr>
                    <w:t>污水处理厂</w:t>
                  </w:r>
                  <w:r>
                    <w:t>，不属于上述项目</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t>第六条  涉及环境防护距离的工业企业或项目应通过选址或调整布局原则</w:t>
                  </w:r>
                  <w:r>
                    <w:rPr>
                      <w:spacing w:val="-2"/>
                    </w:rPr>
                    <w:t>上将环境防护距离控制在园区边界或用地红线内，提前合理规划项目地块布</w:t>
                  </w:r>
                  <w:r>
                    <w:t>置、预防环境风险。</w:t>
                  </w:r>
                </w:p>
              </w:tc>
              <w:tc>
                <w:tcPr>
                  <w:tcW w:w="1443" w:type="dxa"/>
                  <w:vAlign w:val="center"/>
                </w:tcPr>
                <w:p>
                  <w:pPr>
                    <w:pStyle w:val="63"/>
                  </w:pPr>
                  <w:r>
                    <w:t>本项目为</w:t>
                  </w:r>
                  <w:r>
                    <w:rPr>
                      <w:rFonts w:hint="eastAsia"/>
                    </w:rPr>
                    <w:t>污水处理厂</w:t>
                  </w:r>
                  <w:r>
                    <w:t>，不属于上述项目</w:t>
                  </w:r>
                  <w:r>
                    <w:rPr>
                      <w:rFonts w:hint="eastAsia"/>
                    </w:rPr>
                    <w:t>，不涉及环境防护距离</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rPr>
                      <w:spacing w:val="-2"/>
                    </w:rPr>
                    <w:t>第七条  有效规范空间开发秩序，合理控制空间开发强度，切实将各类开发活动限制在资源环境承载能力之内，为构建高效协调可持续的国土空间开发</w:t>
                  </w:r>
                  <w:r>
                    <w:t>格局奠定坚实基础。</w:t>
                  </w:r>
                </w:p>
              </w:tc>
              <w:tc>
                <w:tcPr>
                  <w:tcW w:w="1443" w:type="dxa"/>
                  <w:vAlign w:val="center"/>
                </w:tcPr>
                <w:p>
                  <w:pPr>
                    <w:pStyle w:val="63"/>
                    <w:rPr>
                      <w:spacing w:val="-2"/>
                    </w:rPr>
                  </w:pPr>
                  <w:r>
                    <w:t>本项目为</w:t>
                  </w:r>
                  <w:r>
                    <w:rPr>
                      <w:rFonts w:hint="eastAsia"/>
                    </w:rPr>
                    <w:t>高铁生态城新兴产业集聚区规划污水处理厂，符合《高铁生态城新兴产业集聚区规划》要求，所以满足空间管控要求</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restart"/>
                  <w:tcMar>
                    <w:top w:w="57" w:type="dxa"/>
                    <w:left w:w="85" w:type="dxa"/>
                    <w:bottom w:w="57" w:type="dxa"/>
                    <w:right w:w="85" w:type="dxa"/>
                  </w:tcMar>
                  <w:vAlign w:val="center"/>
                </w:tcPr>
                <w:p>
                  <w:pPr>
                    <w:pStyle w:val="63"/>
                  </w:pPr>
                  <w:r>
                    <w:t>污染物排放管控</w:t>
                  </w:r>
                </w:p>
              </w:tc>
              <w:tc>
                <w:tcPr>
                  <w:tcW w:w="4453" w:type="dxa"/>
                  <w:tcMar>
                    <w:top w:w="57" w:type="dxa"/>
                    <w:left w:w="85" w:type="dxa"/>
                    <w:bottom w:w="57" w:type="dxa"/>
                    <w:right w:w="85" w:type="dxa"/>
                  </w:tcMar>
                  <w:vAlign w:val="center"/>
                </w:tcPr>
                <w:p>
                  <w:pPr>
                    <w:pStyle w:val="63"/>
                  </w:pPr>
                  <w: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443" w:type="dxa"/>
                  <w:vAlign w:val="center"/>
                </w:tcPr>
                <w:p>
                  <w:pPr>
                    <w:pStyle w:val="63"/>
                  </w:pPr>
                  <w:r>
                    <w:t>本项目为</w:t>
                  </w:r>
                  <w:r>
                    <w:rPr>
                      <w:rFonts w:hint="eastAsia"/>
                    </w:rPr>
                    <w:t>污水处理厂</w:t>
                  </w:r>
                  <w:r>
                    <w:t>，不属于上述项目</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443" w:type="dxa"/>
                  <w:vAlign w:val="center"/>
                </w:tcPr>
                <w:p>
                  <w:pPr>
                    <w:pStyle w:val="63"/>
                  </w:pPr>
                  <w:r>
                    <w:t>本项目</w:t>
                  </w:r>
                  <w:r>
                    <w:rPr>
                      <w:rFonts w:hint="eastAsia"/>
                    </w:rPr>
                    <w:t>位于奉节县，2023年为大气环境质量达标区，朱衣河水质满足三类标准。</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443" w:type="dxa"/>
                  <w:vAlign w:val="center"/>
                </w:tcPr>
                <w:p>
                  <w:pPr>
                    <w:pStyle w:val="63"/>
                  </w:pPr>
                  <w:r>
                    <w:t>本项目为</w:t>
                  </w:r>
                  <w:r>
                    <w:rPr>
                      <w:rFonts w:hint="eastAsia"/>
                    </w:rPr>
                    <w:t>污水处理厂</w:t>
                  </w:r>
                  <w:r>
                    <w:t>，不属于上述项目</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443" w:type="dxa"/>
                  <w:vAlign w:val="center"/>
                </w:tcPr>
                <w:p>
                  <w:pPr>
                    <w:pStyle w:val="63"/>
                  </w:pPr>
                  <w:r>
                    <w:t>本项目为</w:t>
                  </w:r>
                  <w:r>
                    <w:rPr>
                      <w:rFonts w:hint="eastAsia"/>
                    </w:rPr>
                    <w:t>污水处理厂，按要求安装自动监测设备，处理达一级A标后排入朱衣河</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rPr>
                      <w:spacing w:val="-2"/>
                    </w:rPr>
                    <w:t>第十二条  推进乡镇生活污水处理设施达标改造。新建城市生活污水处理厂</w:t>
                  </w:r>
                  <w:r>
                    <w:rPr>
                      <w:spacing w:val="-4"/>
                    </w:rPr>
                    <w:t>全部按照一级A标及以上排放标准设计、施工、验收，建制乡镇生活污水处</w:t>
                  </w:r>
                  <w:r>
                    <w:rPr>
                      <w:spacing w:val="-3"/>
                    </w:rPr>
                    <w:t>理设施出水水质不得低于一级B标排放标准；对现有截留制排水管网实施雨污</w:t>
                  </w:r>
                  <w:r>
                    <w:rPr>
                      <w:spacing w:val="-5"/>
                    </w:rPr>
                    <w:t>分流改造，针对无法彻底雨污分流的老城区，尊重现实合理保留截留制区</w:t>
                  </w:r>
                  <w:r>
                    <w:rPr>
                      <w:spacing w:val="-6"/>
                    </w:rPr>
                    <w:t>域，合理提高截留倍数；对新建的排水管网，全部按照雨污分流模式实施建设</w:t>
                  </w:r>
                  <w:r>
                    <w:rPr>
                      <w:spacing w:val="-4"/>
                    </w:rPr>
                    <w:t>。</w:t>
                  </w:r>
                </w:p>
              </w:tc>
              <w:tc>
                <w:tcPr>
                  <w:tcW w:w="1443" w:type="dxa"/>
                  <w:vAlign w:val="center"/>
                </w:tcPr>
                <w:p>
                  <w:pPr>
                    <w:pStyle w:val="63"/>
                    <w:rPr>
                      <w:spacing w:val="-2"/>
                    </w:rPr>
                  </w:pPr>
                  <w:r>
                    <w:rPr>
                      <w:spacing w:val="-2"/>
                    </w:rPr>
                    <w:t>本项目</w:t>
                  </w:r>
                  <w:r>
                    <w:rPr>
                      <w:rFonts w:hint="eastAsia"/>
                      <w:spacing w:val="-2"/>
                    </w:rPr>
                    <w:t>为污水处理厂，本次评价</w:t>
                  </w:r>
                  <w:r>
                    <w:rPr>
                      <w:spacing w:val="-2"/>
                    </w:rPr>
                    <w:t>不涉及</w:t>
                  </w:r>
                  <w:r>
                    <w:rPr>
                      <w:rFonts w:hint="eastAsia"/>
                      <w:spacing w:val="-2"/>
                    </w:rPr>
                    <w:t>场外管网建设，排放水质执行</w:t>
                  </w:r>
                  <w:r>
                    <w:rPr>
                      <w:spacing w:val="-4"/>
                    </w:rPr>
                    <w:t>一级A标</w:t>
                  </w:r>
                </w:p>
              </w:tc>
              <w:tc>
                <w:tcPr>
                  <w:tcW w:w="861" w:type="dxa"/>
                  <w:vAlign w:val="center"/>
                </w:tcPr>
                <w:p>
                  <w:pPr>
                    <w:pStyle w:val="63"/>
                    <w:rPr>
                      <w:spacing w:val="-2"/>
                    </w:rPr>
                  </w:pPr>
                  <w:r>
                    <w:rPr>
                      <w:spacing w:val="-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7" w:type="dxa"/>
                    <w:left w:w="85" w:type="dxa"/>
                    <w:bottom w:w="57" w:type="dxa"/>
                    <w:right w:w="85" w:type="dxa"/>
                  </w:tcMar>
                  <w:vAlign w:val="center"/>
                </w:tcPr>
                <w:p>
                  <w:pPr>
                    <w:pStyle w:val="63"/>
                  </w:pPr>
                </w:p>
              </w:tc>
              <w:tc>
                <w:tcPr>
                  <w:tcW w:w="4453" w:type="dxa"/>
                  <w:tcMar>
                    <w:top w:w="57" w:type="dxa"/>
                    <w:left w:w="85" w:type="dxa"/>
                    <w:bottom w:w="57" w:type="dxa"/>
                    <w:right w:w="85" w:type="dxa"/>
                  </w:tcMar>
                  <w:vAlign w:val="center"/>
                </w:tcPr>
                <w:p>
                  <w:pPr>
                    <w:pStyle w:val="63"/>
                  </w:pPr>
                  <w: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443" w:type="dxa"/>
                  <w:vAlign w:val="center"/>
                </w:tcPr>
                <w:p>
                  <w:pPr>
                    <w:pStyle w:val="63"/>
                  </w:pPr>
                  <w:r>
                    <w:t>本项目为</w:t>
                  </w:r>
                  <w:r>
                    <w:rPr>
                      <w:rFonts w:hint="eastAsia"/>
                    </w:rPr>
                    <w:t>污水处理厂</w:t>
                  </w:r>
                  <w:r>
                    <w:t>，不属于上述项目</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restart"/>
                  <w:tcMar>
                    <w:top w:w="51" w:type="dxa"/>
                    <w:left w:w="85" w:type="dxa"/>
                    <w:bottom w:w="51" w:type="dxa"/>
                    <w:right w:w="85" w:type="dxa"/>
                  </w:tcMar>
                  <w:vAlign w:val="center"/>
                </w:tcPr>
                <w:p>
                  <w:pPr>
                    <w:pStyle w:val="63"/>
                  </w:pPr>
                  <w:r>
                    <w:t>污染物排放管控</w:t>
                  </w:r>
                </w:p>
              </w:tc>
              <w:tc>
                <w:tcPr>
                  <w:tcW w:w="4453" w:type="dxa"/>
                  <w:tcMar>
                    <w:top w:w="51" w:type="dxa"/>
                    <w:left w:w="85" w:type="dxa"/>
                    <w:bottom w:w="51" w:type="dxa"/>
                    <w:right w:w="85" w:type="dxa"/>
                  </w:tcMar>
                  <w:vAlign w:val="center"/>
                </w:tcPr>
                <w:p>
                  <w:pPr>
                    <w:pStyle w:val="63"/>
                  </w:pPr>
                  <w: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443" w:type="dxa"/>
                  <w:vAlign w:val="center"/>
                </w:tcPr>
                <w:p>
                  <w:pPr>
                    <w:pStyle w:val="63"/>
                  </w:pPr>
                  <w:r>
                    <w:t>本项目工业固体废物建立健全全过程的污染环境防治责任制度</w:t>
                  </w:r>
                  <w:r>
                    <w:rPr>
                      <w:rFonts w:hint="eastAsia"/>
                    </w:rPr>
                    <w:t>和</w:t>
                  </w:r>
                  <w:r>
                    <w:t>固体废物管理台账</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1" w:type="dxa"/>
                    <w:left w:w="85" w:type="dxa"/>
                    <w:bottom w:w="51" w:type="dxa"/>
                    <w:right w:w="85" w:type="dxa"/>
                  </w:tcMar>
                  <w:vAlign w:val="center"/>
                </w:tcPr>
                <w:p>
                  <w:pPr>
                    <w:pStyle w:val="63"/>
                  </w:pPr>
                </w:p>
              </w:tc>
              <w:tc>
                <w:tcPr>
                  <w:tcW w:w="4453" w:type="dxa"/>
                  <w:tcMar>
                    <w:top w:w="51" w:type="dxa"/>
                    <w:left w:w="85" w:type="dxa"/>
                    <w:bottom w:w="51" w:type="dxa"/>
                    <w:right w:w="85" w:type="dxa"/>
                  </w:tcMar>
                  <w:vAlign w:val="center"/>
                </w:tcPr>
                <w:p>
                  <w:pPr>
                    <w:pStyle w:val="63"/>
                  </w:pPr>
                  <w: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443" w:type="dxa"/>
                  <w:vAlign w:val="center"/>
                </w:tcPr>
                <w:p>
                  <w:pPr>
                    <w:pStyle w:val="63"/>
                  </w:pPr>
                  <w:r>
                    <w:t xml:space="preserve">本项目生活垃圾交由环卫部门处置 </w:t>
                  </w:r>
                </w:p>
              </w:tc>
              <w:tc>
                <w:tcPr>
                  <w:tcW w:w="861" w:type="dxa"/>
                  <w:vAlign w:val="center"/>
                </w:tcPr>
                <w:p>
                  <w:pPr>
                    <w:pStyle w:val="63"/>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restart"/>
                  <w:tcMar>
                    <w:top w:w="51" w:type="dxa"/>
                    <w:left w:w="85" w:type="dxa"/>
                    <w:bottom w:w="51" w:type="dxa"/>
                    <w:right w:w="85" w:type="dxa"/>
                  </w:tcMar>
                  <w:vAlign w:val="center"/>
                </w:tcPr>
                <w:p>
                  <w:pPr>
                    <w:pStyle w:val="63"/>
                  </w:pPr>
                  <w:r>
                    <w:t>环境风险防控</w:t>
                  </w:r>
                </w:p>
              </w:tc>
              <w:tc>
                <w:tcPr>
                  <w:tcW w:w="4453" w:type="dxa"/>
                  <w:tcMar>
                    <w:top w:w="51" w:type="dxa"/>
                    <w:left w:w="85" w:type="dxa"/>
                    <w:bottom w:w="51" w:type="dxa"/>
                    <w:right w:w="85" w:type="dxa"/>
                  </w:tcMar>
                  <w:vAlign w:val="center"/>
                </w:tcPr>
                <w:p>
                  <w:pPr>
                    <w:pStyle w:val="63"/>
                  </w:pPr>
                  <w: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443" w:type="dxa"/>
                  <w:vAlign w:val="center"/>
                </w:tcPr>
                <w:p>
                  <w:pPr>
                    <w:pStyle w:val="63"/>
                  </w:pPr>
                  <w:r>
                    <w:t>本项目采取有效风险防范措施和应急预案后，风险处于环境可接受的水平。</w:t>
                  </w:r>
                </w:p>
              </w:tc>
              <w:tc>
                <w:tcPr>
                  <w:tcW w:w="861" w:type="dxa"/>
                  <w:vAlign w:val="center"/>
                </w:tcPr>
                <w:p>
                  <w:pPr>
                    <w:pStyle w:val="63"/>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1" w:type="dxa"/>
                    <w:left w:w="85" w:type="dxa"/>
                    <w:bottom w:w="51" w:type="dxa"/>
                    <w:right w:w="85" w:type="dxa"/>
                  </w:tcMar>
                  <w:vAlign w:val="center"/>
                </w:tcPr>
                <w:p>
                  <w:pPr>
                    <w:pStyle w:val="63"/>
                  </w:pPr>
                </w:p>
              </w:tc>
              <w:tc>
                <w:tcPr>
                  <w:tcW w:w="4453" w:type="dxa"/>
                  <w:tcMar>
                    <w:top w:w="51" w:type="dxa"/>
                    <w:left w:w="85" w:type="dxa"/>
                    <w:bottom w:w="51" w:type="dxa"/>
                    <w:right w:w="85" w:type="dxa"/>
                  </w:tcMar>
                  <w:vAlign w:val="center"/>
                </w:tcPr>
                <w:p>
                  <w:pPr>
                    <w:pStyle w:val="63"/>
                  </w:pPr>
                  <w:r>
                    <w:t>第十七条  强化化工园区涉水突发环境事件四级环境风险防范体系建设。持续推进重点化工园区（化工集中区）建设有毒有害气体监测预警体系和水质生物毒性预警体系。</w:t>
                  </w:r>
                </w:p>
              </w:tc>
              <w:tc>
                <w:tcPr>
                  <w:tcW w:w="1443" w:type="dxa"/>
                  <w:vAlign w:val="center"/>
                </w:tcPr>
                <w:p>
                  <w:pPr>
                    <w:pStyle w:val="63"/>
                  </w:pPr>
                  <w:r>
                    <w:rPr>
                      <w:spacing w:val="-2"/>
                    </w:rPr>
                    <w:t>本项目不涉及</w:t>
                  </w:r>
                </w:p>
              </w:tc>
              <w:tc>
                <w:tcPr>
                  <w:tcW w:w="861" w:type="dxa"/>
                  <w:vAlign w:val="center"/>
                </w:tcPr>
                <w:p>
                  <w:pPr>
                    <w:pStyle w:val="63"/>
                    <w:rPr>
                      <w:spacing w:val="-2"/>
                    </w:rPr>
                  </w:pPr>
                  <w:r>
                    <w:rPr>
                      <w:spacing w:val="-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restart"/>
                  <w:tcMar>
                    <w:top w:w="51" w:type="dxa"/>
                    <w:left w:w="85" w:type="dxa"/>
                    <w:bottom w:w="51" w:type="dxa"/>
                    <w:right w:w="85" w:type="dxa"/>
                  </w:tcMar>
                  <w:vAlign w:val="center"/>
                </w:tcPr>
                <w:p>
                  <w:pPr>
                    <w:pStyle w:val="63"/>
                  </w:pPr>
                  <w:r>
                    <w:t>资源利用效率</w:t>
                  </w:r>
                </w:p>
              </w:tc>
              <w:tc>
                <w:tcPr>
                  <w:tcW w:w="4453" w:type="dxa"/>
                  <w:tcMar>
                    <w:top w:w="51" w:type="dxa"/>
                    <w:left w:w="85" w:type="dxa"/>
                    <w:bottom w:w="51" w:type="dxa"/>
                    <w:right w:w="85" w:type="dxa"/>
                  </w:tcMar>
                  <w:vAlign w:val="center"/>
                </w:tcPr>
                <w:p>
                  <w:pPr>
                    <w:pStyle w:val="63"/>
                  </w:pPr>
                  <w:r>
                    <w:t>第十八条  实施能源领域碳达峰碳中和行动，科学有序推动能源生产消费方式绿色低碳变革。实施可再生能源替代，减少化石能源消费。加强产业布</w:t>
                  </w:r>
                  <w:r>
                    <w:rPr>
                      <w:spacing w:val="-6"/>
                    </w:rPr>
                    <w:t>局和能耗“双控”政策衔接，促进重点用能领域用能结构优化和能效提升</w:t>
                  </w:r>
                  <w:r>
                    <w:t>。</w:t>
                  </w:r>
                </w:p>
              </w:tc>
              <w:tc>
                <w:tcPr>
                  <w:tcW w:w="1443" w:type="dxa"/>
                  <w:vAlign w:val="center"/>
                </w:tcPr>
                <w:p>
                  <w:pPr>
                    <w:pStyle w:val="63"/>
                  </w:pPr>
                  <w:r>
                    <w:t>本项目</w:t>
                  </w:r>
                  <w:r>
                    <w:rPr>
                      <w:rFonts w:hint="eastAsia"/>
                    </w:rPr>
                    <w:t>能源主要为电力</w:t>
                  </w:r>
                  <w:r>
                    <w:t xml:space="preserve"> </w:t>
                  </w:r>
                </w:p>
              </w:tc>
              <w:tc>
                <w:tcPr>
                  <w:tcW w:w="861" w:type="dxa"/>
                  <w:vAlign w:val="center"/>
                </w:tcPr>
                <w:p>
                  <w:pPr>
                    <w:pStyle w:val="63"/>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1" w:type="dxa"/>
                    <w:left w:w="85" w:type="dxa"/>
                    <w:bottom w:w="51" w:type="dxa"/>
                    <w:right w:w="85" w:type="dxa"/>
                  </w:tcMar>
                  <w:vAlign w:val="center"/>
                </w:tcPr>
                <w:p>
                  <w:pPr>
                    <w:pStyle w:val="63"/>
                  </w:pPr>
                </w:p>
              </w:tc>
              <w:tc>
                <w:tcPr>
                  <w:tcW w:w="4453" w:type="dxa"/>
                  <w:tcMar>
                    <w:top w:w="51" w:type="dxa"/>
                    <w:left w:w="85" w:type="dxa"/>
                    <w:bottom w:w="51" w:type="dxa"/>
                    <w:right w:w="85" w:type="dxa"/>
                  </w:tcMar>
                  <w:vAlign w:val="center"/>
                </w:tcPr>
                <w:p>
                  <w:pPr>
                    <w:pStyle w:val="63"/>
                  </w:pPr>
                  <w: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443" w:type="dxa"/>
                  <w:vAlign w:val="center"/>
                </w:tcPr>
                <w:p>
                  <w:pPr>
                    <w:pStyle w:val="63"/>
                  </w:pPr>
                  <w:r>
                    <w:rPr>
                      <w:rFonts w:hint="eastAsia"/>
                    </w:rPr>
                    <w:t>本项目机电设备采用先进节能的机电设备</w:t>
                  </w:r>
                </w:p>
              </w:tc>
              <w:tc>
                <w:tcPr>
                  <w:tcW w:w="861" w:type="dxa"/>
                  <w:vAlign w:val="center"/>
                </w:tcPr>
                <w:p>
                  <w:pPr>
                    <w:pStyle w:val="63"/>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1" w:type="dxa"/>
                    <w:left w:w="85" w:type="dxa"/>
                    <w:bottom w:w="51" w:type="dxa"/>
                    <w:right w:w="85" w:type="dxa"/>
                  </w:tcMar>
                  <w:vAlign w:val="center"/>
                </w:tcPr>
                <w:p>
                  <w:pPr>
                    <w:pStyle w:val="63"/>
                  </w:pPr>
                </w:p>
              </w:tc>
              <w:tc>
                <w:tcPr>
                  <w:tcW w:w="4453" w:type="dxa"/>
                  <w:tcMar>
                    <w:top w:w="51" w:type="dxa"/>
                    <w:left w:w="85" w:type="dxa"/>
                    <w:bottom w:w="51" w:type="dxa"/>
                    <w:right w:w="85" w:type="dxa"/>
                  </w:tcMar>
                  <w:vAlign w:val="center"/>
                </w:tcPr>
                <w:p>
                  <w:pPr>
                    <w:pStyle w:val="63"/>
                  </w:pPr>
                  <w:r>
                    <w:t>第二十条  新建、扩建“两高”项目应采用先进适用的工艺技术和装备，单位产品物耗、能耗、水耗等达到清洁生产先进水平。</w:t>
                  </w:r>
                </w:p>
              </w:tc>
              <w:tc>
                <w:tcPr>
                  <w:tcW w:w="1443" w:type="dxa"/>
                  <w:vAlign w:val="center"/>
                </w:tcPr>
                <w:p>
                  <w:pPr>
                    <w:pStyle w:val="63"/>
                  </w:pPr>
                  <w:r>
                    <w:rPr>
                      <w:spacing w:val="-2"/>
                    </w:rPr>
                    <w:t>本项目不涉及</w:t>
                  </w:r>
                </w:p>
              </w:tc>
              <w:tc>
                <w:tcPr>
                  <w:tcW w:w="861" w:type="dxa"/>
                  <w:vAlign w:val="center"/>
                </w:tcPr>
                <w:p>
                  <w:pPr>
                    <w:pStyle w:val="63"/>
                  </w:pPr>
                  <w:r>
                    <w:rPr>
                      <w:spacing w:val="-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1" w:type="dxa"/>
                    <w:left w:w="85" w:type="dxa"/>
                    <w:bottom w:w="51" w:type="dxa"/>
                    <w:right w:w="85" w:type="dxa"/>
                  </w:tcMar>
                  <w:vAlign w:val="center"/>
                </w:tcPr>
                <w:p>
                  <w:pPr>
                    <w:pStyle w:val="63"/>
                  </w:pPr>
                </w:p>
              </w:tc>
              <w:tc>
                <w:tcPr>
                  <w:tcW w:w="4453" w:type="dxa"/>
                  <w:tcMar>
                    <w:top w:w="51" w:type="dxa"/>
                    <w:left w:w="85" w:type="dxa"/>
                    <w:bottom w:w="51" w:type="dxa"/>
                    <w:right w:w="85" w:type="dxa"/>
                  </w:tcMar>
                  <w:vAlign w:val="center"/>
                </w:tcPr>
                <w:p>
                  <w:pPr>
                    <w:pStyle w:val="63"/>
                  </w:pPr>
                  <w: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443" w:type="dxa"/>
                  <w:vAlign w:val="center"/>
                </w:tcPr>
                <w:p>
                  <w:pPr>
                    <w:pStyle w:val="63"/>
                  </w:pPr>
                  <w:r>
                    <w:t>本项目为</w:t>
                  </w:r>
                  <w:r>
                    <w:rPr>
                      <w:rFonts w:hint="eastAsia"/>
                    </w:rPr>
                    <w:t>污水处理厂，不属于相关项目</w:t>
                  </w:r>
                </w:p>
              </w:tc>
              <w:tc>
                <w:tcPr>
                  <w:tcW w:w="861"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39" w:type="dxa"/>
                  <w:vMerge w:val="continue"/>
                  <w:tcMar>
                    <w:top w:w="51" w:type="dxa"/>
                    <w:left w:w="85" w:type="dxa"/>
                    <w:bottom w:w="51" w:type="dxa"/>
                    <w:right w:w="85" w:type="dxa"/>
                  </w:tcMar>
                  <w:vAlign w:val="center"/>
                </w:tcPr>
                <w:p>
                  <w:pPr>
                    <w:pStyle w:val="63"/>
                  </w:pPr>
                </w:p>
              </w:tc>
              <w:tc>
                <w:tcPr>
                  <w:tcW w:w="4453" w:type="dxa"/>
                  <w:tcMar>
                    <w:top w:w="51" w:type="dxa"/>
                    <w:left w:w="85" w:type="dxa"/>
                    <w:bottom w:w="51" w:type="dxa"/>
                    <w:right w:w="85" w:type="dxa"/>
                  </w:tcMar>
                  <w:vAlign w:val="center"/>
                </w:tcPr>
                <w:p>
                  <w:pPr>
                    <w:pStyle w:val="63"/>
                  </w:pPr>
                  <w: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443" w:type="dxa"/>
                  <w:vAlign w:val="center"/>
                </w:tcPr>
                <w:p>
                  <w:pPr>
                    <w:pStyle w:val="63"/>
                  </w:pPr>
                  <w:r>
                    <w:t>本项目为</w:t>
                  </w:r>
                  <w:r>
                    <w:rPr>
                      <w:rFonts w:hint="eastAsia"/>
                    </w:rPr>
                    <w:t>污水处理厂，属于</w:t>
                  </w:r>
                  <w:r>
                    <w:t>污水再生利用设施</w:t>
                  </w:r>
                </w:p>
              </w:tc>
              <w:tc>
                <w:tcPr>
                  <w:tcW w:w="861" w:type="dxa"/>
                  <w:vAlign w:val="center"/>
                </w:tcPr>
                <w:p>
                  <w:pPr>
                    <w:pStyle w:val="63"/>
                  </w:pPr>
                  <w:r>
                    <w:rPr>
                      <w:rFonts w:hint="eastAsia"/>
                    </w:rPr>
                    <w:t>符合</w:t>
                  </w:r>
                </w:p>
              </w:tc>
            </w:tr>
          </w:tbl>
          <w:p/>
          <w:p>
            <w:pPr>
              <w:pStyle w:val="6"/>
              <w:spacing w:before="120" w:after="120"/>
            </w:pPr>
            <w:r>
              <w:rPr>
                <w:rFonts w:hint="eastAsia"/>
              </w:rPr>
              <w:t>重庆市奉节县“三线一单”符合性分析</w:t>
            </w:r>
          </w:p>
          <w:p>
            <w:pPr>
              <w:pStyle w:val="5"/>
              <w:ind w:firstLine="480"/>
            </w:pPr>
            <w:r>
              <w:rPr>
                <w:rFonts w:hint="eastAsia"/>
              </w:rPr>
              <w:t>本次评价根据《重庆市奉节县“三线一单”生态环境分区管控调整方案》进行奉节县“三线一单”符合性分析。根据《三线一单检测分析报告》（见附件），项目涉及两个环境管控单元，分别为奉节县工业城镇重点管控单元1—城区片区（ZH50023620001）、奉节县一般管控单元——长江白帝城奉节段（ZH50023630001），项目与环境管控单元管控要求符合性见</w:t>
            </w:r>
            <w:r>
              <w:fldChar w:fldCharType="begin"/>
            </w:r>
            <w:r>
              <w:instrText xml:space="preserve"> </w:instrText>
            </w:r>
            <w:r>
              <w:rPr>
                <w:rFonts w:hint="eastAsia"/>
              </w:rPr>
              <w:instrText xml:space="preserve">REF _Ref167982006 \h</w:instrText>
            </w:r>
            <w:r>
              <w:instrText xml:space="preserve"> </w:instrText>
            </w:r>
            <w:r>
              <w:fldChar w:fldCharType="separate"/>
            </w:r>
            <w:r>
              <w:rPr>
                <w:rFonts w:hint="eastAsia"/>
              </w:rPr>
              <w:t xml:space="preserve">表 </w:t>
            </w:r>
            <w:r>
              <w:t>1.2</w:t>
            </w:r>
            <w:r>
              <w:noBreakHyphen/>
            </w:r>
            <w:r>
              <w:t>8</w:t>
            </w:r>
            <w:r>
              <w:fldChar w:fldCharType="end"/>
            </w:r>
            <w:r>
              <w:rPr>
                <w:rFonts w:hint="eastAsia"/>
              </w:rPr>
              <w:t>，根据下表项目满足重庆市奉节县“三线一单”管控要求。</w:t>
            </w:r>
          </w:p>
          <w:p>
            <w:pPr>
              <w:pStyle w:val="14"/>
              <w:keepNext/>
            </w:pPr>
            <w:bookmarkStart w:id="13" w:name="_Ref167982006"/>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8</w:t>
            </w:r>
            <w:r>
              <w:fldChar w:fldCharType="end"/>
            </w:r>
            <w:bookmarkEnd w:id="13"/>
            <w:r>
              <w:rPr>
                <w:rFonts w:hint="eastAsia"/>
              </w:rPr>
              <w:t xml:space="preserve">   项目与重庆市奉节县“三线一单”管控要求符合性分析</w:t>
            </w:r>
          </w:p>
          <w:tbl>
            <w:tblPr>
              <w:tblStyle w:val="39"/>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58"/>
              <w:gridCol w:w="3401"/>
              <w:gridCol w:w="1675"/>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gridSpan w:val="2"/>
                  <w:vAlign w:val="center"/>
                </w:tcPr>
                <w:p>
                  <w:pPr>
                    <w:pStyle w:val="63"/>
                  </w:pPr>
                  <w:r>
                    <w:rPr>
                      <w:rFonts w:hint="eastAsia"/>
                    </w:rPr>
                    <w:t>环境管控单元编码</w:t>
                  </w:r>
                </w:p>
              </w:tc>
              <w:tc>
                <w:tcPr>
                  <w:tcW w:w="3401" w:type="dxa"/>
                  <w:vAlign w:val="center"/>
                </w:tcPr>
                <w:p>
                  <w:pPr>
                    <w:pStyle w:val="63"/>
                  </w:pPr>
                  <w:r>
                    <w:rPr>
                      <w:rFonts w:hint="eastAsia"/>
                    </w:rPr>
                    <w:t>环境管控单元名称</w:t>
                  </w:r>
                </w:p>
              </w:tc>
              <w:tc>
                <w:tcPr>
                  <w:tcW w:w="2543" w:type="dxa"/>
                  <w:gridSpan w:val="2"/>
                  <w:vAlign w:val="center"/>
                </w:tcPr>
                <w:p>
                  <w:pPr>
                    <w:pStyle w:val="63"/>
                  </w:pPr>
                  <w:r>
                    <w:rPr>
                      <w:rFonts w:hint="eastAsia"/>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gridSpan w:val="2"/>
                  <w:vAlign w:val="center"/>
                </w:tcPr>
                <w:p>
                  <w:pPr>
                    <w:pStyle w:val="63"/>
                  </w:pPr>
                  <w:r>
                    <w:t>ZH50023620001</w:t>
                  </w:r>
                </w:p>
              </w:tc>
              <w:tc>
                <w:tcPr>
                  <w:tcW w:w="3401" w:type="dxa"/>
                  <w:vAlign w:val="center"/>
                </w:tcPr>
                <w:p>
                  <w:pPr>
                    <w:pStyle w:val="63"/>
                  </w:pPr>
                  <w:r>
                    <w:rPr>
                      <w:rFonts w:hint="eastAsia"/>
                    </w:rPr>
                    <w:t>城市片区</w:t>
                  </w:r>
                </w:p>
              </w:tc>
              <w:tc>
                <w:tcPr>
                  <w:tcW w:w="2543" w:type="dxa"/>
                  <w:gridSpan w:val="2"/>
                  <w:vAlign w:val="center"/>
                </w:tcPr>
                <w:p>
                  <w:pPr>
                    <w:pStyle w:val="63"/>
                  </w:pPr>
                  <w:r>
                    <w:rPr>
                      <w:rFonts w:hint="eastAsia"/>
                    </w:rPr>
                    <w:t>重点管控单元1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52" w:type="dxa"/>
                  <w:gridSpan w:val="2"/>
                  <w:vAlign w:val="center"/>
                </w:tcPr>
                <w:p>
                  <w:pPr>
                    <w:pStyle w:val="63"/>
                  </w:pPr>
                  <w:r>
                    <w:t>ZH500236</w:t>
                  </w:r>
                  <w:r>
                    <w:rPr>
                      <w:rFonts w:hint="eastAsia"/>
                    </w:rPr>
                    <w:t>3</w:t>
                  </w:r>
                  <w:r>
                    <w:t>000</w:t>
                  </w:r>
                  <w:r>
                    <w:rPr>
                      <w:rFonts w:hint="eastAsia"/>
                    </w:rPr>
                    <w:t>1</w:t>
                  </w:r>
                </w:p>
              </w:tc>
              <w:tc>
                <w:tcPr>
                  <w:tcW w:w="3401" w:type="dxa"/>
                  <w:vAlign w:val="center"/>
                </w:tcPr>
                <w:p>
                  <w:pPr>
                    <w:pStyle w:val="63"/>
                  </w:pPr>
                  <w:r>
                    <w:rPr>
                      <w:rFonts w:hint="eastAsia"/>
                    </w:rPr>
                    <w:t>长江白帝城奉节段</w:t>
                  </w:r>
                </w:p>
              </w:tc>
              <w:tc>
                <w:tcPr>
                  <w:tcW w:w="2543" w:type="dxa"/>
                  <w:gridSpan w:val="2"/>
                  <w:vAlign w:val="center"/>
                </w:tcPr>
                <w:p>
                  <w:pPr>
                    <w:pStyle w:val="63"/>
                  </w:pPr>
                  <w:r>
                    <w:rPr>
                      <w:rFonts w:hint="eastAsia"/>
                    </w:rPr>
                    <w:t>一般管控单元1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 w:type="dxa"/>
                  <w:vAlign w:val="center"/>
                </w:tcPr>
                <w:p>
                  <w:pPr>
                    <w:pStyle w:val="63"/>
                  </w:pPr>
                  <w:r>
                    <w:rPr>
                      <w:rFonts w:hint="eastAsia"/>
                    </w:rPr>
                    <w:t>管控要求层级</w:t>
                  </w:r>
                </w:p>
              </w:tc>
              <w:tc>
                <w:tcPr>
                  <w:tcW w:w="958" w:type="dxa"/>
                  <w:vAlign w:val="center"/>
                </w:tcPr>
                <w:p>
                  <w:pPr>
                    <w:pStyle w:val="63"/>
                  </w:pPr>
                  <w:r>
                    <w:rPr>
                      <w:rFonts w:hint="eastAsia"/>
                    </w:rPr>
                    <w:t>管控</w:t>
                  </w:r>
                </w:p>
                <w:p>
                  <w:pPr>
                    <w:pStyle w:val="63"/>
                  </w:pPr>
                  <w:r>
                    <w:rPr>
                      <w:rFonts w:hint="eastAsia"/>
                    </w:rPr>
                    <w:t>类型</w:t>
                  </w:r>
                </w:p>
              </w:tc>
              <w:tc>
                <w:tcPr>
                  <w:tcW w:w="3401" w:type="dxa"/>
                  <w:vAlign w:val="center"/>
                </w:tcPr>
                <w:p>
                  <w:pPr>
                    <w:pStyle w:val="63"/>
                  </w:pPr>
                  <w:r>
                    <w:rPr>
                      <w:rFonts w:hint="eastAsia"/>
                    </w:rPr>
                    <w:t>管控要求</w:t>
                  </w:r>
                </w:p>
              </w:tc>
              <w:tc>
                <w:tcPr>
                  <w:tcW w:w="1675" w:type="dxa"/>
                  <w:vAlign w:val="center"/>
                </w:tcPr>
                <w:p>
                  <w:pPr>
                    <w:pStyle w:val="63"/>
                  </w:pPr>
                  <w:r>
                    <w:rPr>
                      <w:rFonts w:hint="eastAsia"/>
                    </w:rPr>
                    <w:t>建设项目相关情况</w:t>
                  </w:r>
                </w:p>
              </w:tc>
              <w:tc>
                <w:tcPr>
                  <w:tcW w:w="868" w:type="dxa"/>
                  <w:vAlign w:val="center"/>
                </w:tcPr>
                <w:p>
                  <w:pPr>
                    <w:pStyle w:val="63"/>
                  </w:pPr>
                  <w:r>
                    <w:rPr>
                      <w:rFonts w:hint="eastAsia"/>
                    </w:rPr>
                    <w:t>符合性分析结论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 w:type="dxa"/>
                  <w:vMerge w:val="restart"/>
                  <w:vAlign w:val="center"/>
                </w:tcPr>
                <w:p>
                  <w:pPr>
                    <w:pStyle w:val="63"/>
                  </w:pPr>
                  <w:r>
                    <w:rPr>
                      <w:rFonts w:hint="eastAsia"/>
                    </w:rPr>
                    <w:t>奉节县总体管控要求</w:t>
                  </w:r>
                </w:p>
              </w:tc>
              <w:tc>
                <w:tcPr>
                  <w:tcW w:w="958" w:type="dxa"/>
                  <w:vMerge w:val="restart"/>
                  <w:vAlign w:val="center"/>
                </w:tcPr>
                <w:p>
                  <w:pPr>
                    <w:pStyle w:val="63"/>
                  </w:pPr>
                  <w:r>
                    <w:rPr>
                      <w:rFonts w:hint="eastAsia"/>
                    </w:rPr>
                    <w:t>空间布局约束</w:t>
                  </w:r>
                </w:p>
              </w:tc>
              <w:tc>
                <w:tcPr>
                  <w:tcW w:w="3401" w:type="dxa"/>
                  <w:vAlign w:val="center"/>
                </w:tcPr>
                <w:p>
                  <w:pPr>
                    <w:pStyle w:val="63"/>
                    <w:jc w:val="left"/>
                  </w:pPr>
                  <w:r>
                    <w:rPr>
                      <w:rFonts w:hint="eastAsia"/>
                    </w:rPr>
                    <w:t>第一条 执行重点管控单元市级总体要求第一条、第二条、第四条、第五条、第六条和第七条。</w:t>
                  </w:r>
                </w:p>
              </w:tc>
              <w:tc>
                <w:tcPr>
                  <w:tcW w:w="1675" w:type="dxa"/>
                  <w:vAlign w:val="center"/>
                </w:tcPr>
                <w:p>
                  <w:pPr>
                    <w:pStyle w:val="63"/>
                  </w:pPr>
                  <w:r>
                    <w:rPr>
                      <w:rFonts w:hint="eastAsia"/>
                    </w:rPr>
                    <w:t>项目满足</w:t>
                  </w:r>
                  <w:r>
                    <w:rPr>
                      <w:bCs/>
                    </w:rPr>
                    <w:t>重庆市“三线一单”管控要求</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第二条 一江五河（长江干流以及梅溪河、大溪河、草堂河、朱衣河、长滩河）消落带内禁止从事畜禽养殖经营活动</w:t>
                  </w:r>
                </w:p>
              </w:tc>
              <w:tc>
                <w:tcPr>
                  <w:tcW w:w="1675" w:type="dxa"/>
                  <w:vAlign w:val="center"/>
                </w:tcPr>
                <w:p>
                  <w:pPr>
                    <w:pStyle w:val="63"/>
                  </w:pPr>
                  <w:r>
                    <w:rPr>
                      <w:rFonts w:hint="eastAsia"/>
                    </w:rPr>
                    <w:t>项目为污水处理厂，尾水受纳水体朱衣河，不属于畜禽养殖经营活动</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第三条 新建风光水储等项目以及旅游产业布局新建项目应满足自然保护地中相关要求或规划，同时满足市级优先保护单元总体管控要求</w:t>
                  </w:r>
                </w:p>
              </w:tc>
              <w:tc>
                <w:tcPr>
                  <w:tcW w:w="1675" w:type="dxa"/>
                  <w:vAlign w:val="center"/>
                </w:tcPr>
                <w:p>
                  <w:pPr>
                    <w:pStyle w:val="63"/>
                  </w:pPr>
                  <w:r>
                    <w:rPr>
                      <w:rFonts w:hint="eastAsia"/>
                    </w:rPr>
                    <w:t>项目为污水处理厂，不属于风光水储等项目以及旅游产业布局新建项目，满足市级优先保护单元总体管控要求</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第四条 水土流失严重的区域限制或者禁止可能造成水土流失的生产建设活动，坡耕地优先布局坡耕地改经果林或水土保持林，缓解坡耕地造成的水土流失。</w:t>
                  </w:r>
                </w:p>
              </w:tc>
              <w:tc>
                <w:tcPr>
                  <w:tcW w:w="1675" w:type="dxa"/>
                  <w:vAlign w:val="center"/>
                </w:tcPr>
                <w:p>
                  <w:pPr>
                    <w:pStyle w:val="63"/>
                  </w:pPr>
                  <w:r>
                    <w:rPr>
                      <w:rFonts w:hint="eastAsia"/>
                    </w:rPr>
                    <w:t>项目位于集聚区内，用地为排水用地，采取相应水土流失防治措施后，可有效减少水土流失影响</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第五条 眼镜产业配套涉及表面处理（电镀）工序的新入驻项目应进入草堂组团</w:t>
                  </w:r>
                </w:p>
              </w:tc>
              <w:tc>
                <w:tcPr>
                  <w:tcW w:w="1675" w:type="dxa"/>
                  <w:vAlign w:val="center"/>
                </w:tcPr>
                <w:p>
                  <w:pPr>
                    <w:pStyle w:val="63"/>
                  </w:pPr>
                  <w:r>
                    <w:rPr>
                      <w:rFonts w:hint="eastAsia"/>
                    </w:rPr>
                    <w:t>项目不涉及</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第六条 规范一江五河岸线利用。码头建设应符合重庆港总体规划及重庆港奉节片区总体规划；加强白帝城——夔门段长江干流及支流入河口岸线和河道两岸山体的自然生态保护和管控；九盘河市级水产种质资源保护区岸线开发利用应符合水产种质资源保护区相关管理办法</w:t>
                  </w:r>
                </w:p>
              </w:tc>
              <w:tc>
                <w:tcPr>
                  <w:tcW w:w="1675" w:type="dxa"/>
                  <w:vAlign w:val="center"/>
                </w:tcPr>
                <w:p>
                  <w:pPr>
                    <w:pStyle w:val="63"/>
                  </w:pPr>
                  <w:r>
                    <w:rPr>
                      <w:rFonts w:hint="eastAsia"/>
                    </w:rPr>
                    <w:t>项目不属于码头，不涉及岸线开发利用</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restart"/>
                  <w:vAlign w:val="center"/>
                </w:tcPr>
                <w:p>
                  <w:pPr>
                    <w:pStyle w:val="63"/>
                  </w:pPr>
                  <w:r>
                    <w:rPr>
                      <w:rFonts w:hint="eastAsia"/>
                    </w:rPr>
                    <w:t>污染物排放管控</w:t>
                  </w:r>
                </w:p>
              </w:tc>
              <w:tc>
                <w:tcPr>
                  <w:tcW w:w="3401" w:type="dxa"/>
                  <w:vAlign w:val="center"/>
                </w:tcPr>
                <w:p>
                  <w:pPr>
                    <w:pStyle w:val="63"/>
                    <w:jc w:val="left"/>
                  </w:pPr>
                  <w:r>
                    <w:rPr>
                      <w:rFonts w:hint="eastAsia"/>
                    </w:rPr>
                    <w:t>第七条 执行重点管控单元市级总体要求第八条、第九条、第十条、第十一条、第十二条、第十三、第十四条和第十五条。</w:t>
                  </w:r>
                </w:p>
              </w:tc>
              <w:tc>
                <w:tcPr>
                  <w:tcW w:w="1675" w:type="dxa"/>
                  <w:vAlign w:val="center"/>
                </w:tcPr>
                <w:p>
                  <w:pPr>
                    <w:pStyle w:val="63"/>
                  </w:pPr>
                  <w:r>
                    <w:rPr>
                      <w:rFonts w:hint="eastAsia"/>
                    </w:rPr>
                    <w:t>项目满足</w:t>
                  </w:r>
                  <w:r>
                    <w:rPr>
                      <w:bCs/>
                    </w:rPr>
                    <w:t>重庆市“三线一单”管控要求</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第八条 加强生活面源及农业农村源水污染物整治。对富余处理负荷不足的乡镇集中生活污水处理厂应尽快实施扩建工程，并加强现有污水管网维护，加强畜禽养殖废水污染治理监管。推进旅游景区集中污水处理设施的建设，大型旅游开发项目应同步建设污水处理设施。全面提升夔门港区、奉节港区的船舶和港口污染防治能力。</w:t>
                  </w:r>
                </w:p>
              </w:tc>
              <w:tc>
                <w:tcPr>
                  <w:tcW w:w="1675" w:type="dxa"/>
                  <w:vAlign w:val="center"/>
                </w:tcPr>
                <w:p>
                  <w:pPr>
                    <w:pStyle w:val="63"/>
                  </w:pPr>
                  <w:r>
                    <w:rPr>
                      <w:rFonts w:hint="eastAsia"/>
                    </w:rPr>
                    <w:t>项目属于污水处理厂，属于水污染物整治项目。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第九条 加强工业园区及工业集聚区污水处理设施运行监管。草堂组团后续引入眼镜产业项目中涉及表面处理工序的应重点加强涉及重金属水污染物的治理，并将重金属纳入监管指标。</w:t>
                  </w:r>
                </w:p>
              </w:tc>
              <w:tc>
                <w:tcPr>
                  <w:tcW w:w="1675" w:type="dxa"/>
                  <w:vAlign w:val="center"/>
                </w:tcPr>
                <w:p>
                  <w:pPr>
                    <w:pStyle w:val="63"/>
                  </w:pPr>
                  <w:r>
                    <w:rPr>
                      <w:rFonts w:hint="eastAsia"/>
                    </w:rPr>
                    <w:t>项目为城镇污水处理厂</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restart"/>
                  <w:vAlign w:val="center"/>
                </w:tcPr>
                <w:p>
                  <w:pPr>
                    <w:pStyle w:val="63"/>
                  </w:pPr>
                  <w:r>
                    <w:rPr>
                      <w:rFonts w:hint="eastAsia"/>
                    </w:rPr>
                    <w:t>环境风险防控</w:t>
                  </w:r>
                </w:p>
              </w:tc>
              <w:tc>
                <w:tcPr>
                  <w:tcW w:w="3401" w:type="dxa"/>
                  <w:vAlign w:val="center"/>
                </w:tcPr>
                <w:p>
                  <w:pPr>
                    <w:pStyle w:val="63"/>
                    <w:jc w:val="left"/>
                  </w:pPr>
                  <w:r>
                    <w:rPr>
                      <w:rFonts w:hint="eastAsia"/>
                    </w:rPr>
                    <w:t>第十条 执行重点管控单元市级总体要求第十六条、第十七条。</w:t>
                  </w:r>
                </w:p>
              </w:tc>
              <w:tc>
                <w:tcPr>
                  <w:tcW w:w="1675" w:type="dxa"/>
                  <w:vAlign w:val="center"/>
                </w:tcPr>
                <w:p>
                  <w:pPr>
                    <w:pStyle w:val="63"/>
                  </w:pPr>
                  <w:r>
                    <w:rPr>
                      <w:rFonts w:hint="eastAsia"/>
                    </w:rPr>
                    <w:t>项目满足</w:t>
                  </w:r>
                  <w:r>
                    <w:rPr>
                      <w:bCs/>
                    </w:rPr>
                    <w:t>重庆市“三线一单”管控要求</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第十一条 工业园区及工业集聚区建立环境风险防控体系，严控环境风险事故发生，严防事故废水进入水体</w:t>
                  </w:r>
                </w:p>
              </w:tc>
              <w:tc>
                <w:tcPr>
                  <w:tcW w:w="1675" w:type="dxa"/>
                  <w:vAlign w:val="center"/>
                </w:tcPr>
                <w:p>
                  <w:pPr>
                    <w:pStyle w:val="63"/>
                  </w:pPr>
                  <w:r>
                    <w:rPr>
                      <w:rFonts w:hint="eastAsia"/>
                    </w:rPr>
                    <w:t>项目为污水处理厂，设置有事故池，集聚区事故废水通过管道进入污水处理厂处理达标后排放</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第十二条 加强对危险化学品运输及储存安全管理。加强沿江危化品码头、工业园区、污水处理厂等重点风险源的环境风险排查。危化品码头应当采取围挡防污染措施，防治事故状态下油品泄露造成水环境污染。</w:t>
                  </w:r>
                </w:p>
              </w:tc>
              <w:tc>
                <w:tcPr>
                  <w:tcW w:w="1675" w:type="dxa"/>
                  <w:vAlign w:val="center"/>
                </w:tcPr>
                <w:p>
                  <w:pPr>
                    <w:pStyle w:val="63"/>
                  </w:pPr>
                  <w:r>
                    <w:rPr>
                      <w:rFonts w:hint="eastAsia"/>
                    </w:rPr>
                    <w:t>项目为污水处理厂，按照相关要求加强对项目涉及危险化学品运输及贮存安全管理</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restart"/>
                  <w:vAlign w:val="center"/>
                </w:tcPr>
                <w:p>
                  <w:pPr>
                    <w:pStyle w:val="63"/>
                  </w:pPr>
                  <w:r>
                    <w:rPr>
                      <w:rFonts w:hint="eastAsia"/>
                    </w:rPr>
                    <w:t>资源利用效率</w:t>
                  </w:r>
                </w:p>
              </w:tc>
              <w:tc>
                <w:tcPr>
                  <w:tcW w:w="3401" w:type="dxa"/>
                  <w:vAlign w:val="center"/>
                </w:tcPr>
                <w:p>
                  <w:pPr>
                    <w:pStyle w:val="63"/>
                    <w:jc w:val="left"/>
                  </w:pPr>
                  <w:r>
                    <w:rPr>
                      <w:rFonts w:hint="eastAsia"/>
                    </w:rPr>
                    <w:t>第十三条 执行重点管控单元市级总体要求第十八条、第十九条、第二十条、第二十一条、第二十二条。</w:t>
                  </w:r>
                </w:p>
              </w:tc>
              <w:tc>
                <w:tcPr>
                  <w:tcW w:w="1675" w:type="dxa"/>
                  <w:vAlign w:val="center"/>
                </w:tcPr>
                <w:p>
                  <w:pPr>
                    <w:pStyle w:val="63"/>
                  </w:pPr>
                  <w:r>
                    <w:rPr>
                      <w:rFonts w:hint="eastAsia"/>
                    </w:rPr>
                    <w:t>项目满足</w:t>
                  </w:r>
                  <w:r>
                    <w:rPr>
                      <w:bCs/>
                    </w:rPr>
                    <w:t>重庆市“三线一单”管控要求</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jc w:val="left"/>
                  </w:pPr>
                  <w:r>
                    <w:rPr>
                      <w:rFonts w:hint="eastAsia"/>
                    </w:rPr>
                    <w:t>第十四条加快推进风电以及光伏等绿色可再生项目建设，严格执行市级层面下达的全县能耗指标。</w:t>
                  </w:r>
                </w:p>
              </w:tc>
              <w:tc>
                <w:tcPr>
                  <w:tcW w:w="1675" w:type="dxa"/>
                  <w:vAlign w:val="center"/>
                </w:tcPr>
                <w:p>
                  <w:pPr>
                    <w:pStyle w:val="63"/>
                  </w:pPr>
                  <w:r>
                    <w:rPr>
                      <w:rFonts w:hint="eastAsia"/>
                    </w:rPr>
                    <w:t>项目不涉及</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restart"/>
                  <w:vAlign w:val="center"/>
                </w:tcPr>
                <w:p>
                  <w:pPr>
                    <w:pStyle w:val="63"/>
                  </w:pPr>
                  <w:r>
                    <w:rPr>
                      <w:rFonts w:hint="eastAsia"/>
                      <w:lang w:bidi="ar"/>
                    </w:rPr>
                    <w:t>奉节县工业城镇重点管控单元1城区片区</w:t>
                  </w:r>
                </w:p>
              </w:tc>
              <w:tc>
                <w:tcPr>
                  <w:tcW w:w="958" w:type="dxa"/>
                  <w:vMerge w:val="restart"/>
                  <w:vAlign w:val="center"/>
                </w:tcPr>
                <w:p>
                  <w:pPr>
                    <w:pStyle w:val="63"/>
                  </w:pPr>
                  <w:r>
                    <w:rPr>
                      <w:rFonts w:hint="eastAsia"/>
                    </w:rPr>
                    <w:t>空间布局约束</w:t>
                  </w:r>
                </w:p>
              </w:tc>
              <w:tc>
                <w:tcPr>
                  <w:tcW w:w="3401" w:type="dxa"/>
                  <w:vAlign w:val="center"/>
                </w:tcPr>
                <w:p>
                  <w:pPr>
                    <w:pStyle w:val="63"/>
                  </w:pPr>
                  <w:r>
                    <w:t>1.高铁生态城新兴产业集聚区内禁止引入《产业结构调整指导目录》淘汰类及限制类的项目</w:t>
                  </w:r>
                </w:p>
              </w:tc>
              <w:tc>
                <w:tcPr>
                  <w:tcW w:w="1675" w:type="dxa"/>
                  <w:vAlign w:val="center"/>
                </w:tcPr>
                <w:p>
                  <w:pPr>
                    <w:pStyle w:val="63"/>
                  </w:pPr>
                  <w:r>
                    <w:rPr>
                      <w:rFonts w:hint="eastAsia"/>
                    </w:rPr>
                    <w:t>项目污水处理厂，不属于淘汰类和限制类</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rPr>
                      <w:lang w:bidi="ar"/>
                    </w:rPr>
                  </w:pPr>
                </w:p>
              </w:tc>
              <w:tc>
                <w:tcPr>
                  <w:tcW w:w="958" w:type="dxa"/>
                  <w:vMerge w:val="continue"/>
                  <w:vAlign w:val="center"/>
                </w:tcPr>
                <w:p>
                  <w:pPr>
                    <w:pStyle w:val="63"/>
                  </w:pPr>
                </w:p>
              </w:tc>
              <w:tc>
                <w:tcPr>
                  <w:tcW w:w="3401" w:type="dxa"/>
                  <w:vAlign w:val="center"/>
                </w:tcPr>
                <w:p>
                  <w:pPr>
                    <w:pStyle w:val="63"/>
                  </w:pPr>
                  <w:r>
                    <w:t>2.长江、朱衣河、草堂河、梅溪河消落带内禁止从事畜禽养殖经营活</w:t>
                  </w:r>
                  <w:r>
                    <w:rPr>
                      <w:rFonts w:hint="eastAsia"/>
                    </w:rPr>
                    <w:t>动。</w:t>
                  </w:r>
                </w:p>
              </w:tc>
              <w:tc>
                <w:tcPr>
                  <w:tcW w:w="1675" w:type="dxa"/>
                  <w:vAlign w:val="center"/>
                </w:tcPr>
                <w:p>
                  <w:pPr>
                    <w:pStyle w:val="63"/>
                  </w:pPr>
                  <w:r>
                    <w:rPr>
                      <w:rFonts w:hint="eastAsia"/>
                    </w:rPr>
                    <w:t>项目为污水处理厂，不属于</w:t>
                  </w:r>
                  <w:r>
                    <w:t>畜禽养殖经营活</w:t>
                  </w:r>
                  <w:r>
                    <w:rPr>
                      <w:rFonts w:hint="eastAsia"/>
                    </w:rPr>
                    <w:t>动</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restart"/>
                  <w:vAlign w:val="center"/>
                </w:tcPr>
                <w:p>
                  <w:pPr>
                    <w:pStyle w:val="72"/>
                  </w:pPr>
                  <w:r>
                    <w:rPr>
                      <w:rFonts w:hint="eastAsia"/>
                    </w:rPr>
                    <w:t>污染物排放</w:t>
                  </w:r>
                </w:p>
                <w:p>
                  <w:pPr>
                    <w:pStyle w:val="72"/>
                  </w:pPr>
                  <w:r>
                    <w:rPr>
                      <w:rFonts w:hint="eastAsia"/>
                    </w:rPr>
                    <w:t>管控</w:t>
                  </w:r>
                </w:p>
              </w:tc>
              <w:tc>
                <w:tcPr>
                  <w:tcW w:w="3401" w:type="dxa"/>
                  <w:vAlign w:val="center"/>
                </w:tcPr>
                <w:p>
                  <w:pPr>
                    <w:pStyle w:val="63"/>
                    <w:jc w:val="left"/>
                  </w:pPr>
                  <w:r>
                    <w:t>1.涉及喷涂工序工业企业应设置挥发性有机污染治理措施。推广使用低挥发性有机物涂料</w:t>
                  </w:r>
                </w:p>
              </w:tc>
              <w:tc>
                <w:tcPr>
                  <w:tcW w:w="1675" w:type="dxa"/>
                  <w:vAlign w:val="center"/>
                </w:tcPr>
                <w:p>
                  <w:pPr>
                    <w:pStyle w:val="63"/>
                  </w:pPr>
                  <w:r>
                    <w:rPr>
                      <w:rFonts w:hint="eastAsia"/>
                    </w:rPr>
                    <w:t>不属于该类项目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2.高铁生态城新兴产业集聚区应配套建设集中污水处理厂(出水标准达一级A排放标准)，入驻集聚区内企业污废水应进入集聚区集中污水处理厂处理后排放。</w:t>
                  </w:r>
                </w:p>
              </w:tc>
              <w:tc>
                <w:tcPr>
                  <w:tcW w:w="1675" w:type="dxa"/>
                  <w:vAlign w:val="center"/>
                </w:tcPr>
                <w:p>
                  <w:pPr>
                    <w:pStyle w:val="63"/>
                  </w:pPr>
                  <w:r>
                    <w:rPr>
                      <w:rFonts w:hint="eastAsia"/>
                    </w:rPr>
                    <w:t>项目为高铁生态城新兴产业集聚区规划的污水处理厂，</w:t>
                  </w:r>
                  <w:r>
                    <w:t>出水标准达一级A排放标准</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3.加强污水处理厂及配套管网维护。</w:t>
                  </w:r>
                </w:p>
              </w:tc>
              <w:tc>
                <w:tcPr>
                  <w:tcW w:w="1675" w:type="dxa"/>
                  <w:vAlign w:val="center"/>
                </w:tcPr>
                <w:p>
                  <w:pPr>
                    <w:pStyle w:val="63"/>
                  </w:pPr>
                  <w:r>
                    <w:rPr>
                      <w:rFonts w:hint="eastAsia"/>
                    </w:rPr>
                    <w:t>项目营运后按照要求加强管理和维护</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4.禁止使用高污染燃料，实施现有燃煤锅炉替换为燃气或者电能锅炉改造，燃气锅炉推广低氮锅炉。</w:t>
                  </w:r>
                </w:p>
              </w:tc>
              <w:tc>
                <w:tcPr>
                  <w:tcW w:w="1675" w:type="dxa"/>
                  <w:vAlign w:val="center"/>
                </w:tcPr>
                <w:p>
                  <w:pPr>
                    <w:pStyle w:val="63"/>
                  </w:pPr>
                  <w:r>
                    <w:rPr>
                      <w:rFonts w:hint="eastAsia"/>
                    </w:rPr>
                    <w:t>不适用高污染燃料，使用电</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5.持续推行生活垃圾分类收集收运及处置体系，做到源头减量和资源化利用。</w:t>
                  </w:r>
                </w:p>
              </w:tc>
              <w:tc>
                <w:tcPr>
                  <w:tcW w:w="1675" w:type="dxa"/>
                  <w:vAlign w:val="center"/>
                </w:tcPr>
                <w:p>
                  <w:pPr>
                    <w:pStyle w:val="63"/>
                  </w:pPr>
                  <w:r>
                    <w:rPr>
                      <w:rFonts w:hint="eastAsia"/>
                    </w:rPr>
                    <w:t>生活垃圾环卫处置，污泥脱水后和其他固废交有资质单位处置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6.推进船舶废弃物集中处理建设工程，提高船舶垃圾、含油污水等陆上处理接收处置能力及污染事故应急处置能力。</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7.畜禽养殖规划限养区内实行畜禽养殖存栏总量控制。同时加强畜禽养殖粪污处理，继续推进资源化利用。</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Align w:val="center"/>
                </w:tcPr>
                <w:p>
                  <w:pPr>
                    <w:pStyle w:val="72"/>
                  </w:pPr>
                  <w:r>
                    <w:rPr>
                      <w:rFonts w:hint="eastAsia"/>
                    </w:rPr>
                    <w:t>环境</w:t>
                  </w:r>
                </w:p>
                <w:p>
                  <w:pPr>
                    <w:pStyle w:val="72"/>
                  </w:pPr>
                  <w:r>
                    <w:rPr>
                      <w:rFonts w:hint="eastAsia"/>
                    </w:rPr>
                    <w:t>风险</w:t>
                  </w:r>
                </w:p>
              </w:tc>
              <w:tc>
                <w:tcPr>
                  <w:tcW w:w="3401" w:type="dxa"/>
                  <w:vAlign w:val="center"/>
                </w:tcPr>
                <w:p>
                  <w:pPr>
                    <w:pStyle w:val="63"/>
                  </w:pPr>
                  <w:r>
                    <w:t>1.加强危化品(油料)码头、污水处理厂等重点风险源的环境风险排査。油料码头应当采取围挡防污染措施，防治事故状态下油品泄露造成水环境污染。</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restart"/>
                  <w:vAlign w:val="center"/>
                </w:tcPr>
                <w:p>
                  <w:pPr>
                    <w:pStyle w:val="72"/>
                  </w:pPr>
                  <w:r>
                    <w:rPr>
                      <w:rFonts w:hint="eastAsia"/>
                    </w:rPr>
                    <w:t>资源利用效率要求</w:t>
                  </w:r>
                </w:p>
              </w:tc>
              <w:tc>
                <w:tcPr>
                  <w:tcW w:w="3401" w:type="dxa"/>
                  <w:vAlign w:val="center"/>
                </w:tcPr>
                <w:p>
                  <w:pPr>
                    <w:pStyle w:val="63"/>
                    <w:jc w:val="left"/>
                  </w:pPr>
                  <w:r>
                    <w:t>1.禁止新建燃煤生产项目。</w:t>
                  </w:r>
                </w:p>
              </w:tc>
              <w:tc>
                <w:tcPr>
                  <w:tcW w:w="1675" w:type="dxa"/>
                  <w:vAlign w:val="center"/>
                </w:tcPr>
                <w:p>
                  <w:pPr>
                    <w:pStyle w:val="63"/>
                  </w:pPr>
                  <w:r>
                    <w:rPr>
                      <w:rFonts w:hint="eastAsia"/>
                    </w:rPr>
                    <w:t>项目不使用燃煤</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2.持续推广新能源交通，推广使用LNG动力或电力船舶。</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3.河道岸线开发利用应符合国家、重庆市相关规划。</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restart"/>
                  <w:vAlign w:val="center"/>
                </w:tcPr>
                <w:p>
                  <w:pPr>
                    <w:pStyle w:val="63"/>
                  </w:pPr>
                  <w:r>
                    <w:rPr>
                      <w:rFonts w:hint="eastAsia"/>
                    </w:rPr>
                    <w:t>奉节县一般管控单元——长江白帝城奉节段</w:t>
                  </w:r>
                </w:p>
              </w:tc>
              <w:tc>
                <w:tcPr>
                  <w:tcW w:w="958" w:type="dxa"/>
                  <w:vMerge w:val="restart"/>
                  <w:vAlign w:val="center"/>
                </w:tcPr>
                <w:p>
                  <w:pPr>
                    <w:pStyle w:val="72"/>
                  </w:pPr>
                  <w:r>
                    <w:rPr>
                      <w:rFonts w:hint="eastAsia"/>
                    </w:rPr>
                    <w:t>空间布局约束</w:t>
                  </w:r>
                </w:p>
              </w:tc>
              <w:tc>
                <w:tcPr>
                  <w:tcW w:w="3401" w:type="dxa"/>
                  <w:vAlign w:val="center"/>
                </w:tcPr>
                <w:p>
                  <w:pPr>
                    <w:pStyle w:val="63"/>
                    <w:jc w:val="left"/>
                  </w:pPr>
                  <w:r>
                    <w:t>1.执行一般管控单元市级总体管控要求第一条。</w:t>
                  </w:r>
                </w:p>
              </w:tc>
              <w:tc>
                <w:tcPr>
                  <w:tcW w:w="1675" w:type="dxa"/>
                  <w:vAlign w:val="center"/>
                </w:tcPr>
                <w:p>
                  <w:pPr>
                    <w:pStyle w:val="63"/>
                  </w:pPr>
                  <w:r>
                    <w:rPr>
                      <w:rFonts w:hint="eastAsia"/>
                    </w:rPr>
                    <w:t>满足市</w:t>
                  </w:r>
                  <w:r>
                    <w:t>级总体管控要求</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2.严格落实《奉节县畜禽规模养殖污染治理实施方案》，不得在禁养区内布局畜禽养殖类项目:限养区不再新增畜禽养殖规模。</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72"/>
                  </w:pPr>
                </w:p>
              </w:tc>
              <w:tc>
                <w:tcPr>
                  <w:tcW w:w="3401" w:type="dxa"/>
                  <w:vAlign w:val="center"/>
                </w:tcPr>
                <w:p>
                  <w:pPr>
                    <w:pStyle w:val="63"/>
                    <w:jc w:val="left"/>
                  </w:pPr>
                  <w:r>
                    <w:t>3.禁止河道围网养殖、水库肥水养殖和投饵网箱养殖，鼓励发展生态养殖。</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restart"/>
                  <w:vAlign w:val="center"/>
                </w:tcPr>
                <w:p>
                  <w:pPr>
                    <w:pStyle w:val="63"/>
                  </w:pPr>
                  <w:r>
                    <w:rPr>
                      <w:rFonts w:hint="eastAsia"/>
                    </w:rPr>
                    <w:t>污染物</w:t>
                  </w:r>
                </w:p>
                <w:p>
                  <w:pPr>
                    <w:pStyle w:val="63"/>
                  </w:pPr>
                  <w:r>
                    <w:rPr>
                      <w:rFonts w:hint="eastAsia"/>
                    </w:rPr>
                    <w:t>排放管控</w:t>
                  </w:r>
                </w:p>
              </w:tc>
              <w:tc>
                <w:tcPr>
                  <w:tcW w:w="3401" w:type="dxa"/>
                  <w:vAlign w:val="center"/>
                </w:tcPr>
                <w:p>
                  <w:pPr>
                    <w:pStyle w:val="63"/>
                  </w:pPr>
                  <w:r>
                    <w:t>1.旅游接待设施应同步配套建设污水处理设施以及污水管网。</w:t>
                  </w:r>
                </w:p>
              </w:tc>
              <w:tc>
                <w:tcPr>
                  <w:tcW w:w="1675" w:type="dxa"/>
                  <w:vAlign w:val="center"/>
                </w:tcPr>
                <w:p>
                  <w:pPr>
                    <w:pStyle w:val="63"/>
                  </w:pPr>
                  <w:r>
                    <w:rPr>
                      <w:rFonts w:hint="eastAsia"/>
                    </w:rPr>
                    <w:t>项目为城镇污水处理厂，不属于旅游接待配套设施</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pPr>
                  <w:r>
                    <w:t>2.执行一般管控单元市级总体管控要求第二条。</w:t>
                  </w:r>
                </w:p>
              </w:tc>
              <w:tc>
                <w:tcPr>
                  <w:tcW w:w="1675" w:type="dxa"/>
                  <w:vAlign w:val="center"/>
                </w:tcPr>
                <w:p>
                  <w:pPr>
                    <w:pStyle w:val="63"/>
                  </w:pPr>
                  <w:r>
                    <w:rPr>
                      <w:rFonts w:hint="eastAsia"/>
                    </w:rPr>
                    <w:t>满足市</w:t>
                  </w:r>
                  <w:r>
                    <w:t>级总体管控要求</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pPr>
                  <w:r>
                    <w:t>3.畜禽养殖规划限养区内实行畜禽养殖存栏总量控制。同时加强畜禽养殖粪污处理，继续推进资源化利用。</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Merge w:val="continue"/>
                  <w:vAlign w:val="center"/>
                </w:tcPr>
                <w:p>
                  <w:pPr>
                    <w:pStyle w:val="63"/>
                  </w:pPr>
                </w:p>
              </w:tc>
              <w:tc>
                <w:tcPr>
                  <w:tcW w:w="3401" w:type="dxa"/>
                  <w:vAlign w:val="center"/>
                </w:tcPr>
                <w:p>
                  <w:pPr>
                    <w:pStyle w:val="63"/>
                  </w:pPr>
                  <w:r>
                    <w:t>4.经果林等农产品种植推广科学使用化肥农药，从源头减少农业面源产生量:</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Align w:val="center"/>
                </w:tcPr>
                <w:p>
                  <w:pPr>
                    <w:pStyle w:val="63"/>
                  </w:pPr>
                  <w:r>
                    <w:rPr>
                      <w:rFonts w:hint="eastAsia"/>
                    </w:rPr>
                    <w:t>环境风险防控</w:t>
                  </w:r>
                </w:p>
              </w:tc>
              <w:tc>
                <w:tcPr>
                  <w:tcW w:w="3401" w:type="dxa"/>
                  <w:vAlign w:val="center"/>
                </w:tcPr>
                <w:p>
                  <w:pPr>
                    <w:pStyle w:val="63"/>
                  </w:pPr>
                  <w:r>
                    <w:rPr>
                      <w:rFonts w:hint="eastAsia"/>
                    </w:rPr>
                    <w:t>/</w:t>
                  </w:r>
                </w:p>
              </w:tc>
              <w:tc>
                <w:tcPr>
                  <w:tcW w:w="1675" w:type="dxa"/>
                  <w:vAlign w:val="center"/>
                </w:tcPr>
                <w:p>
                  <w:pPr>
                    <w:pStyle w:val="63"/>
                  </w:pPr>
                  <w:r>
                    <w:rPr>
                      <w:rFonts w:hint="eastAsia"/>
                    </w:rPr>
                    <w:t>/</w:t>
                  </w:r>
                </w:p>
              </w:tc>
              <w:tc>
                <w:tcPr>
                  <w:tcW w:w="868"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694" w:type="dxa"/>
                  <w:vMerge w:val="continue"/>
                  <w:vAlign w:val="center"/>
                </w:tcPr>
                <w:p>
                  <w:pPr>
                    <w:pStyle w:val="63"/>
                  </w:pPr>
                </w:p>
              </w:tc>
              <w:tc>
                <w:tcPr>
                  <w:tcW w:w="958" w:type="dxa"/>
                  <w:vAlign w:val="center"/>
                </w:tcPr>
                <w:p>
                  <w:pPr>
                    <w:pStyle w:val="63"/>
                  </w:pPr>
                  <w:r>
                    <w:rPr>
                      <w:rFonts w:hint="eastAsia"/>
                    </w:rPr>
                    <w:t>资源开发效率要求</w:t>
                  </w:r>
                </w:p>
              </w:tc>
              <w:tc>
                <w:tcPr>
                  <w:tcW w:w="3401" w:type="dxa"/>
                  <w:vAlign w:val="center"/>
                </w:tcPr>
                <w:p>
                  <w:pPr>
                    <w:pStyle w:val="63"/>
                  </w:pPr>
                  <w:r>
                    <w:t>1.河道岸线开发利用应符合国家、重庆市相关规划。</w:t>
                  </w:r>
                </w:p>
              </w:tc>
              <w:tc>
                <w:tcPr>
                  <w:tcW w:w="1675" w:type="dxa"/>
                  <w:vAlign w:val="center"/>
                </w:tcPr>
                <w:p>
                  <w:pPr>
                    <w:pStyle w:val="63"/>
                  </w:pPr>
                  <w:r>
                    <w:rPr>
                      <w:rFonts w:hint="eastAsia"/>
                    </w:rPr>
                    <w:t>不属于该项目</w:t>
                  </w:r>
                </w:p>
              </w:tc>
              <w:tc>
                <w:tcPr>
                  <w:tcW w:w="868" w:type="dxa"/>
                  <w:vAlign w:val="center"/>
                </w:tcPr>
                <w:p>
                  <w:pPr>
                    <w:pStyle w:val="63"/>
                  </w:pPr>
                  <w:r>
                    <w:rPr>
                      <w:rFonts w:hint="eastAsia"/>
                    </w:rPr>
                    <w:t>符合</w:t>
                  </w:r>
                </w:p>
              </w:tc>
            </w:tr>
          </w:tbl>
          <w:p>
            <w:pPr>
              <w:pStyle w:val="5"/>
              <w:ind w:firstLine="480"/>
            </w:pPr>
          </w:p>
          <w:p>
            <w:pPr>
              <w:pStyle w:val="5"/>
              <w:ind w:firstLine="480"/>
            </w:pPr>
          </w:p>
        </w:tc>
      </w:tr>
    </w:tbl>
    <w:p>
      <w:pPr>
        <w:spacing w:line="360" w:lineRule="auto"/>
        <w:outlineLvl w:val="0"/>
        <w:rPr>
          <w:rFonts w:eastAsia="黑体"/>
          <w:sz w:val="30"/>
        </w:rPr>
        <w:sectPr>
          <w:pgSz w:w="11906" w:h="16838"/>
          <w:pgMar w:top="1701" w:right="1531" w:bottom="1701" w:left="1531" w:header="851" w:footer="1077" w:gutter="0"/>
          <w:pgNumType w:start="1"/>
          <w:cols w:space="720" w:num="1"/>
          <w:docGrid w:linePitch="312" w:charSpace="0"/>
        </w:sectPr>
      </w:pPr>
    </w:p>
    <w:p>
      <w:pPr>
        <w:pStyle w:val="2"/>
        <w:rPr>
          <w:snapToGrid w:val="0"/>
        </w:rPr>
      </w:pPr>
      <w:r>
        <w:rPr>
          <w:rFonts w:hint="eastAsia"/>
          <w:snapToGrid w:val="0"/>
        </w:rPr>
        <w:t>建设项目工程分析</w:t>
      </w:r>
    </w:p>
    <w:tbl>
      <w:tblPr>
        <w:tblStyle w:val="38"/>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72" w:hRule="atLeast"/>
          <w:jc w:val="center"/>
        </w:trPr>
        <w:tc>
          <w:tcPr>
            <w:tcW w:w="823" w:type="dxa"/>
            <w:vAlign w:val="center"/>
          </w:tcPr>
          <w:p>
            <w:pPr>
              <w:pStyle w:val="33"/>
              <w:adjustRightInd w:val="0"/>
              <w:snapToGrid w:val="0"/>
              <w:spacing w:before="0" w:beforeAutospacing="0" w:after="0" w:afterAutospacing="0"/>
              <w:jc w:val="center"/>
              <w:rPr>
                <w:rFonts w:hint="eastAsia" w:cs="宋体"/>
                <w:sz w:val="21"/>
                <w:szCs w:val="21"/>
              </w:rPr>
            </w:pPr>
            <w:r>
              <w:rPr>
                <w:rFonts w:hint="eastAsia" w:cs="宋体"/>
                <w:sz w:val="21"/>
                <w:szCs w:val="21"/>
              </w:rPr>
              <w:t>建设内容</w:t>
            </w:r>
          </w:p>
        </w:tc>
        <w:tc>
          <w:tcPr>
            <w:tcW w:w="8161" w:type="dxa"/>
          </w:tcPr>
          <w:p>
            <w:pPr>
              <w:pStyle w:val="3"/>
              <w:spacing w:before="120" w:after="120"/>
            </w:pPr>
            <w:r>
              <w:rPr>
                <w:rFonts w:hint="eastAsia"/>
              </w:rPr>
              <w:t>工程背景</w:t>
            </w:r>
          </w:p>
          <w:p>
            <w:pPr>
              <w:pStyle w:val="5"/>
              <w:ind w:firstLine="480"/>
            </w:pPr>
            <w:r>
              <w:rPr>
                <w:rFonts w:hint="eastAsia"/>
              </w:rPr>
              <w:t>高铁生态城新兴产业集聚区位于奉节中心城区的西部，是《重庆市奉节县国土空间总体规划（2021~2035年》规划的高铁生态城的一部分，规划范围219.46公顷，其中城市建设用地192.43公顷，目前高铁生态城新兴产业集聚区内尚无污水处理厂，同时朱衣河沿河部分区域村镇生活污水未得到有效收集处理，对朱衣河水环境质量有影响。为了平衡区域发展和生态保护关系，重庆奉节城市运营管理有限公司拟在规划高铁生态城新兴产业集聚区内新建1座处理能力为10000m</w:t>
            </w:r>
            <w:r>
              <w:rPr>
                <w:rFonts w:hint="eastAsia"/>
                <w:vertAlign w:val="superscript"/>
              </w:rPr>
              <w:t>3</w:t>
            </w:r>
            <w:r>
              <w:rPr>
                <w:rFonts w:hint="eastAsia"/>
              </w:rPr>
              <w:t>/d污水处理厂，接纳集聚区及周围区域污水进行集中处理达</w:t>
            </w:r>
            <w:r>
              <w:t>《城镇污水处理厂污染物排放标准》（GB18918-2002）一级A标后排入朱衣河</w:t>
            </w:r>
            <w:r>
              <w:rPr>
                <w:rFonts w:hint="eastAsia"/>
              </w:rPr>
              <w:t>，本次工程范围仅包括拟建污水处理厂用地红线内工程内容，厂外污水收集管道等设施不在本工程范围内，本次评价不包括排污口论证。</w:t>
            </w:r>
          </w:p>
          <w:p>
            <w:pPr>
              <w:pStyle w:val="5"/>
              <w:ind w:firstLine="480"/>
            </w:pPr>
            <w:r>
              <w:rPr>
                <w:rFonts w:hint="eastAsia"/>
              </w:rPr>
              <w:t>本项目为生活污水处理厂，</w:t>
            </w:r>
            <w:r>
              <w:rPr>
                <w:rFonts w:cs="Times New Roman"/>
              </w:rPr>
              <w:t>根据《国民经济行业分类》（GB/T 4754-2017按第1号修改单修订），项目</w:t>
            </w:r>
            <w:r>
              <w:rPr>
                <w:rFonts w:hint="eastAsia" w:cs="Times New Roman"/>
              </w:rPr>
              <w:t>行业类别属于“D电力、热力、燃气及水生产和供应业，46水的生产和供应业，462污水处理及其再生利用，4620污水处理及其再生利用”。</w:t>
            </w:r>
          </w:p>
          <w:p>
            <w:pPr>
              <w:pStyle w:val="5"/>
              <w:ind w:firstLine="480"/>
              <w:rPr>
                <w:rFonts w:cs="Times New Roman"/>
              </w:rPr>
            </w:pPr>
            <w:r>
              <w:rPr>
                <w:rFonts w:cs="Times New Roman"/>
              </w:rPr>
              <w:t>根据《建设项目环境影响评价分类管理名录》（2021年版），</w:t>
            </w:r>
            <w:r>
              <w:rPr>
                <w:rFonts w:hint="eastAsia" w:cs="Times New Roman"/>
              </w:rPr>
              <w:t>项目环评类别见</w:t>
            </w:r>
            <w:r>
              <w:rPr>
                <w:rFonts w:cs="Times New Roman"/>
              </w:rPr>
              <w:fldChar w:fldCharType="begin"/>
            </w:r>
            <w:r>
              <w:rPr>
                <w:rFonts w:cs="Times New Roman"/>
              </w:rPr>
              <w:instrText xml:space="preserve"> </w:instrText>
            </w:r>
            <w:r>
              <w:rPr>
                <w:rFonts w:hint="eastAsia" w:cs="Times New Roman"/>
              </w:rPr>
              <w:instrText xml:space="preserve">REF _Ref173487311 \h</w:instrText>
            </w:r>
            <w:r>
              <w:rPr>
                <w:rFonts w:cs="Times New Roman"/>
              </w:rPr>
              <w:instrText xml:space="preserve"> </w:instrText>
            </w:r>
            <w:r>
              <w:rPr>
                <w:rFonts w:cs="Times New Roman"/>
              </w:rPr>
              <w:fldChar w:fldCharType="separate"/>
            </w:r>
            <w:r>
              <w:rPr>
                <w:rFonts w:hint="eastAsia"/>
              </w:rPr>
              <w:t xml:space="preserve">表 </w:t>
            </w:r>
            <w:r>
              <w:t>2.1</w:t>
            </w:r>
            <w:r>
              <w:noBreakHyphen/>
            </w:r>
            <w:r>
              <w:t>1</w:t>
            </w:r>
            <w:r>
              <w:rPr>
                <w:rFonts w:cs="Times New Roman"/>
              </w:rPr>
              <w:fldChar w:fldCharType="end"/>
            </w:r>
            <w:r>
              <w:rPr>
                <w:rFonts w:hint="eastAsia" w:cs="Times New Roman"/>
              </w:rPr>
              <w:t>。根据前述分析，本项目</w:t>
            </w:r>
            <w:r>
              <w:rPr>
                <w:rFonts w:hint="eastAsia"/>
              </w:rPr>
              <w:t>为生活污水处理厂，建设性质属于新建，设计处理规模为10000m</w:t>
            </w:r>
            <w:r>
              <w:rPr>
                <w:rFonts w:hint="eastAsia"/>
                <w:vertAlign w:val="superscript"/>
              </w:rPr>
              <w:t>3</w:t>
            </w:r>
            <w:r>
              <w:rPr>
                <w:rFonts w:hint="eastAsia"/>
              </w:rPr>
              <w:t>/d，属于“新建、扩建日处理10万吨以下500吨及以上城乡污水处理的”，所以环境影响评价类别为报告表。</w:t>
            </w:r>
          </w:p>
          <w:p>
            <w:pPr>
              <w:pStyle w:val="14"/>
              <w:keepNext/>
            </w:pPr>
            <w:bookmarkStart w:id="14" w:name="_Ref173487311"/>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4"/>
            <w:r>
              <w:rPr>
                <w:rFonts w:hint="eastAsia"/>
              </w:rPr>
              <w:t xml:space="preserve">   《建设项目环境影响评价分类管理名录》（2021年版）</w:t>
            </w:r>
          </w:p>
          <w:tbl>
            <w:tblPr>
              <w:tblStyle w:val="39"/>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81"/>
              <w:gridCol w:w="1760"/>
              <w:gridCol w:w="2169"/>
              <w:gridCol w:w="1476"/>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6" w:type="dxa"/>
                  <w:gridSpan w:val="2"/>
                  <w:tcBorders>
                    <w:tl2br w:val="single" w:color="auto" w:sz="4" w:space="0"/>
                  </w:tcBorders>
                </w:tcPr>
                <w:p>
                  <w:pPr>
                    <w:pStyle w:val="63"/>
                    <w:jc w:val="right"/>
                  </w:pPr>
                  <w:r>
                    <w:rPr>
                      <w:rFonts w:hint="eastAsia"/>
                    </w:rPr>
                    <w:t>环评类别</w:t>
                  </w:r>
                </w:p>
                <w:p>
                  <w:pPr>
                    <w:pStyle w:val="63"/>
                    <w:jc w:val="left"/>
                  </w:pPr>
                </w:p>
                <w:p>
                  <w:pPr>
                    <w:pStyle w:val="63"/>
                    <w:jc w:val="left"/>
                  </w:pPr>
                  <w:r>
                    <w:rPr>
                      <w:rFonts w:hint="eastAsia"/>
                    </w:rPr>
                    <w:t>项目类别</w:t>
                  </w:r>
                </w:p>
              </w:tc>
              <w:tc>
                <w:tcPr>
                  <w:tcW w:w="1760" w:type="dxa"/>
                  <w:vAlign w:val="center"/>
                </w:tcPr>
                <w:p>
                  <w:pPr>
                    <w:pStyle w:val="63"/>
                  </w:pPr>
                  <w:r>
                    <w:rPr>
                      <w:rFonts w:hint="eastAsia"/>
                    </w:rPr>
                    <w:t>报告书</w:t>
                  </w:r>
                </w:p>
              </w:tc>
              <w:tc>
                <w:tcPr>
                  <w:tcW w:w="2169" w:type="dxa"/>
                  <w:vAlign w:val="center"/>
                </w:tcPr>
                <w:p>
                  <w:pPr>
                    <w:pStyle w:val="63"/>
                  </w:pPr>
                  <w:r>
                    <w:rPr>
                      <w:rFonts w:hint="eastAsia"/>
                    </w:rPr>
                    <w:t>报告表</w:t>
                  </w:r>
                </w:p>
              </w:tc>
              <w:tc>
                <w:tcPr>
                  <w:tcW w:w="1476" w:type="dxa"/>
                  <w:vAlign w:val="center"/>
                </w:tcPr>
                <w:p>
                  <w:pPr>
                    <w:pStyle w:val="63"/>
                  </w:pPr>
                  <w:r>
                    <w:rPr>
                      <w:rFonts w:hint="eastAsia"/>
                    </w:rPr>
                    <w:t>登记表</w:t>
                  </w:r>
                </w:p>
              </w:tc>
              <w:tc>
                <w:tcPr>
                  <w:tcW w:w="774" w:type="dxa"/>
                  <w:vAlign w:val="center"/>
                </w:tcPr>
                <w:p>
                  <w:pPr>
                    <w:pStyle w:val="63"/>
                  </w:pPr>
                  <w:r>
                    <w:rPr>
                      <w:rFonts w:hint="eastAsia"/>
                      <w:sz w:val="15"/>
                      <w:szCs w:val="16"/>
                    </w:rPr>
                    <w:t>本栏目环境敏感区含义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5" w:type="dxa"/>
                  <w:gridSpan w:val="6"/>
                </w:tcPr>
                <w:p>
                  <w:pPr>
                    <w:pStyle w:val="63"/>
                    <w:jc w:val="left"/>
                  </w:pPr>
                  <w:r>
                    <w:rPr>
                      <w:rFonts w:hint="eastAsia"/>
                      <w:b/>
                      <w:bCs/>
                    </w:rPr>
                    <w:t>四十三、水的生产和供应业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Align w:val="center"/>
                </w:tcPr>
                <w:p>
                  <w:pPr>
                    <w:pStyle w:val="63"/>
                    <w:rPr>
                      <w:sz w:val="18"/>
                      <w:szCs w:val="20"/>
                    </w:rPr>
                  </w:pPr>
                  <w:r>
                    <w:rPr>
                      <w:rFonts w:hint="eastAsia"/>
                      <w:sz w:val="18"/>
                      <w:szCs w:val="20"/>
                    </w:rPr>
                    <w:t>95</w:t>
                  </w:r>
                </w:p>
              </w:tc>
              <w:tc>
                <w:tcPr>
                  <w:tcW w:w="981" w:type="dxa"/>
                  <w:vAlign w:val="center"/>
                </w:tcPr>
                <w:p>
                  <w:pPr>
                    <w:pStyle w:val="63"/>
                    <w:rPr>
                      <w:sz w:val="18"/>
                      <w:szCs w:val="20"/>
                    </w:rPr>
                  </w:pPr>
                  <w:r>
                    <w:rPr>
                      <w:rFonts w:hint="eastAsia"/>
                      <w:sz w:val="18"/>
                      <w:szCs w:val="20"/>
                    </w:rPr>
                    <w:t>污水处理及其再生利用</w:t>
                  </w:r>
                </w:p>
              </w:tc>
              <w:tc>
                <w:tcPr>
                  <w:tcW w:w="1760" w:type="dxa"/>
                  <w:vAlign w:val="center"/>
                </w:tcPr>
                <w:p>
                  <w:pPr>
                    <w:pStyle w:val="63"/>
                    <w:rPr>
                      <w:sz w:val="18"/>
                      <w:szCs w:val="20"/>
                    </w:rPr>
                  </w:pPr>
                  <w:r>
                    <w:rPr>
                      <w:rFonts w:hint="eastAsia"/>
                      <w:sz w:val="18"/>
                      <w:szCs w:val="20"/>
                    </w:rPr>
                    <w:t>新建、扩建日处理10万吨及以上城乡污水处理的；新建、扩建工业废水集中处理的</w:t>
                  </w:r>
                </w:p>
              </w:tc>
              <w:tc>
                <w:tcPr>
                  <w:tcW w:w="2169" w:type="dxa"/>
                  <w:vAlign w:val="center"/>
                </w:tcPr>
                <w:p>
                  <w:pPr>
                    <w:pStyle w:val="63"/>
                    <w:rPr>
                      <w:sz w:val="18"/>
                      <w:szCs w:val="20"/>
                    </w:rPr>
                  </w:pPr>
                  <w:r>
                    <w:rPr>
                      <w:rFonts w:hint="eastAsia"/>
                      <w:b/>
                      <w:bCs/>
                      <w:sz w:val="18"/>
                      <w:szCs w:val="20"/>
                    </w:rPr>
                    <w:t>新建、扩建日处理</w:t>
                  </w:r>
                  <w:r>
                    <w:rPr>
                      <w:b/>
                      <w:bCs/>
                      <w:sz w:val="18"/>
                      <w:szCs w:val="20"/>
                    </w:rPr>
                    <w:t>10万吨以下500吨及以上城乡污水处理的</w:t>
                  </w:r>
                  <w:r>
                    <w:rPr>
                      <w:sz w:val="18"/>
                      <w:szCs w:val="20"/>
                    </w:rPr>
                    <w:t>:新建、扩建其他工业废水处理的(不含建设单位自建自用仅处理生活污水的;不含出水间接排入地表水体且不排放重金属的)</w:t>
                  </w:r>
                </w:p>
              </w:tc>
              <w:tc>
                <w:tcPr>
                  <w:tcW w:w="1476" w:type="dxa"/>
                  <w:vAlign w:val="center"/>
                </w:tcPr>
                <w:p>
                  <w:pPr>
                    <w:pStyle w:val="63"/>
                    <w:rPr>
                      <w:sz w:val="18"/>
                      <w:szCs w:val="20"/>
                    </w:rPr>
                  </w:pPr>
                  <w:r>
                    <w:rPr>
                      <w:rFonts w:hint="eastAsia"/>
                      <w:sz w:val="18"/>
                      <w:szCs w:val="20"/>
                    </w:rPr>
                    <w:t>其他</w:t>
                  </w:r>
                  <w:r>
                    <w:rPr>
                      <w:sz w:val="18"/>
                      <w:szCs w:val="20"/>
                    </w:rPr>
                    <w:t>(不含提标改造项目;不含化粪池及化粪池处理后中水处理回用;不含仅建设沉淀</w:t>
                  </w:r>
                </w:p>
                <w:p>
                  <w:pPr>
                    <w:pStyle w:val="63"/>
                    <w:rPr>
                      <w:sz w:val="18"/>
                      <w:szCs w:val="20"/>
                    </w:rPr>
                  </w:pPr>
                  <w:r>
                    <w:rPr>
                      <w:rFonts w:hint="eastAsia"/>
                      <w:sz w:val="18"/>
                      <w:szCs w:val="20"/>
                    </w:rPr>
                    <w:t>池处理的</w:t>
                  </w:r>
                  <w:r>
                    <w:rPr>
                      <w:sz w:val="18"/>
                      <w:szCs w:val="20"/>
                    </w:rPr>
                    <w:t>)</w:t>
                  </w:r>
                </w:p>
              </w:tc>
              <w:tc>
                <w:tcPr>
                  <w:tcW w:w="774" w:type="dxa"/>
                  <w:vAlign w:val="center"/>
                </w:tcPr>
                <w:p>
                  <w:pPr>
                    <w:pStyle w:val="63"/>
                    <w:rPr>
                      <w:sz w:val="18"/>
                      <w:szCs w:val="20"/>
                    </w:rPr>
                  </w:pPr>
                </w:p>
              </w:tc>
            </w:tr>
          </w:tbl>
          <w:p/>
          <w:p>
            <w:pPr>
              <w:pStyle w:val="5"/>
              <w:ind w:firstLine="480"/>
              <w:rPr>
                <w:rFonts w:cs="Times New Roman"/>
              </w:rPr>
            </w:pPr>
            <w:r>
              <w:rPr>
                <w:rFonts w:hint="eastAsia"/>
              </w:rPr>
              <w:t>根据</w:t>
            </w:r>
            <w:r>
              <w:rPr>
                <w:rFonts w:cs="Times New Roman"/>
              </w:rPr>
              <w:t>GB/T 4754-2017按第1号修改单修订</w:t>
            </w:r>
            <w:r>
              <w:rPr>
                <w:rFonts w:hint="eastAsia" w:cs="Times New Roman"/>
              </w:rPr>
              <w:t>，项目行业类别为46水的生产和供应业。根据《关于印发《建设项目环境影响报告表》内容、格式及编制技术指南的通知》（环办环评〔2020〕33号），本项目属于以污染影响为主要特征的建设项目环境影响报告表编制，所以本次评价按照《建设项目环境影响报告表编制技术指南（污染影响类）（试行）》要求进行编制。</w:t>
            </w:r>
          </w:p>
          <w:p>
            <w:pPr>
              <w:pStyle w:val="3"/>
              <w:spacing w:before="120" w:after="120"/>
            </w:pPr>
            <w:r>
              <w:rPr>
                <w:rFonts w:hint="eastAsia"/>
              </w:rPr>
              <w:t>项目概况</w:t>
            </w:r>
          </w:p>
          <w:p>
            <w:pPr>
              <w:pStyle w:val="5"/>
              <w:numPr>
                <w:ilvl w:val="0"/>
                <w:numId w:val="2"/>
              </w:numPr>
              <w:ind w:firstLineChars="0"/>
            </w:pPr>
            <w:r>
              <w:rPr>
                <w:rFonts w:hint="eastAsia"/>
              </w:rPr>
              <w:t>项目名称：高铁生态城新兴产业集聚区污水处理厂项目；</w:t>
            </w:r>
          </w:p>
          <w:p>
            <w:pPr>
              <w:pStyle w:val="5"/>
              <w:numPr>
                <w:ilvl w:val="0"/>
                <w:numId w:val="2"/>
              </w:numPr>
              <w:ind w:firstLineChars="0"/>
            </w:pPr>
            <w:r>
              <w:rPr>
                <w:rFonts w:hint="eastAsia"/>
              </w:rPr>
              <w:t>建设单位：重庆奉节城市运营管理有限公司；</w:t>
            </w:r>
          </w:p>
          <w:p>
            <w:pPr>
              <w:pStyle w:val="5"/>
              <w:numPr>
                <w:ilvl w:val="0"/>
                <w:numId w:val="2"/>
              </w:numPr>
              <w:ind w:firstLineChars="0"/>
            </w:pPr>
            <w:r>
              <w:rPr>
                <w:rFonts w:hint="eastAsia"/>
              </w:rPr>
              <w:t>工程性质：新建；</w:t>
            </w:r>
          </w:p>
          <w:p>
            <w:pPr>
              <w:pStyle w:val="5"/>
              <w:numPr>
                <w:ilvl w:val="0"/>
                <w:numId w:val="2"/>
              </w:numPr>
              <w:ind w:firstLineChars="0"/>
            </w:pPr>
            <w:r>
              <w:rPr>
                <w:rFonts w:hint="eastAsia"/>
              </w:rPr>
              <w:t>建设地点：重庆市奉节县朱衣镇；</w:t>
            </w:r>
          </w:p>
          <w:p>
            <w:pPr>
              <w:pStyle w:val="5"/>
              <w:numPr>
                <w:ilvl w:val="0"/>
                <w:numId w:val="2"/>
              </w:numPr>
              <w:ind w:firstLineChars="0"/>
            </w:pPr>
            <w:r>
              <w:rPr>
                <w:rFonts w:hint="eastAsia"/>
              </w:rPr>
              <w:t>占地规模：总占地面积</w:t>
            </w:r>
            <w:r>
              <w:t>17892.96m</w:t>
            </w:r>
            <w:r>
              <w:rPr>
                <w:vertAlign w:val="superscript"/>
              </w:rPr>
              <w:t>2</w:t>
            </w:r>
            <w:r>
              <w:rPr>
                <w:rFonts w:hint="eastAsia"/>
              </w:rPr>
              <w:t>；</w:t>
            </w:r>
          </w:p>
          <w:p>
            <w:pPr>
              <w:pStyle w:val="5"/>
              <w:numPr>
                <w:ilvl w:val="0"/>
                <w:numId w:val="2"/>
              </w:numPr>
              <w:ind w:firstLineChars="0"/>
            </w:pPr>
            <w:r>
              <w:rPr>
                <w:rFonts w:hint="eastAsia"/>
              </w:rPr>
              <w:t>建设规模：废水处理规模10000m</w:t>
            </w:r>
            <w:r>
              <w:rPr>
                <w:rFonts w:hint="eastAsia"/>
                <w:vertAlign w:val="superscript"/>
              </w:rPr>
              <w:t>3</w:t>
            </w:r>
            <w:r>
              <w:rPr>
                <w:rFonts w:hint="eastAsia"/>
              </w:rPr>
              <w:t>/d；</w:t>
            </w:r>
          </w:p>
          <w:p>
            <w:pPr>
              <w:pStyle w:val="5"/>
              <w:numPr>
                <w:ilvl w:val="0"/>
                <w:numId w:val="2"/>
              </w:numPr>
              <w:ind w:firstLineChars="0"/>
            </w:pPr>
            <w:r>
              <w:rPr>
                <w:rFonts w:hint="eastAsia"/>
              </w:rPr>
              <w:t>处理工艺：项目主体处理工艺为预处理+二级处理+深度处理+消毒，处理能力10000 m</w:t>
            </w:r>
            <w:r>
              <w:rPr>
                <w:rFonts w:hint="eastAsia"/>
                <w:vertAlign w:val="superscript"/>
              </w:rPr>
              <w:t>3</w:t>
            </w:r>
            <w:r>
              <w:rPr>
                <w:rFonts w:hint="eastAsia"/>
              </w:rPr>
              <w:t>/d，预处理采用“格栅调节池+细格栅及沉砂池 +气浮池+水解酸化”，二级处理采用以“AAO池+二沉池”，深度处理“高效沉淀池+彗星式纤维滤池”，消毒工艺采用“紫外线消毒”，污泥脱水采用“机械浓缩+污泥调理+隔膜压滤机”，臭气处理采用“生物除臭法”；</w:t>
            </w:r>
          </w:p>
          <w:p>
            <w:pPr>
              <w:pStyle w:val="5"/>
              <w:numPr>
                <w:ilvl w:val="0"/>
                <w:numId w:val="2"/>
              </w:numPr>
              <w:ind w:firstLineChars="0"/>
            </w:pPr>
            <w:r>
              <w:rPr>
                <w:rFonts w:hint="eastAsia"/>
              </w:rPr>
              <w:t>尾水排放去向和标准：污水达到《城镇污水处理厂污染物排放标准》（GB18918-2002）一级A标准后排入朱衣河；</w:t>
            </w:r>
          </w:p>
          <w:p>
            <w:pPr>
              <w:pStyle w:val="5"/>
              <w:numPr>
                <w:ilvl w:val="0"/>
                <w:numId w:val="2"/>
              </w:numPr>
              <w:ind w:firstLineChars="0"/>
            </w:pPr>
            <w:r>
              <w:rPr>
                <w:rFonts w:hint="eastAsia"/>
              </w:rPr>
              <w:t>工程投资：总投资20000万元，环保投资304万，占比1.52%；</w:t>
            </w:r>
          </w:p>
          <w:p>
            <w:pPr>
              <w:pStyle w:val="5"/>
              <w:numPr>
                <w:ilvl w:val="0"/>
                <w:numId w:val="2"/>
              </w:numPr>
              <w:ind w:firstLineChars="0"/>
            </w:pPr>
            <w:r>
              <w:rPr>
                <w:rFonts w:hint="eastAsia"/>
              </w:rPr>
              <w:t>劳动定员和工作制度：劳动定员12人，每年三班24小时连续运行，年运行365天。</w:t>
            </w:r>
          </w:p>
          <w:p>
            <w:pPr>
              <w:pStyle w:val="3"/>
              <w:spacing w:before="120" w:after="120"/>
            </w:pPr>
            <w:r>
              <w:rPr>
                <w:rFonts w:hint="eastAsia"/>
              </w:rPr>
              <w:t>服务范围污水量估算和排水管网建设情况</w:t>
            </w:r>
          </w:p>
          <w:p>
            <w:pPr>
              <w:pStyle w:val="4"/>
              <w:spacing w:before="120" w:after="120"/>
            </w:pPr>
            <w:r>
              <w:rPr>
                <w:rFonts w:hint="eastAsia"/>
              </w:rPr>
              <w:t>服务范围和对象</w:t>
            </w:r>
          </w:p>
          <w:p>
            <w:pPr>
              <w:pStyle w:val="5"/>
              <w:ind w:firstLine="480"/>
            </w:pPr>
            <w:r>
              <w:rPr>
                <w:rFonts w:hint="eastAsia"/>
              </w:rPr>
              <w:t>服务范围为高铁生态城新兴产业集聚区和周围村镇，收集集聚区内的工业废水、生活污水和集聚区外居民生活污水，其中高铁生态城新兴产业集聚区服务范围219.46公顷，集聚区外村镇服务范围313.66公顷，合计服务范围533.12公顷，见附图。</w:t>
            </w:r>
          </w:p>
          <w:p>
            <w:pPr>
              <w:pStyle w:val="4"/>
              <w:spacing w:before="120" w:after="120"/>
            </w:pPr>
            <w:r>
              <w:rPr>
                <w:rFonts w:hint="eastAsia"/>
              </w:rPr>
              <w:t>污水量估算</w:t>
            </w:r>
          </w:p>
          <w:p>
            <w:pPr>
              <w:pStyle w:val="5"/>
              <w:ind w:firstLine="480"/>
            </w:pPr>
            <w:r>
              <w:rPr>
                <w:rFonts w:hint="eastAsia"/>
              </w:rPr>
              <w:t>根据《重庆市奉节县高铁生态城新兴产业集聚区控制性详细规划环境影响报告书》和项目初设文件，集聚区内污废水产生量为6249.38m</w:t>
            </w:r>
            <w:r>
              <w:rPr>
                <w:rFonts w:hint="eastAsia"/>
                <w:vertAlign w:val="superscript"/>
              </w:rPr>
              <w:t>3</w:t>
            </w:r>
            <w:r>
              <w:rPr>
                <w:rFonts w:hint="eastAsia"/>
              </w:rPr>
              <w:t>/d，集聚区外污水产生量3623.4m</w:t>
            </w:r>
            <w:r>
              <w:rPr>
                <w:rFonts w:hint="eastAsia"/>
                <w:vertAlign w:val="superscript"/>
              </w:rPr>
              <w:t>3</w:t>
            </w:r>
            <w:r>
              <w:rPr>
                <w:rFonts w:hint="eastAsia"/>
              </w:rPr>
              <w:t>/d，合计进入本项目处理的污废水量为9872.78m</w:t>
            </w:r>
            <w:r>
              <w:rPr>
                <w:rFonts w:hint="eastAsia"/>
                <w:vertAlign w:val="superscript"/>
              </w:rPr>
              <w:t>3</w:t>
            </w:r>
            <w:r>
              <w:rPr>
                <w:rFonts w:hint="eastAsia"/>
              </w:rPr>
              <w:t>/d，本项目设计处理能力10000m</w:t>
            </w:r>
            <w:r>
              <w:rPr>
                <w:rFonts w:hint="eastAsia"/>
                <w:vertAlign w:val="superscript"/>
              </w:rPr>
              <w:t>3</w:t>
            </w:r>
            <w:r>
              <w:rPr>
                <w:rFonts w:hint="eastAsia"/>
              </w:rPr>
              <w:t>/d，满足收集污废水规模要求。</w:t>
            </w:r>
          </w:p>
          <w:p>
            <w:pPr>
              <w:pStyle w:val="4"/>
              <w:spacing w:before="120" w:after="120"/>
            </w:pPr>
            <w:r>
              <w:rPr>
                <w:rFonts w:hint="eastAsia"/>
              </w:rPr>
              <w:t>排水管网建设</w:t>
            </w:r>
          </w:p>
          <w:p>
            <w:pPr>
              <w:pStyle w:val="5"/>
              <w:ind w:firstLine="480"/>
            </w:pPr>
            <w:r>
              <w:rPr>
                <w:rFonts w:hint="eastAsia"/>
              </w:rPr>
              <w:t>集聚区内采用雨、污水分流制排水体制，重力流污水管管径为d400~d600，压力流污水管管径为DN200，污水管主要沿道路或绿化带顺地势铺设。集聚区外污水管道沿道路铺设。本次评价不包括场外管网建设内容，场外管网的主管道与本项目污水进口管道直接连接。</w:t>
            </w:r>
          </w:p>
          <w:p>
            <w:pPr>
              <w:pStyle w:val="3"/>
              <w:spacing w:before="120" w:after="120"/>
            </w:pPr>
            <w:r>
              <w:rPr>
                <w:rFonts w:hint="eastAsia"/>
              </w:rPr>
              <w:t>进出水水质</w:t>
            </w:r>
          </w:p>
          <w:p>
            <w:pPr>
              <w:pStyle w:val="4"/>
              <w:spacing w:before="120" w:after="120"/>
            </w:pPr>
            <w:r>
              <w:rPr>
                <w:rFonts w:hint="eastAsia"/>
              </w:rPr>
              <w:t>进水水质</w:t>
            </w:r>
          </w:p>
          <w:p>
            <w:pPr>
              <w:pStyle w:val="5"/>
              <w:ind w:firstLine="439" w:firstLineChars="183"/>
            </w:pPr>
            <w:r>
              <w:rPr>
                <w:rFonts w:hint="eastAsia"/>
              </w:rPr>
              <w:t>根据本项目初设文件，设计进水水质见</w:t>
            </w:r>
            <w:r>
              <w:fldChar w:fldCharType="begin" w:fldLock="1"/>
            </w:r>
            <w:r>
              <w:instrText xml:space="preserve"> </w:instrText>
            </w:r>
            <w:r>
              <w:rPr>
                <w:rFonts w:hint="eastAsia"/>
              </w:rPr>
              <w:instrText xml:space="preserve">REF _Ref169601457 \h</w:instrText>
            </w:r>
            <w:r>
              <w:instrText xml:space="preserve"> </w:instrText>
            </w:r>
            <w:r>
              <w:fldChar w:fldCharType="separate"/>
            </w:r>
            <w:r>
              <w:rPr>
                <w:rFonts w:hint="eastAsia"/>
              </w:rPr>
              <w:t xml:space="preserve">表 </w:t>
            </w:r>
            <w:r>
              <w:t>2.4</w:t>
            </w:r>
            <w:r>
              <w:noBreakHyphen/>
            </w:r>
            <w:r>
              <w:t>1</w:t>
            </w:r>
            <w:r>
              <w:fldChar w:fldCharType="end"/>
            </w:r>
            <w:r>
              <w:rPr>
                <w:rFonts w:hint="eastAsia"/>
              </w:rPr>
              <w:t>。</w:t>
            </w:r>
          </w:p>
          <w:p>
            <w:pPr>
              <w:pStyle w:val="14"/>
              <w:keepNext/>
            </w:pPr>
            <w:bookmarkStart w:id="15" w:name="_Ref169601457"/>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5"/>
            <w:r>
              <w:rPr>
                <w:rFonts w:hint="eastAsia"/>
              </w:rPr>
              <w:t xml:space="preserve">   污水处理厂设计进水水质  mg/L</w:t>
            </w:r>
          </w:p>
          <w:tbl>
            <w:tblPr>
              <w:tblStyle w:val="38"/>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927"/>
              <w:gridCol w:w="851"/>
              <w:gridCol w:w="851"/>
              <w:gridCol w:w="700"/>
              <w:gridCol w:w="668"/>
              <w:gridCol w:w="574"/>
              <w:gridCol w:w="632"/>
              <w:gridCol w:w="1135"/>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683" w:type="dxa"/>
                  <w:vAlign w:val="center"/>
                </w:tcPr>
                <w:p>
                  <w:pPr>
                    <w:pStyle w:val="63"/>
                  </w:pPr>
                  <w:r>
                    <w:t>指标</w:t>
                  </w:r>
                </w:p>
              </w:tc>
              <w:tc>
                <w:tcPr>
                  <w:tcW w:w="927" w:type="dxa"/>
                  <w:vAlign w:val="center"/>
                </w:tcPr>
                <w:p>
                  <w:pPr>
                    <w:pStyle w:val="63"/>
                  </w:pPr>
                  <w:r>
                    <w:t>pH</w:t>
                  </w:r>
                </w:p>
              </w:tc>
              <w:tc>
                <w:tcPr>
                  <w:tcW w:w="851" w:type="dxa"/>
                  <w:vAlign w:val="center"/>
                </w:tcPr>
                <w:p>
                  <w:pPr>
                    <w:pStyle w:val="63"/>
                    <w:rPr>
                      <w:vertAlign w:val="subscript"/>
                    </w:rPr>
                  </w:pPr>
                  <w:r>
                    <w:rPr>
                      <w:rFonts w:hint="eastAsia"/>
                    </w:rPr>
                    <w:t>COD</w:t>
                  </w:r>
                  <w:r>
                    <w:rPr>
                      <w:rFonts w:hint="eastAsia"/>
                      <w:vertAlign w:val="subscript"/>
                    </w:rPr>
                    <w:t>cr</w:t>
                  </w:r>
                </w:p>
              </w:tc>
              <w:tc>
                <w:tcPr>
                  <w:tcW w:w="851" w:type="dxa"/>
                  <w:vAlign w:val="center"/>
                </w:tcPr>
                <w:p>
                  <w:pPr>
                    <w:pStyle w:val="63"/>
                    <w:rPr>
                      <w:vertAlign w:val="subscript"/>
                    </w:rPr>
                  </w:pPr>
                  <w:r>
                    <w:rPr>
                      <w:rFonts w:hint="eastAsia"/>
                    </w:rPr>
                    <w:t>BOD</w:t>
                  </w:r>
                  <w:r>
                    <w:rPr>
                      <w:rFonts w:hint="eastAsia"/>
                      <w:vertAlign w:val="subscript"/>
                    </w:rPr>
                    <w:t>5</w:t>
                  </w:r>
                </w:p>
              </w:tc>
              <w:tc>
                <w:tcPr>
                  <w:tcW w:w="700" w:type="dxa"/>
                  <w:vAlign w:val="center"/>
                </w:tcPr>
                <w:p>
                  <w:pPr>
                    <w:pStyle w:val="63"/>
                  </w:pPr>
                  <w:r>
                    <w:t>SS</w:t>
                  </w:r>
                </w:p>
              </w:tc>
              <w:tc>
                <w:tcPr>
                  <w:tcW w:w="668" w:type="dxa"/>
                  <w:vAlign w:val="center"/>
                </w:tcPr>
                <w:p>
                  <w:pPr>
                    <w:pStyle w:val="63"/>
                  </w:pPr>
                  <w:r>
                    <w:rPr>
                      <w:sz w:val="16"/>
                      <w:szCs w:val="18"/>
                    </w:rPr>
                    <w:t>NH</w:t>
                  </w:r>
                  <w:r>
                    <w:rPr>
                      <w:sz w:val="16"/>
                      <w:szCs w:val="18"/>
                      <w:vertAlign w:val="subscript"/>
                    </w:rPr>
                    <w:t>3</w:t>
                  </w:r>
                  <w:r>
                    <w:rPr>
                      <w:sz w:val="16"/>
                      <w:szCs w:val="18"/>
                    </w:rPr>
                    <w:t>-N</w:t>
                  </w:r>
                </w:p>
              </w:tc>
              <w:tc>
                <w:tcPr>
                  <w:tcW w:w="574" w:type="dxa"/>
                  <w:vAlign w:val="center"/>
                </w:tcPr>
                <w:p>
                  <w:pPr>
                    <w:pStyle w:val="63"/>
                  </w:pPr>
                  <w:r>
                    <w:t>TN</w:t>
                  </w:r>
                </w:p>
              </w:tc>
              <w:tc>
                <w:tcPr>
                  <w:tcW w:w="632" w:type="dxa"/>
                  <w:vAlign w:val="center"/>
                </w:tcPr>
                <w:p>
                  <w:pPr>
                    <w:pStyle w:val="63"/>
                  </w:pPr>
                  <w:r>
                    <w:t>TP</w:t>
                  </w:r>
                </w:p>
              </w:tc>
              <w:tc>
                <w:tcPr>
                  <w:tcW w:w="1135" w:type="dxa"/>
                  <w:vAlign w:val="center"/>
                </w:tcPr>
                <w:p>
                  <w:pPr>
                    <w:pStyle w:val="63"/>
                  </w:pPr>
                  <w:r>
                    <w:t>动植物油</w:t>
                  </w:r>
                </w:p>
              </w:tc>
              <w:tc>
                <w:tcPr>
                  <w:tcW w:w="914" w:type="dxa"/>
                  <w:vAlign w:val="center"/>
                </w:tcPr>
                <w:p>
                  <w:pPr>
                    <w:pStyle w:val="63"/>
                  </w:pPr>
                  <w:r>
                    <w:rPr>
                      <w:rFonts w:hint="eastAsia"/>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683" w:type="dxa"/>
                  <w:vAlign w:val="center"/>
                </w:tcPr>
                <w:p>
                  <w:pPr>
                    <w:pStyle w:val="63"/>
                    <w:rPr>
                      <w:szCs w:val="21"/>
                    </w:rPr>
                  </w:pPr>
                  <w:r>
                    <w:rPr>
                      <w:szCs w:val="21"/>
                    </w:rPr>
                    <w:t>数值</w:t>
                  </w:r>
                </w:p>
              </w:tc>
              <w:tc>
                <w:tcPr>
                  <w:tcW w:w="927" w:type="dxa"/>
                  <w:vAlign w:val="center"/>
                </w:tcPr>
                <w:p>
                  <w:pPr>
                    <w:pStyle w:val="63"/>
                    <w:rPr>
                      <w:szCs w:val="21"/>
                    </w:rPr>
                  </w:pPr>
                  <w:r>
                    <w:rPr>
                      <w:rFonts w:hint="eastAsia"/>
                      <w:szCs w:val="21"/>
                    </w:rPr>
                    <w:t>6.</w:t>
                  </w:r>
                  <w:r>
                    <w:rPr>
                      <w:szCs w:val="21"/>
                    </w:rPr>
                    <w:t>0~9.0</w:t>
                  </w:r>
                </w:p>
              </w:tc>
              <w:tc>
                <w:tcPr>
                  <w:tcW w:w="851" w:type="dxa"/>
                  <w:vAlign w:val="center"/>
                </w:tcPr>
                <w:p>
                  <w:pPr>
                    <w:pStyle w:val="63"/>
                    <w:rPr>
                      <w:szCs w:val="21"/>
                    </w:rPr>
                  </w:pPr>
                  <w:r>
                    <w:rPr>
                      <w:szCs w:val="21"/>
                    </w:rPr>
                    <w:t>≤50</w:t>
                  </w:r>
                  <w:r>
                    <w:rPr>
                      <w:rFonts w:hint="eastAsia"/>
                      <w:szCs w:val="21"/>
                    </w:rPr>
                    <w:t>0</w:t>
                  </w:r>
                </w:p>
              </w:tc>
              <w:tc>
                <w:tcPr>
                  <w:tcW w:w="851" w:type="dxa"/>
                  <w:vAlign w:val="center"/>
                </w:tcPr>
                <w:p>
                  <w:pPr>
                    <w:pStyle w:val="63"/>
                    <w:rPr>
                      <w:szCs w:val="21"/>
                    </w:rPr>
                  </w:pPr>
                  <w:r>
                    <w:rPr>
                      <w:szCs w:val="21"/>
                    </w:rPr>
                    <w:t>≤300</w:t>
                  </w:r>
                </w:p>
              </w:tc>
              <w:tc>
                <w:tcPr>
                  <w:tcW w:w="700" w:type="dxa"/>
                  <w:vAlign w:val="center"/>
                </w:tcPr>
                <w:p>
                  <w:pPr>
                    <w:pStyle w:val="63"/>
                    <w:rPr>
                      <w:szCs w:val="21"/>
                    </w:rPr>
                  </w:pPr>
                  <w:r>
                    <w:rPr>
                      <w:szCs w:val="21"/>
                    </w:rPr>
                    <w:t>≤4</w:t>
                  </w:r>
                  <w:r>
                    <w:rPr>
                      <w:rFonts w:hint="eastAsia"/>
                      <w:szCs w:val="21"/>
                    </w:rPr>
                    <w:t>00</w:t>
                  </w:r>
                </w:p>
              </w:tc>
              <w:tc>
                <w:tcPr>
                  <w:tcW w:w="668" w:type="dxa"/>
                  <w:vAlign w:val="center"/>
                </w:tcPr>
                <w:p>
                  <w:pPr>
                    <w:pStyle w:val="63"/>
                    <w:rPr>
                      <w:szCs w:val="21"/>
                    </w:rPr>
                  </w:pPr>
                  <w:r>
                    <w:rPr>
                      <w:szCs w:val="21"/>
                    </w:rPr>
                    <w:t>≤</w:t>
                  </w:r>
                  <w:r>
                    <w:rPr>
                      <w:rFonts w:hint="eastAsia"/>
                      <w:szCs w:val="21"/>
                    </w:rPr>
                    <w:t>30</w:t>
                  </w:r>
                </w:p>
              </w:tc>
              <w:tc>
                <w:tcPr>
                  <w:tcW w:w="574" w:type="dxa"/>
                  <w:vAlign w:val="center"/>
                </w:tcPr>
                <w:p>
                  <w:pPr>
                    <w:pStyle w:val="63"/>
                    <w:rPr>
                      <w:szCs w:val="21"/>
                    </w:rPr>
                  </w:pPr>
                  <w:r>
                    <w:rPr>
                      <w:szCs w:val="21"/>
                    </w:rPr>
                    <w:t>≤</w:t>
                  </w:r>
                  <w:r>
                    <w:rPr>
                      <w:rFonts w:hint="eastAsia"/>
                      <w:szCs w:val="21"/>
                    </w:rPr>
                    <w:t>4</w:t>
                  </w:r>
                  <w:r>
                    <w:rPr>
                      <w:szCs w:val="21"/>
                    </w:rPr>
                    <w:t>5</w:t>
                  </w:r>
                </w:p>
              </w:tc>
              <w:tc>
                <w:tcPr>
                  <w:tcW w:w="632" w:type="dxa"/>
                  <w:vAlign w:val="center"/>
                </w:tcPr>
                <w:p>
                  <w:pPr>
                    <w:pStyle w:val="63"/>
                    <w:rPr>
                      <w:szCs w:val="21"/>
                    </w:rPr>
                  </w:pPr>
                  <w:r>
                    <w:rPr>
                      <w:szCs w:val="21"/>
                    </w:rPr>
                    <w:t>≤3</w:t>
                  </w:r>
                </w:p>
              </w:tc>
              <w:tc>
                <w:tcPr>
                  <w:tcW w:w="1135" w:type="dxa"/>
                  <w:vAlign w:val="center"/>
                </w:tcPr>
                <w:p>
                  <w:pPr>
                    <w:pStyle w:val="63"/>
                    <w:rPr>
                      <w:szCs w:val="21"/>
                    </w:rPr>
                  </w:pPr>
                  <w:r>
                    <w:rPr>
                      <w:szCs w:val="21"/>
                    </w:rPr>
                    <w:t>≤</w:t>
                  </w:r>
                  <w:r>
                    <w:rPr>
                      <w:rFonts w:hint="eastAsia"/>
                      <w:szCs w:val="21"/>
                    </w:rPr>
                    <w:t>100</w:t>
                  </w:r>
                </w:p>
              </w:tc>
              <w:tc>
                <w:tcPr>
                  <w:tcW w:w="914" w:type="dxa"/>
                  <w:vAlign w:val="center"/>
                </w:tcPr>
                <w:p>
                  <w:pPr>
                    <w:pStyle w:val="63"/>
                    <w:rPr>
                      <w:szCs w:val="21"/>
                    </w:rPr>
                  </w:pPr>
                  <w:r>
                    <w:rPr>
                      <w:szCs w:val="21"/>
                    </w:rPr>
                    <w:t>≤2</w:t>
                  </w:r>
                  <w:r>
                    <w:rPr>
                      <w:rFonts w:hint="eastAsia"/>
                      <w:szCs w:val="21"/>
                    </w:rPr>
                    <w:t>0</w:t>
                  </w:r>
                </w:p>
              </w:tc>
            </w:tr>
          </w:tbl>
          <w:p/>
          <w:p>
            <w:pPr>
              <w:pStyle w:val="4"/>
              <w:spacing w:before="120" w:after="120"/>
            </w:pPr>
            <w:r>
              <w:rPr>
                <w:rFonts w:hint="eastAsia"/>
              </w:rPr>
              <w:t>出水水质</w:t>
            </w:r>
          </w:p>
          <w:p>
            <w:pPr>
              <w:pStyle w:val="5"/>
              <w:ind w:firstLine="480"/>
            </w:pPr>
            <w:r>
              <w:rPr>
                <w:rFonts w:hint="eastAsia"/>
              </w:rPr>
              <w:t>根据项目设计和备案证，本项目出水水质执行《城镇污水处理厂污染物排放标准》（GB18918-2002）一级标准A类。</w:t>
            </w:r>
          </w:p>
          <w:p>
            <w:pPr>
              <w:pStyle w:val="3"/>
              <w:spacing w:before="120" w:after="120"/>
            </w:pPr>
            <w:r>
              <w:rPr>
                <w:rFonts w:hint="eastAsia"/>
              </w:rPr>
              <w:t>建设内容</w:t>
            </w:r>
          </w:p>
          <w:p>
            <w:pPr>
              <w:pStyle w:val="4"/>
              <w:spacing w:before="120" w:after="120"/>
            </w:pPr>
            <w:r>
              <w:rPr>
                <w:rFonts w:hint="eastAsia"/>
              </w:rPr>
              <w:t>项目组成</w:t>
            </w:r>
          </w:p>
          <w:p>
            <w:pPr>
              <w:pStyle w:val="5"/>
              <w:ind w:firstLine="480"/>
            </w:pPr>
            <w:r>
              <w:rPr>
                <w:rFonts w:hint="eastAsia"/>
              </w:rPr>
              <w:t>项目包含主体工程（预处理系统、二级处理系统、深度处理系统、消毒处理系统、污泥处置系统）、辅助工程、公用工程和环保工程，项目组成见</w:t>
            </w:r>
            <w:r>
              <w:fldChar w:fldCharType="begin"/>
            </w:r>
            <w:r>
              <w:instrText xml:space="preserve"> </w:instrText>
            </w:r>
            <w:r>
              <w:rPr>
                <w:rFonts w:hint="eastAsia"/>
              </w:rPr>
              <w:instrText xml:space="preserve">REF _Ref169605058 \h</w:instrText>
            </w:r>
            <w:r>
              <w:instrText xml:space="preserve"> </w:instrText>
            </w:r>
            <w:r>
              <w:fldChar w:fldCharType="separate"/>
            </w:r>
            <w:r>
              <w:rPr>
                <w:rFonts w:hint="eastAsia"/>
              </w:rPr>
              <w:t xml:space="preserve">表 </w:t>
            </w:r>
            <w:r>
              <w:t>2.5</w:t>
            </w:r>
            <w:r>
              <w:noBreakHyphen/>
            </w:r>
            <w:r>
              <w:t>1</w:t>
            </w:r>
            <w:r>
              <w:fldChar w:fldCharType="end"/>
            </w:r>
            <w:r>
              <w:rPr>
                <w:rFonts w:hint="eastAsia"/>
              </w:rPr>
              <w:t>。</w:t>
            </w:r>
          </w:p>
          <w:p>
            <w:pPr>
              <w:pStyle w:val="14"/>
              <w:keepNext/>
            </w:pPr>
            <w:bookmarkStart w:id="16" w:name="_Ref169605058"/>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6"/>
            <w:r>
              <w:rPr>
                <w:rFonts w:hint="eastAsia"/>
              </w:rPr>
              <w:t xml:space="preserve">   项目组成一览表</w:t>
            </w:r>
          </w:p>
          <w:tbl>
            <w:tblPr>
              <w:tblStyle w:val="39"/>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755"/>
              <w:gridCol w:w="976"/>
              <w:gridCol w:w="4932"/>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Align w:val="center"/>
                </w:tcPr>
                <w:p>
                  <w:pPr>
                    <w:pStyle w:val="63"/>
                  </w:pPr>
                  <w:r>
                    <w:rPr>
                      <w:rFonts w:hint="eastAsia"/>
                    </w:rPr>
                    <w:t>类别</w:t>
                  </w:r>
                </w:p>
              </w:tc>
              <w:tc>
                <w:tcPr>
                  <w:tcW w:w="755" w:type="dxa"/>
                  <w:vAlign w:val="center"/>
                </w:tcPr>
                <w:p>
                  <w:pPr>
                    <w:pStyle w:val="63"/>
                  </w:pPr>
                  <w:r>
                    <w:rPr>
                      <w:rFonts w:hint="eastAsia"/>
                    </w:rPr>
                    <w:t>系统</w:t>
                  </w:r>
                </w:p>
                <w:p>
                  <w:pPr>
                    <w:pStyle w:val="63"/>
                  </w:pPr>
                  <w:r>
                    <w:rPr>
                      <w:rFonts w:hint="eastAsia"/>
                    </w:rPr>
                    <w:t>名称</w:t>
                  </w:r>
                </w:p>
              </w:tc>
              <w:tc>
                <w:tcPr>
                  <w:tcW w:w="976" w:type="dxa"/>
                  <w:vAlign w:val="center"/>
                </w:tcPr>
                <w:p>
                  <w:pPr>
                    <w:pStyle w:val="63"/>
                  </w:pPr>
                  <w:r>
                    <w:rPr>
                      <w:rFonts w:hint="eastAsia"/>
                    </w:rPr>
                    <w:t>设施</w:t>
                  </w:r>
                </w:p>
                <w:p>
                  <w:pPr>
                    <w:pStyle w:val="63"/>
                  </w:pPr>
                  <w:r>
                    <w:rPr>
                      <w:rFonts w:hint="eastAsia"/>
                    </w:rPr>
                    <w:t>名称</w:t>
                  </w:r>
                </w:p>
              </w:tc>
              <w:tc>
                <w:tcPr>
                  <w:tcW w:w="4932" w:type="dxa"/>
                  <w:vAlign w:val="center"/>
                </w:tcPr>
                <w:p>
                  <w:pPr>
                    <w:pStyle w:val="63"/>
                  </w:pPr>
                  <w:r>
                    <w:rPr>
                      <w:rFonts w:hint="eastAsia"/>
                    </w:rPr>
                    <w:t>主要建设内容</w:t>
                  </w:r>
                </w:p>
              </w:tc>
              <w:tc>
                <w:tcPr>
                  <w:tcW w:w="773"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restart"/>
                  <w:vAlign w:val="center"/>
                </w:tcPr>
                <w:p>
                  <w:pPr>
                    <w:pStyle w:val="63"/>
                  </w:pPr>
                  <w:r>
                    <w:rPr>
                      <w:rFonts w:hint="eastAsia"/>
                    </w:rPr>
                    <w:t>主体</w:t>
                  </w:r>
                </w:p>
                <w:p>
                  <w:pPr>
                    <w:pStyle w:val="63"/>
                  </w:pPr>
                  <w:r>
                    <w:rPr>
                      <w:rFonts w:hint="eastAsia"/>
                    </w:rPr>
                    <w:t>工程</w:t>
                  </w:r>
                </w:p>
              </w:tc>
              <w:tc>
                <w:tcPr>
                  <w:tcW w:w="755" w:type="dxa"/>
                  <w:vMerge w:val="restart"/>
                  <w:vAlign w:val="center"/>
                </w:tcPr>
                <w:p>
                  <w:pPr>
                    <w:pStyle w:val="63"/>
                  </w:pPr>
                  <w:r>
                    <w:rPr>
                      <w:rFonts w:hint="eastAsia"/>
                    </w:rPr>
                    <w:t>预处理</w:t>
                  </w:r>
                </w:p>
                <w:p>
                  <w:pPr>
                    <w:pStyle w:val="63"/>
                  </w:pPr>
                  <w:r>
                    <w:rPr>
                      <w:rFonts w:hint="eastAsia"/>
                    </w:rPr>
                    <w:t>系统</w:t>
                  </w:r>
                </w:p>
              </w:tc>
              <w:tc>
                <w:tcPr>
                  <w:tcW w:w="976" w:type="dxa"/>
                  <w:vAlign w:val="center"/>
                </w:tcPr>
                <w:p>
                  <w:pPr>
                    <w:pStyle w:val="63"/>
                  </w:pPr>
                  <w:r>
                    <w:rPr>
                      <w:rFonts w:hint="eastAsia"/>
                    </w:rPr>
                    <w:t>粗格栅</w:t>
                  </w:r>
                </w:p>
              </w:tc>
              <w:tc>
                <w:tcPr>
                  <w:tcW w:w="4932" w:type="dxa"/>
                  <w:vAlign w:val="center"/>
                </w:tcPr>
                <w:p>
                  <w:pPr>
                    <w:pStyle w:val="63"/>
                  </w:pPr>
                  <w:r>
                    <w:rPr>
                      <w:rFonts w:hint="eastAsia"/>
                    </w:rPr>
                    <w:t>钢混，1座，尺寸</w:t>
                  </w:r>
                  <w:r>
                    <w:t>10.3 m×2.0 m×</w:t>
                  </w:r>
                  <w:r>
                    <w:rPr>
                      <w:rFonts w:hint="eastAsia"/>
                    </w:rPr>
                    <w:t>2.8</w:t>
                  </w:r>
                  <w:r>
                    <w:t>m</w:t>
                  </w:r>
                  <w:r>
                    <w:rPr>
                      <w:rFonts w:hint="eastAsia"/>
                    </w:rPr>
                    <w:t>，拦截体积较大的悬浮物</w:t>
                  </w:r>
                </w:p>
              </w:tc>
              <w:tc>
                <w:tcPr>
                  <w:tcW w:w="773" w:type="dxa"/>
                  <w:vAlign w:val="center"/>
                </w:tcPr>
                <w:p>
                  <w:pPr>
                    <w:pStyle w:val="63"/>
                  </w:pPr>
                  <w:r>
                    <w:rPr>
                      <w:rFonts w:hint="eastAsia"/>
                    </w:rPr>
                    <w:t>全地下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rPr>
                      <w:b/>
                      <w:bCs/>
                    </w:rPr>
                  </w:pPr>
                  <w:r>
                    <w:rPr>
                      <w:rFonts w:hint="eastAsia"/>
                    </w:rPr>
                    <w:t>细格栅</w:t>
                  </w:r>
                </w:p>
              </w:tc>
              <w:tc>
                <w:tcPr>
                  <w:tcW w:w="4932" w:type="dxa"/>
                  <w:vAlign w:val="center"/>
                </w:tcPr>
                <w:p>
                  <w:pPr>
                    <w:pStyle w:val="63"/>
                    <w:rPr>
                      <w:b/>
                      <w:bCs/>
                    </w:rPr>
                  </w:pPr>
                  <w:r>
                    <w:rPr>
                      <w:rFonts w:hint="eastAsia"/>
                    </w:rPr>
                    <w:t>钢混，1座，尺寸10.95</w:t>
                  </w:r>
                  <w:r>
                    <w:t xml:space="preserve"> m×3.0 m×</w:t>
                  </w:r>
                  <w:r>
                    <w:rPr>
                      <w:rFonts w:hint="eastAsia"/>
                    </w:rPr>
                    <w:t>1.3~3.3</w:t>
                  </w:r>
                  <w:r>
                    <w:t>m</w:t>
                  </w:r>
                  <w:r>
                    <w:rPr>
                      <w:rFonts w:hint="eastAsia"/>
                    </w:rPr>
                    <w:t>，拦截细小悬浮物</w:t>
                  </w:r>
                </w:p>
              </w:tc>
              <w:tc>
                <w:tcPr>
                  <w:tcW w:w="773" w:type="dxa"/>
                  <w:vAlign w:val="center"/>
                </w:tcPr>
                <w:p>
                  <w:pPr>
                    <w:pStyle w:val="63"/>
                    <w:rPr>
                      <w:b/>
                      <w:bCs/>
                    </w:rPr>
                  </w:pPr>
                  <w:r>
                    <w:rPr>
                      <w:rFonts w:hint="eastAsia"/>
                    </w:rPr>
                    <w:t>全地上架空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调节池</w:t>
                  </w:r>
                </w:p>
              </w:tc>
              <w:tc>
                <w:tcPr>
                  <w:tcW w:w="4932" w:type="dxa"/>
                  <w:vAlign w:val="center"/>
                </w:tcPr>
                <w:p>
                  <w:pPr>
                    <w:pStyle w:val="63"/>
                  </w:pPr>
                  <w:r>
                    <w:rPr>
                      <w:rFonts w:hint="eastAsia"/>
                    </w:rPr>
                    <w:t>钢混，1座，尺寸</w:t>
                  </w:r>
                  <w:r>
                    <w:t>26 m×20 m×</w:t>
                  </w:r>
                  <w:r>
                    <w:rPr>
                      <w:rFonts w:hint="eastAsia"/>
                    </w:rPr>
                    <w:t>5.9</w:t>
                  </w:r>
                  <w:r>
                    <w:t>m</w:t>
                  </w:r>
                  <w:r>
                    <w:rPr>
                      <w:rFonts w:hint="eastAsia"/>
                    </w:rPr>
                    <w:t>，调节水质和水量</w:t>
                  </w:r>
                </w:p>
              </w:tc>
              <w:tc>
                <w:tcPr>
                  <w:tcW w:w="773" w:type="dxa"/>
                  <w:vAlign w:val="center"/>
                </w:tcPr>
                <w:p>
                  <w:pPr>
                    <w:pStyle w:val="63"/>
                  </w:pPr>
                  <w:r>
                    <w:rPr>
                      <w:rFonts w:hint="eastAsia"/>
                    </w:rPr>
                    <w:t>全地下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平流沉砂池</w:t>
                  </w:r>
                </w:p>
              </w:tc>
              <w:tc>
                <w:tcPr>
                  <w:tcW w:w="4932" w:type="dxa"/>
                  <w:vAlign w:val="center"/>
                </w:tcPr>
                <w:p>
                  <w:pPr>
                    <w:pStyle w:val="63"/>
                  </w:pPr>
                  <w:r>
                    <w:rPr>
                      <w:rFonts w:hint="eastAsia"/>
                    </w:rPr>
                    <w:t>钢混，1座，尺寸</w:t>
                  </w:r>
                  <w:r>
                    <w:t>10.95 m×3.0 m×1.3</w:t>
                  </w:r>
                  <w:r>
                    <w:rPr>
                      <w:rFonts w:hint="eastAsia"/>
                    </w:rPr>
                    <w:t>~</w:t>
                  </w:r>
                  <w:r>
                    <w:t>3.3m</w:t>
                  </w:r>
                  <w:r>
                    <w:rPr>
                      <w:rFonts w:hint="eastAsia"/>
                    </w:rPr>
                    <w:t>，去除水中砂粒</w:t>
                  </w:r>
                </w:p>
              </w:tc>
              <w:tc>
                <w:tcPr>
                  <w:tcW w:w="773" w:type="dxa"/>
                  <w:vAlign w:val="center"/>
                </w:tcPr>
                <w:p>
                  <w:pPr>
                    <w:pStyle w:val="63"/>
                  </w:pPr>
                  <w:r>
                    <w:rPr>
                      <w:rFonts w:hint="eastAsia"/>
                    </w:rPr>
                    <w:t>全地上架空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混合池</w:t>
                  </w:r>
                </w:p>
              </w:tc>
              <w:tc>
                <w:tcPr>
                  <w:tcW w:w="4932" w:type="dxa"/>
                  <w:vAlign w:val="center"/>
                </w:tcPr>
                <w:p>
                  <w:pPr>
                    <w:pStyle w:val="63"/>
                  </w:pPr>
                  <w:r>
                    <w:rPr>
                      <w:rFonts w:hint="eastAsia"/>
                    </w:rPr>
                    <w:t>钢混，尺寸3.2</w:t>
                  </w:r>
                  <w:r>
                    <w:t xml:space="preserve"> m×</w:t>
                  </w:r>
                  <w:r>
                    <w:rPr>
                      <w:rFonts w:hint="eastAsia"/>
                    </w:rPr>
                    <w:t>2.5</w:t>
                  </w:r>
                  <w:r>
                    <w:t>m×</w:t>
                  </w:r>
                  <w:r>
                    <w:rPr>
                      <w:rFonts w:hint="eastAsia"/>
                    </w:rPr>
                    <w:t>7.5</w:t>
                  </w:r>
                  <w:r>
                    <w:t>m</w:t>
                  </w:r>
                  <w:r>
                    <w:rPr>
                      <w:rFonts w:hint="eastAsia"/>
                    </w:rPr>
                    <w:t>，将沉砂池出水与</w:t>
                  </w:r>
                  <w:r>
                    <w:t>PAC、PAM药剂混合，为气浮反应准备</w:t>
                  </w:r>
                </w:p>
              </w:tc>
              <w:tc>
                <w:tcPr>
                  <w:tcW w:w="773" w:type="dxa"/>
                  <w:vAlign w:val="center"/>
                </w:tcPr>
                <w:p>
                  <w:pPr>
                    <w:pStyle w:val="63"/>
                  </w:pPr>
                  <w:r>
                    <w:rPr>
                      <w:rFonts w:hint="eastAsia"/>
                    </w:rPr>
                    <w:t>全地上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气浮池</w:t>
                  </w:r>
                </w:p>
              </w:tc>
              <w:tc>
                <w:tcPr>
                  <w:tcW w:w="4932" w:type="dxa"/>
                  <w:vAlign w:val="center"/>
                </w:tcPr>
                <w:p>
                  <w:pPr>
                    <w:pStyle w:val="63"/>
                  </w:pPr>
                  <w:r>
                    <w:rPr>
                      <w:rFonts w:hint="eastAsia"/>
                    </w:rPr>
                    <w:t>碳钢，内径</w:t>
                  </w:r>
                  <w:r>
                    <w:t>8×0.9m</w:t>
                  </w:r>
                  <w:r>
                    <w:rPr>
                      <w:rFonts w:hint="eastAsia"/>
                    </w:rPr>
                    <w:t>，单座设计处理量210m</w:t>
                  </w:r>
                  <w:r>
                    <w:rPr>
                      <w:rFonts w:hint="eastAsia"/>
                      <w:vertAlign w:val="superscript"/>
                    </w:rPr>
                    <w:t>3</w:t>
                  </w:r>
                  <w:r>
                    <w:rPr>
                      <w:rFonts w:hint="eastAsia"/>
                    </w:rPr>
                    <w:t>/h，去除水体细小悬浮物、胶体、油脂等</w:t>
                  </w:r>
                </w:p>
              </w:tc>
              <w:tc>
                <w:tcPr>
                  <w:tcW w:w="773" w:type="dxa"/>
                  <w:vAlign w:val="center"/>
                </w:tcPr>
                <w:p>
                  <w:pPr>
                    <w:pStyle w:val="63"/>
                  </w:pPr>
                  <w:r>
                    <w:rPr>
                      <w:rFonts w:hint="eastAsia"/>
                    </w:rPr>
                    <w:t>全地上架空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水解酸化池</w:t>
                  </w:r>
                </w:p>
              </w:tc>
              <w:tc>
                <w:tcPr>
                  <w:tcW w:w="4932" w:type="dxa"/>
                  <w:vAlign w:val="center"/>
                </w:tcPr>
                <w:p>
                  <w:pPr>
                    <w:pStyle w:val="63"/>
                  </w:pPr>
                  <w:r>
                    <w:rPr>
                      <w:rFonts w:hint="eastAsia"/>
                    </w:rPr>
                    <w:t>钢混，1座，尺寸</w:t>
                  </w:r>
                  <w:r>
                    <w:t>36.</w:t>
                  </w:r>
                  <w:r>
                    <w:rPr>
                      <w:rFonts w:hint="eastAsia"/>
                    </w:rPr>
                    <w:t>4</w:t>
                  </w:r>
                  <w:r>
                    <w:t>m×14 m×5.5m</w:t>
                  </w:r>
                  <w:r>
                    <w:rPr>
                      <w:rFonts w:hint="eastAsia"/>
                    </w:rPr>
                    <w:t>，生物预处理，提高废水</w:t>
                  </w:r>
                  <w:r>
                    <w:t>B/C</w:t>
                  </w:r>
                </w:p>
              </w:tc>
              <w:tc>
                <w:tcPr>
                  <w:tcW w:w="773" w:type="dxa"/>
                  <w:vAlign w:val="center"/>
                </w:tcPr>
                <w:p>
                  <w:pPr>
                    <w:pStyle w:val="63"/>
                  </w:pPr>
                  <w:r>
                    <w:rPr>
                      <w:rFonts w:hint="eastAsia"/>
                    </w:rPr>
                    <w:t>半地上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restart"/>
                  <w:vAlign w:val="center"/>
                </w:tcPr>
                <w:p>
                  <w:pPr>
                    <w:pStyle w:val="63"/>
                  </w:pPr>
                  <w:r>
                    <w:rPr>
                      <w:rFonts w:hint="eastAsia"/>
                    </w:rPr>
                    <w:t>二级处理系统</w:t>
                  </w:r>
                </w:p>
              </w:tc>
              <w:tc>
                <w:tcPr>
                  <w:tcW w:w="976" w:type="dxa"/>
                  <w:vAlign w:val="center"/>
                </w:tcPr>
                <w:p>
                  <w:pPr>
                    <w:pStyle w:val="63"/>
                  </w:pPr>
                  <w:r>
                    <w:rPr>
                      <w:rFonts w:hint="eastAsia"/>
                    </w:rPr>
                    <w:t>AAO生物池</w:t>
                  </w:r>
                </w:p>
              </w:tc>
              <w:tc>
                <w:tcPr>
                  <w:tcW w:w="4932" w:type="dxa"/>
                  <w:vAlign w:val="center"/>
                </w:tcPr>
                <w:p>
                  <w:pPr>
                    <w:pStyle w:val="63"/>
                  </w:pPr>
                  <w:r>
                    <w:rPr>
                      <w:rFonts w:hint="eastAsia"/>
                    </w:rPr>
                    <w:t>钢混，2座，尺寸</w:t>
                  </w:r>
                  <w:r>
                    <w:t>33.</w:t>
                  </w:r>
                  <w:r>
                    <w:rPr>
                      <w:rFonts w:hint="eastAsia"/>
                    </w:rPr>
                    <w:t>2</w:t>
                  </w:r>
                  <w:r>
                    <w:t xml:space="preserve"> m×</w:t>
                  </w:r>
                  <w:r>
                    <w:rPr>
                      <w:rFonts w:hint="eastAsia"/>
                    </w:rPr>
                    <w:t>22.4</w:t>
                  </w:r>
                  <w:r>
                    <w:t>m×5.8m</w:t>
                  </w:r>
                  <w:r>
                    <w:rPr>
                      <w:rFonts w:hint="eastAsia"/>
                    </w:rPr>
                    <w:t>，有机物生物降解，脱氮除磷</w:t>
                  </w:r>
                </w:p>
              </w:tc>
              <w:tc>
                <w:tcPr>
                  <w:tcW w:w="773" w:type="dxa"/>
                  <w:vAlign w:val="center"/>
                </w:tcPr>
                <w:p>
                  <w:pPr>
                    <w:pStyle w:val="63"/>
                  </w:pPr>
                  <w:r>
                    <w:rPr>
                      <w:rFonts w:hint="eastAsia"/>
                    </w:rPr>
                    <w:t>半地上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二沉池</w:t>
                  </w:r>
                </w:p>
              </w:tc>
              <w:tc>
                <w:tcPr>
                  <w:tcW w:w="4932" w:type="dxa"/>
                  <w:vAlign w:val="center"/>
                </w:tcPr>
                <w:p>
                  <w:pPr>
                    <w:pStyle w:val="63"/>
                  </w:pPr>
                  <w:r>
                    <w:rPr>
                      <w:rFonts w:hint="eastAsia"/>
                    </w:rPr>
                    <w:t>钢混，2座，尺寸内径13m</w:t>
                  </w:r>
                  <w:r>
                    <w:t>×5.8m</w:t>
                  </w:r>
                  <w:r>
                    <w:rPr>
                      <w:rFonts w:hint="eastAsia"/>
                    </w:rPr>
                    <w:t>，泥水分离</w:t>
                  </w:r>
                </w:p>
              </w:tc>
              <w:tc>
                <w:tcPr>
                  <w:tcW w:w="773" w:type="dxa"/>
                  <w:vAlign w:val="center"/>
                </w:tcPr>
                <w:p>
                  <w:pPr>
                    <w:pStyle w:val="63"/>
                  </w:pPr>
                  <w:r>
                    <w:rPr>
                      <w:rFonts w:hint="eastAsia"/>
                    </w:rPr>
                    <w:t>半地上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回流及剩余污泥泵站</w:t>
                  </w:r>
                </w:p>
              </w:tc>
              <w:tc>
                <w:tcPr>
                  <w:tcW w:w="4932" w:type="dxa"/>
                  <w:vAlign w:val="center"/>
                </w:tcPr>
                <w:p>
                  <w:pPr>
                    <w:pStyle w:val="63"/>
                  </w:pPr>
                  <w:r>
                    <w:rPr>
                      <w:rFonts w:hint="eastAsia"/>
                    </w:rPr>
                    <w:t>钢混，1座，尺寸5.4 m</w:t>
                  </w:r>
                  <w:r>
                    <w:t>×</w:t>
                  </w:r>
                  <w:r>
                    <w:rPr>
                      <w:rFonts w:hint="eastAsia"/>
                    </w:rPr>
                    <w:t>4.85</w:t>
                  </w:r>
                  <w:r>
                    <w:t>m×</w:t>
                  </w:r>
                  <w:r>
                    <w:rPr>
                      <w:rFonts w:hint="eastAsia"/>
                    </w:rPr>
                    <w:t>5.0m</w:t>
                  </w:r>
                </w:p>
              </w:tc>
              <w:tc>
                <w:tcPr>
                  <w:tcW w:w="773" w:type="dxa"/>
                  <w:vAlign w:val="center"/>
                </w:tcPr>
                <w:p>
                  <w:pPr>
                    <w:pStyle w:val="63"/>
                  </w:pPr>
                  <w:r>
                    <w:rPr>
                      <w:rFonts w:hint="eastAsia"/>
                    </w:rPr>
                    <w:t>半地上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restart"/>
                  <w:vAlign w:val="center"/>
                </w:tcPr>
                <w:p>
                  <w:pPr>
                    <w:pStyle w:val="63"/>
                  </w:pPr>
                  <w:r>
                    <w:rPr>
                      <w:rFonts w:hint="eastAsia"/>
                    </w:rPr>
                    <w:t>深度处理系统</w:t>
                  </w:r>
                </w:p>
              </w:tc>
              <w:tc>
                <w:tcPr>
                  <w:tcW w:w="976" w:type="dxa"/>
                  <w:vAlign w:val="center"/>
                </w:tcPr>
                <w:p>
                  <w:pPr>
                    <w:pStyle w:val="63"/>
                  </w:pPr>
                  <w:r>
                    <w:rPr>
                      <w:rFonts w:hint="eastAsia"/>
                    </w:rPr>
                    <w:t>高效沉淀池</w:t>
                  </w:r>
                </w:p>
              </w:tc>
              <w:tc>
                <w:tcPr>
                  <w:tcW w:w="4932" w:type="dxa"/>
                  <w:vAlign w:val="center"/>
                </w:tcPr>
                <w:p>
                  <w:pPr>
                    <w:pStyle w:val="63"/>
                  </w:pPr>
                  <w:r>
                    <w:rPr>
                      <w:rFonts w:hint="eastAsia"/>
                    </w:rPr>
                    <w:t>钢混，1座，尺寸</w:t>
                  </w:r>
                  <w:r>
                    <w:t>15.2 m×12.9 m×7.2m</w:t>
                  </w:r>
                  <w:r>
                    <w:rPr>
                      <w:rFonts w:hint="eastAsia"/>
                    </w:rPr>
                    <w:t>，投加药剂，絮凝反应和沉淀，去除TP和SS</w:t>
                  </w:r>
                </w:p>
              </w:tc>
              <w:tc>
                <w:tcPr>
                  <w:tcW w:w="773" w:type="dxa"/>
                  <w:vAlign w:val="center"/>
                </w:tcPr>
                <w:p>
                  <w:pPr>
                    <w:pStyle w:val="63"/>
                  </w:pPr>
                  <w:r>
                    <w:rPr>
                      <w:rFonts w:hint="eastAsia"/>
                    </w:rPr>
                    <w:t>半地上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彗星式纤维滤池</w:t>
                  </w:r>
                </w:p>
              </w:tc>
              <w:tc>
                <w:tcPr>
                  <w:tcW w:w="4932" w:type="dxa"/>
                  <w:vAlign w:val="center"/>
                </w:tcPr>
                <w:p>
                  <w:pPr>
                    <w:pStyle w:val="63"/>
                  </w:pPr>
                  <w:r>
                    <w:rPr>
                      <w:rFonts w:hint="eastAsia"/>
                    </w:rPr>
                    <w:t>钢混，1座，尺寸</w:t>
                  </w:r>
                  <w:r>
                    <w:t>15.12</w:t>
                  </w:r>
                  <w:r>
                    <w:rPr>
                      <w:rFonts w:hint="eastAsia"/>
                    </w:rPr>
                    <w:t>m</w:t>
                  </w:r>
                  <w:r>
                    <w:t>×10.96</w:t>
                  </w:r>
                  <w:r>
                    <w:rPr>
                      <w:rFonts w:hint="eastAsia"/>
                    </w:rPr>
                    <w:t>m</w:t>
                  </w:r>
                  <w:r>
                    <w:t>×6.8m</w:t>
                  </w:r>
                  <w:r>
                    <w:rPr>
                      <w:rFonts w:hint="eastAsia"/>
                    </w:rPr>
                    <w:t>，去除氨氮、SS及部分有机物</w:t>
                  </w:r>
                </w:p>
              </w:tc>
              <w:tc>
                <w:tcPr>
                  <w:tcW w:w="773" w:type="dxa"/>
                  <w:vAlign w:val="center"/>
                </w:tcPr>
                <w:p>
                  <w:pPr>
                    <w:pStyle w:val="63"/>
                  </w:pPr>
                  <w:r>
                    <w:rPr>
                      <w:rFonts w:hint="eastAsia"/>
                    </w:rPr>
                    <w:t>半地上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restart"/>
                  <w:vAlign w:val="center"/>
                </w:tcPr>
                <w:p>
                  <w:pPr>
                    <w:pStyle w:val="63"/>
                  </w:pPr>
                  <w:r>
                    <w:rPr>
                      <w:rFonts w:hint="eastAsia"/>
                    </w:rPr>
                    <w:t>消毒处理系统</w:t>
                  </w:r>
                </w:p>
              </w:tc>
              <w:tc>
                <w:tcPr>
                  <w:tcW w:w="976" w:type="dxa"/>
                  <w:vAlign w:val="center"/>
                </w:tcPr>
                <w:p>
                  <w:pPr>
                    <w:pStyle w:val="63"/>
                  </w:pPr>
                  <w:r>
                    <w:rPr>
                      <w:rFonts w:hint="eastAsia"/>
                    </w:rPr>
                    <w:t>紫外消毒池</w:t>
                  </w:r>
                </w:p>
              </w:tc>
              <w:tc>
                <w:tcPr>
                  <w:tcW w:w="4932" w:type="dxa"/>
                  <w:vAlign w:val="center"/>
                </w:tcPr>
                <w:p>
                  <w:pPr>
                    <w:pStyle w:val="63"/>
                  </w:pPr>
                  <w:r>
                    <w:rPr>
                      <w:rFonts w:hint="eastAsia"/>
                    </w:rPr>
                    <w:t>钢混，1座，消毒池尺寸</w:t>
                  </w:r>
                  <w:r>
                    <w:t>10.35</w:t>
                  </w:r>
                  <w:r>
                    <w:rPr>
                      <w:rFonts w:hint="eastAsia"/>
                    </w:rPr>
                    <w:t xml:space="preserve"> m</w:t>
                  </w:r>
                  <w:r>
                    <w:t>×2.3</w:t>
                  </w:r>
                  <w:r>
                    <w:rPr>
                      <w:rFonts w:hint="eastAsia"/>
                    </w:rPr>
                    <w:t xml:space="preserve"> m</w:t>
                  </w:r>
                  <w:r>
                    <w:t>×2.5m</w:t>
                  </w:r>
                  <w:r>
                    <w:rPr>
                      <w:rFonts w:hint="eastAsia"/>
                    </w:rPr>
                    <w:t>，采用紫外消毒，设置紫外发生装置1台，内含紫外灯管28只，消毒杀菌</w:t>
                  </w:r>
                </w:p>
              </w:tc>
              <w:tc>
                <w:tcPr>
                  <w:tcW w:w="773" w:type="dxa"/>
                  <w:vAlign w:val="center"/>
                </w:tcPr>
                <w:p>
                  <w:pPr>
                    <w:pStyle w:val="63"/>
                  </w:pPr>
                  <w:r>
                    <w:rPr>
                      <w:rFonts w:hint="eastAsia"/>
                    </w:rPr>
                    <w:t>全地上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出水计量槽</w:t>
                  </w:r>
                </w:p>
              </w:tc>
              <w:tc>
                <w:tcPr>
                  <w:tcW w:w="4932" w:type="dxa"/>
                  <w:vAlign w:val="center"/>
                </w:tcPr>
                <w:p>
                  <w:pPr>
                    <w:pStyle w:val="63"/>
                  </w:pPr>
                  <w:r>
                    <w:rPr>
                      <w:rFonts w:hint="eastAsia"/>
                    </w:rPr>
                    <w:t>钢混，1座，尺寸</w:t>
                  </w:r>
                  <w:r>
                    <w:t>10.35</w:t>
                  </w:r>
                  <w:r>
                    <w:rPr>
                      <w:rFonts w:hint="eastAsia"/>
                    </w:rPr>
                    <w:t xml:space="preserve"> m</w:t>
                  </w:r>
                  <w:r>
                    <w:t>×0.88</w:t>
                  </w:r>
                  <w:r>
                    <w:rPr>
                      <w:rFonts w:hint="eastAsia"/>
                    </w:rPr>
                    <w:t xml:space="preserve"> m</w:t>
                  </w:r>
                  <w:r>
                    <w:t>×</w:t>
                  </w:r>
                  <w:r>
                    <w:rPr>
                      <w:rFonts w:hint="eastAsia"/>
                    </w:rPr>
                    <w:t>1.7</w:t>
                  </w:r>
                  <w:r>
                    <w:t>m</w:t>
                  </w:r>
                </w:p>
              </w:tc>
              <w:tc>
                <w:tcPr>
                  <w:tcW w:w="773" w:type="dxa"/>
                  <w:vAlign w:val="center"/>
                </w:tcPr>
                <w:p>
                  <w:pPr>
                    <w:pStyle w:val="63"/>
                  </w:pPr>
                  <w:r>
                    <w:rPr>
                      <w:rFonts w:hint="eastAsia"/>
                    </w:rPr>
                    <w:t>全地上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restart"/>
                  <w:vAlign w:val="center"/>
                </w:tcPr>
                <w:p>
                  <w:pPr>
                    <w:pStyle w:val="63"/>
                  </w:pPr>
                  <w:r>
                    <w:rPr>
                      <w:rFonts w:hint="eastAsia"/>
                    </w:rPr>
                    <w:t>污泥处置系统</w:t>
                  </w:r>
                </w:p>
              </w:tc>
              <w:tc>
                <w:tcPr>
                  <w:tcW w:w="976" w:type="dxa"/>
                  <w:vAlign w:val="center"/>
                </w:tcPr>
                <w:p>
                  <w:pPr>
                    <w:pStyle w:val="63"/>
                  </w:pPr>
                  <w:r>
                    <w:rPr>
                      <w:rFonts w:hint="eastAsia"/>
                    </w:rPr>
                    <w:t>污泥调理池</w:t>
                  </w:r>
                </w:p>
              </w:tc>
              <w:tc>
                <w:tcPr>
                  <w:tcW w:w="4932" w:type="dxa"/>
                  <w:vAlign w:val="center"/>
                </w:tcPr>
                <w:p>
                  <w:pPr>
                    <w:pStyle w:val="63"/>
                  </w:pPr>
                  <w:r>
                    <w:rPr>
                      <w:rFonts w:hint="eastAsia"/>
                    </w:rPr>
                    <w:t>钢混，1座，尺寸</w:t>
                  </w:r>
                  <w:r>
                    <w:t>7.25</w:t>
                  </w:r>
                  <w:r>
                    <w:rPr>
                      <w:rFonts w:hint="eastAsia"/>
                    </w:rPr>
                    <w:t xml:space="preserve"> m</w:t>
                  </w:r>
                  <w:r>
                    <w:t>×4.5</w:t>
                  </w:r>
                  <w:r>
                    <w:rPr>
                      <w:rFonts w:hint="eastAsia"/>
                    </w:rPr>
                    <w:t xml:space="preserve"> m</w:t>
                  </w:r>
                  <w:r>
                    <w:t>×4.8m</w:t>
                  </w:r>
                  <w:r>
                    <w:rPr>
                      <w:rFonts w:hint="eastAsia"/>
                    </w:rPr>
                    <w:t>，剩余污泥缓冲和污泥调理</w:t>
                  </w:r>
                </w:p>
              </w:tc>
              <w:tc>
                <w:tcPr>
                  <w:tcW w:w="773" w:type="dxa"/>
                  <w:vAlign w:val="center"/>
                </w:tcPr>
                <w:p>
                  <w:pPr>
                    <w:pStyle w:val="63"/>
                  </w:pPr>
                  <w:r>
                    <w:rPr>
                      <w:rFonts w:hint="eastAsia"/>
                    </w:rPr>
                    <w:t>半地上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755" w:type="dxa"/>
                  <w:vMerge w:val="continue"/>
                  <w:vAlign w:val="center"/>
                </w:tcPr>
                <w:p>
                  <w:pPr>
                    <w:pStyle w:val="63"/>
                  </w:pPr>
                </w:p>
              </w:tc>
              <w:tc>
                <w:tcPr>
                  <w:tcW w:w="976" w:type="dxa"/>
                  <w:vAlign w:val="center"/>
                </w:tcPr>
                <w:p>
                  <w:pPr>
                    <w:pStyle w:val="63"/>
                  </w:pPr>
                  <w:r>
                    <w:rPr>
                      <w:rFonts w:hint="eastAsia"/>
                    </w:rPr>
                    <w:t>污泥</w:t>
                  </w:r>
                </w:p>
                <w:p>
                  <w:pPr>
                    <w:pStyle w:val="63"/>
                  </w:pPr>
                  <w:r>
                    <w:rPr>
                      <w:rFonts w:hint="eastAsia"/>
                    </w:rPr>
                    <w:t>脱水机房</w:t>
                  </w:r>
                </w:p>
              </w:tc>
              <w:tc>
                <w:tcPr>
                  <w:tcW w:w="4932" w:type="dxa"/>
                  <w:vAlign w:val="center"/>
                </w:tcPr>
                <w:p>
                  <w:pPr>
                    <w:pStyle w:val="63"/>
                  </w:pPr>
                  <w:r>
                    <w:rPr>
                      <w:rFonts w:hint="eastAsia"/>
                    </w:rPr>
                    <w:t>框架结构，1座，2F，尺寸</w:t>
                  </w:r>
                  <w:r>
                    <w:t>20.2</w:t>
                  </w:r>
                  <w:r>
                    <w:rPr>
                      <w:rFonts w:hint="eastAsia"/>
                    </w:rPr>
                    <w:t xml:space="preserve"> m</w:t>
                  </w:r>
                  <w:r>
                    <w:t>×14.5</w:t>
                  </w:r>
                  <w:r>
                    <w:rPr>
                      <w:rFonts w:hint="eastAsia"/>
                    </w:rPr>
                    <w:t xml:space="preserve"> m</w:t>
                  </w:r>
                  <w:r>
                    <w:t>×9.5m</w:t>
                  </w:r>
                  <w:r>
                    <w:rPr>
                      <w:rFonts w:hint="eastAsia"/>
                    </w:rPr>
                    <w:t>，设置隔膜压滤机1台，带式浓缩机1套，降低污泥含水率，贮存脱水污泥</w:t>
                  </w:r>
                </w:p>
              </w:tc>
              <w:tc>
                <w:tcPr>
                  <w:tcW w:w="773" w:type="dxa"/>
                  <w:vAlign w:val="center"/>
                </w:tcPr>
                <w:p>
                  <w:pPr>
                    <w:pStyle w:val="63"/>
                  </w:pPr>
                  <w:r>
                    <w:rPr>
                      <w:rFonts w:hint="eastAsia"/>
                    </w:rPr>
                    <w:t>全地上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restart"/>
                  <w:vAlign w:val="center"/>
                </w:tcPr>
                <w:p>
                  <w:pPr>
                    <w:pStyle w:val="63"/>
                  </w:pPr>
                  <w:r>
                    <w:rPr>
                      <w:rFonts w:hint="eastAsia"/>
                    </w:rPr>
                    <w:t>辅助</w:t>
                  </w:r>
                </w:p>
                <w:p>
                  <w:pPr>
                    <w:pStyle w:val="63"/>
                  </w:pPr>
                  <w:r>
                    <w:rPr>
                      <w:rFonts w:hint="eastAsia"/>
                    </w:rPr>
                    <w:t>工程</w:t>
                  </w:r>
                </w:p>
              </w:tc>
              <w:tc>
                <w:tcPr>
                  <w:tcW w:w="1731" w:type="dxa"/>
                  <w:gridSpan w:val="2"/>
                  <w:vAlign w:val="center"/>
                </w:tcPr>
                <w:p>
                  <w:pPr>
                    <w:pStyle w:val="63"/>
                  </w:pPr>
                  <w:r>
                    <w:rPr>
                      <w:rFonts w:hint="eastAsia"/>
                    </w:rPr>
                    <w:t>综合楼</w:t>
                  </w:r>
                </w:p>
              </w:tc>
              <w:tc>
                <w:tcPr>
                  <w:tcW w:w="4932" w:type="dxa"/>
                  <w:vAlign w:val="center"/>
                </w:tcPr>
                <w:p>
                  <w:pPr>
                    <w:pStyle w:val="63"/>
                  </w:pPr>
                  <w:r>
                    <w:rPr>
                      <w:rFonts w:hint="eastAsia"/>
                    </w:rPr>
                    <w:t>1</w:t>
                  </w:r>
                  <w:r>
                    <w:t>栋，</w:t>
                  </w:r>
                  <w:r>
                    <w:rPr>
                      <w:rFonts w:hint="eastAsia"/>
                    </w:rPr>
                    <w:t>2F，</w:t>
                  </w:r>
                  <w:r>
                    <w:t>框架结构，</w:t>
                  </w:r>
                  <w:r>
                    <w:rPr>
                      <w:rFonts w:hint="eastAsia"/>
                    </w:rPr>
                    <w:t>21.6m</w:t>
                  </w:r>
                  <w:r>
                    <w:t>×11.7</w:t>
                  </w:r>
                  <w:r>
                    <w:rPr>
                      <w:rFonts w:hint="eastAsia"/>
                    </w:rPr>
                    <w:t>m</w:t>
                  </w:r>
                  <w:r>
                    <w:t>×9.85m，功能为</w:t>
                  </w:r>
                  <w:r>
                    <w:rPr>
                      <w:rFonts w:hint="eastAsia"/>
                    </w:rPr>
                    <w:t>值班和厂区办公室、水质化验。</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化验室</w:t>
                  </w:r>
                </w:p>
              </w:tc>
              <w:tc>
                <w:tcPr>
                  <w:tcW w:w="4932" w:type="dxa"/>
                  <w:vAlign w:val="center"/>
                </w:tcPr>
                <w:p>
                  <w:pPr>
                    <w:pStyle w:val="63"/>
                  </w:pPr>
                  <w:r>
                    <w:rPr>
                      <w:rFonts w:hint="eastAsia"/>
                    </w:rPr>
                    <w:t>位于综合楼2F，面积20m</w:t>
                  </w:r>
                  <w:r>
                    <w:rPr>
                      <w:rFonts w:hint="eastAsia"/>
                      <w:vertAlign w:val="superscript"/>
                    </w:rPr>
                    <w:t>2</w:t>
                  </w:r>
                  <w:r>
                    <w:rPr>
                      <w:rFonts w:hint="eastAsia"/>
                    </w:rPr>
                    <w:t>，功能为对污水处理厂各处理设施水质进行化验，用以优化运行工艺，配备pH、OD、COD、SS、氨氮、总氮、总磷等常规项目监测分析仪器设备。</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鼓风和变配电房</w:t>
                  </w:r>
                </w:p>
              </w:tc>
              <w:tc>
                <w:tcPr>
                  <w:tcW w:w="4932" w:type="dxa"/>
                  <w:vAlign w:val="center"/>
                </w:tcPr>
                <w:p>
                  <w:pPr>
                    <w:pStyle w:val="63"/>
                  </w:pPr>
                  <w:r>
                    <w:rPr>
                      <w:rFonts w:hint="eastAsia"/>
                    </w:rPr>
                    <w:t>1</w:t>
                  </w:r>
                  <w:r>
                    <w:t>栋，</w:t>
                  </w:r>
                  <w:r>
                    <w:rPr>
                      <w:rFonts w:hint="eastAsia"/>
                    </w:rPr>
                    <w:t>1F，</w:t>
                  </w:r>
                  <w:r>
                    <w:t>框架结构，25.4</w:t>
                  </w:r>
                  <w:r>
                    <w:rPr>
                      <w:rFonts w:hint="eastAsia"/>
                    </w:rPr>
                    <w:t xml:space="preserve"> m</w:t>
                  </w:r>
                  <w:r>
                    <w:t>×12.3</w:t>
                  </w:r>
                  <w:r>
                    <w:rPr>
                      <w:rFonts w:hint="eastAsia"/>
                    </w:rPr>
                    <w:t xml:space="preserve"> m</w:t>
                  </w:r>
                  <w:r>
                    <w:t>×5.4m</w:t>
                  </w:r>
                  <w:r>
                    <w:rPr>
                      <w:rFonts w:hint="eastAsia"/>
                    </w:rPr>
                    <w:t>，功能为设置鼓风设备和变配电设备，为生化好氧段提供空气和为全厂提供电力。</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维修和柴油发电机房</w:t>
                  </w:r>
                </w:p>
              </w:tc>
              <w:tc>
                <w:tcPr>
                  <w:tcW w:w="4932" w:type="dxa"/>
                  <w:vAlign w:val="center"/>
                </w:tcPr>
                <w:p>
                  <w:pPr>
                    <w:pStyle w:val="63"/>
                  </w:pPr>
                  <w:r>
                    <w:rPr>
                      <w:rFonts w:hint="eastAsia"/>
                    </w:rPr>
                    <w:t>1</w:t>
                  </w:r>
                  <w:r>
                    <w:t>栋，</w:t>
                  </w:r>
                  <w:r>
                    <w:rPr>
                      <w:rFonts w:hint="eastAsia"/>
                    </w:rPr>
                    <w:t>1F，</w:t>
                  </w:r>
                  <w:r>
                    <w:t>框架结构，</w:t>
                  </w:r>
                  <w:r>
                    <w:rPr>
                      <w:rFonts w:hint="eastAsia"/>
                    </w:rPr>
                    <w:t>15.0 m</w:t>
                  </w:r>
                  <w:r>
                    <w:t>×</w:t>
                  </w:r>
                  <w:r>
                    <w:rPr>
                      <w:rFonts w:hint="eastAsia"/>
                    </w:rPr>
                    <w:t>10.8m</w:t>
                  </w:r>
                  <w:r>
                    <w:t>×</w:t>
                  </w:r>
                  <w:r>
                    <w:rPr>
                      <w:rFonts w:hint="eastAsia"/>
                    </w:rPr>
                    <w:t>6.4</w:t>
                  </w:r>
                  <w:r>
                    <w:t>m</w:t>
                  </w:r>
                  <w:r>
                    <w:rPr>
                      <w:rFonts w:hint="eastAsia"/>
                    </w:rPr>
                    <w:t>，功能为厂区设备维修和维修部件贮存，设置柴油发电机1台，</w:t>
                  </w:r>
                  <w:r>
                    <w:t>630kVA</w:t>
                  </w:r>
                  <w:r>
                    <w:rPr>
                      <w:rFonts w:hint="eastAsia"/>
                    </w:rPr>
                    <w:t>，配套设置1m</w:t>
                  </w:r>
                  <w:r>
                    <w:rPr>
                      <w:rFonts w:hint="eastAsia"/>
                      <w:vertAlign w:val="superscript"/>
                    </w:rPr>
                    <w:t>3</w:t>
                  </w:r>
                  <w:r>
                    <w:rPr>
                      <w:rFonts w:hint="eastAsia"/>
                    </w:rPr>
                    <w:t>柴油储罐1个，周围设置围堰，围堰容积不小于1m</w:t>
                  </w:r>
                  <w:r>
                    <w:rPr>
                      <w:rFonts w:hint="eastAsia"/>
                      <w:vertAlign w:val="superscript"/>
                    </w:rPr>
                    <w:t>3</w:t>
                  </w:r>
                  <w:r>
                    <w:rPr>
                      <w:rFonts w:hint="eastAsia"/>
                    </w:rPr>
                    <w:t>。</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储药及加药间</w:t>
                  </w:r>
                </w:p>
              </w:tc>
              <w:tc>
                <w:tcPr>
                  <w:tcW w:w="4932" w:type="dxa"/>
                  <w:vAlign w:val="center"/>
                </w:tcPr>
                <w:p>
                  <w:pPr>
                    <w:pStyle w:val="63"/>
                  </w:pPr>
                  <w:r>
                    <w:rPr>
                      <w:rFonts w:hint="eastAsia"/>
                    </w:rPr>
                    <w:t>1</w:t>
                  </w:r>
                  <w:r>
                    <w:t>栋，</w:t>
                  </w:r>
                  <w:r>
                    <w:rPr>
                      <w:rFonts w:hint="eastAsia"/>
                    </w:rPr>
                    <w:t>1F，</w:t>
                  </w:r>
                  <w:r>
                    <w:t>框架结构，</w:t>
                  </w:r>
                  <w:r>
                    <w:rPr>
                      <w:rFonts w:hint="eastAsia"/>
                    </w:rPr>
                    <w:t>19.8 m</w:t>
                  </w:r>
                  <w:r>
                    <w:t>×</w:t>
                  </w:r>
                  <w:r>
                    <w:rPr>
                      <w:rFonts w:hint="eastAsia"/>
                    </w:rPr>
                    <w:t>9.0m</w:t>
                  </w:r>
                  <w:r>
                    <w:t>×</w:t>
                  </w:r>
                  <w:r>
                    <w:rPr>
                      <w:rFonts w:hint="eastAsia"/>
                    </w:rPr>
                    <w:t>7.2</w:t>
                  </w:r>
                  <w:r>
                    <w:t>m</w:t>
                  </w:r>
                  <w:r>
                    <w:rPr>
                      <w:rFonts w:hint="eastAsia"/>
                    </w:rPr>
                    <w:t>，功能为贮存工艺需要的药剂和设置加药系统，储存药剂为双氧水、30%稀硫酸、PAM、PAC、NaOH和</w:t>
                  </w:r>
                  <w:r>
                    <w:t>FeSO</w:t>
                  </w:r>
                  <w:r>
                    <w:rPr>
                      <w:vertAlign w:val="subscript"/>
                    </w:rPr>
                    <w:t>4</w:t>
                  </w:r>
                  <w:r>
                    <w:rPr>
                      <w:rFonts w:hint="eastAsia"/>
                    </w:rPr>
                    <w:t>，储罐分开贮存</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进水在线监测室</w:t>
                  </w:r>
                </w:p>
              </w:tc>
              <w:tc>
                <w:tcPr>
                  <w:tcW w:w="4932" w:type="dxa"/>
                  <w:vAlign w:val="center"/>
                </w:tcPr>
                <w:p>
                  <w:pPr>
                    <w:pStyle w:val="63"/>
                  </w:pPr>
                  <w:r>
                    <w:rPr>
                      <w:rFonts w:hint="eastAsia"/>
                    </w:rPr>
                    <w:t>1</w:t>
                  </w:r>
                  <w:r>
                    <w:t>栋，</w:t>
                  </w:r>
                  <w:r>
                    <w:rPr>
                      <w:rFonts w:hint="eastAsia"/>
                    </w:rPr>
                    <w:t>1F，</w:t>
                  </w:r>
                  <w:r>
                    <w:t>框</w:t>
                  </w:r>
                  <w:r>
                    <w:rPr>
                      <w:rFonts w:hint="eastAsia"/>
                    </w:rPr>
                    <w:t>砌</w:t>
                  </w:r>
                  <w:r>
                    <w:t>，</w:t>
                  </w:r>
                  <w:r>
                    <w:rPr>
                      <w:rFonts w:hint="eastAsia"/>
                    </w:rPr>
                    <w:t>4.2 m</w:t>
                  </w:r>
                  <w:r>
                    <w:t>×</w:t>
                  </w:r>
                  <w:r>
                    <w:rPr>
                      <w:rFonts w:hint="eastAsia"/>
                    </w:rPr>
                    <w:t>3.9m</w:t>
                  </w:r>
                  <w:r>
                    <w:t>×</w:t>
                  </w:r>
                  <w:r>
                    <w:rPr>
                      <w:rFonts w:hint="eastAsia"/>
                    </w:rPr>
                    <w:t>3.9</w:t>
                  </w:r>
                  <w:r>
                    <w:t>m</w:t>
                  </w:r>
                  <w:r>
                    <w:rPr>
                      <w:rFonts w:hint="eastAsia"/>
                    </w:rPr>
                    <w:t>，根据《排污单位自行监测技术指南-水处理》（HJ1083-2020）要求设置进水监测设施，监测设施外委外单位运维，监测产生的废液和固废交由有危废处置资质单位处置。</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出水在线监测室</w:t>
                  </w:r>
                </w:p>
              </w:tc>
              <w:tc>
                <w:tcPr>
                  <w:tcW w:w="4932" w:type="dxa"/>
                  <w:vAlign w:val="center"/>
                </w:tcPr>
                <w:p>
                  <w:pPr>
                    <w:pStyle w:val="63"/>
                  </w:pPr>
                  <w:r>
                    <w:rPr>
                      <w:rFonts w:hint="eastAsia"/>
                    </w:rPr>
                    <w:t>1</w:t>
                  </w:r>
                  <w:r>
                    <w:t>栋，</w:t>
                  </w:r>
                  <w:r>
                    <w:rPr>
                      <w:rFonts w:hint="eastAsia"/>
                    </w:rPr>
                    <w:t>1F，砖砌</w:t>
                  </w:r>
                  <w:r>
                    <w:t>，</w:t>
                  </w:r>
                  <w:r>
                    <w:rPr>
                      <w:rFonts w:hint="eastAsia"/>
                    </w:rPr>
                    <w:t>4.2 m</w:t>
                  </w:r>
                  <w:r>
                    <w:t>×</w:t>
                  </w:r>
                  <w:r>
                    <w:rPr>
                      <w:rFonts w:hint="eastAsia"/>
                    </w:rPr>
                    <w:t>3.9m</w:t>
                  </w:r>
                  <w:r>
                    <w:t>×</w:t>
                  </w:r>
                  <w:r>
                    <w:rPr>
                      <w:rFonts w:hint="eastAsia"/>
                    </w:rPr>
                    <w:t>3.9</w:t>
                  </w:r>
                  <w:r>
                    <w:t>m</w:t>
                  </w:r>
                  <w:r>
                    <w:rPr>
                      <w:rFonts w:hint="eastAsia"/>
                    </w:rPr>
                    <w:t>，根据《排污单位自行监测技术指南-水处理》（HJ1083-2020）要求设置出水监测设施，监测设施外委外单位运维，监测产生的废液和固废交由有危废处置资质单位处置。</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restart"/>
                  <w:vAlign w:val="center"/>
                </w:tcPr>
                <w:p>
                  <w:pPr>
                    <w:pStyle w:val="63"/>
                  </w:pPr>
                  <w:r>
                    <w:rPr>
                      <w:rFonts w:hint="eastAsia"/>
                    </w:rPr>
                    <w:t>公用</w:t>
                  </w:r>
                </w:p>
                <w:p>
                  <w:pPr>
                    <w:pStyle w:val="63"/>
                  </w:pPr>
                  <w:r>
                    <w:rPr>
                      <w:rFonts w:hint="eastAsia"/>
                    </w:rPr>
                    <w:t>工程</w:t>
                  </w:r>
                </w:p>
              </w:tc>
              <w:tc>
                <w:tcPr>
                  <w:tcW w:w="1731" w:type="dxa"/>
                  <w:gridSpan w:val="2"/>
                  <w:vAlign w:val="center"/>
                </w:tcPr>
                <w:p>
                  <w:pPr>
                    <w:pStyle w:val="63"/>
                  </w:pPr>
                  <w:r>
                    <w:rPr>
                      <w:rFonts w:hint="eastAsia"/>
                    </w:rPr>
                    <w:t>道路</w:t>
                  </w:r>
                </w:p>
              </w:tc>
              <w:tc>
                <w:tcPr>
                  <w:tcW w:w="4932" w:type="dxa"/>
                  <w:vAlign w:val="center"/>
                </w:tcPr>
                <w:p>
                  <w:pPr>
                    <w:pStyle w:val="63"/>
                  </w:pPr>
                  <w:r>
                    <w:rPr>
                      <w:rFonts w:hint="eastAsia"/>
                    </w:rPr>
                    <w:t>道路布置成环状，每个建（构）筑物间均有道路相通，厂内主道路宽6m。主干道转弯半径为9m，混凝土路面</w:t>
                  </w:r>
                </w:p>
              </w:tc>
              <w:tc>
                <w:tcPr>
                  <w:tcW w:w="773"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给水</w:t>
                  </w:r>
                </w:p>
              </w:tc>
              <w:tc>
                <w:tcPr>
                  <w:tcW w:w="4932" w:type="dxa"/>
                  <w:vAlign w:val="center"/>
                </w:tcPr>
                <w:p>
                  <w:pPr>
                    <w:pStyle w:val="63"/>
                  </w:pPr>
                  <w:r>
                    <w:rPr>
                      <w:rFonts w:hint="eastAsia"/>
                    </w:rPr>
                    <w:t>由市政给水提供，来自于周边供水干管，厂区给水主要用于生活、部分构筑物及设备冲洗、绿化及消防等</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排水</w:t>
                  </w:r>
                </w:p>
              </w:tc>
              <w:tc>
                <w:tcPr>
                  <w:tcW w:w="4932" w:type="dxa"/>
                  <w:vAlign w:val="center"/>
                </w:tcPr>
                <w:p>
                  <w:pPr>
                    <w:pStyle w:val="63"/>
                  </w:pPr>
                  <w:r>
                    <w:rPr>
                      <w:rFonts w:hint="eastAsia"/>
                    </w:rPr>
                    <w:t>排水体制为雨污分流，生活污水通过厂区管道导入污水处理工艺处理，与外来污水一同处理达标后排放。雨水通过厂区内沟渠收集后通过雨水口排放。</w:t>
                  </w:r>
                </w:p>
              </w:tc>
              <w:tc>
                <w:tcPr>
                  <w:tcW w:w="773"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电力</w:t>
                  </w:r>
                </w:p>
              </w:tc>
              <w:tc>
                <w:tcPr>
                  <w:tcW w:w="4932" w:type="dxa"/>
                  <w:vAlign w:val="center"/>
                </w:tcPr>
                <w:p>
                  <w:pPr>
                    <w:pStyle w:val="63"/>
                  </w:pPr>
                  <w:r>
                    <w:rPr>
                      <w:rFonts w:hint="eastAsia"/>
                    </w:rPr>
                    <w:t>项目供电采用单电源+备用电源供电,电力负荷按二级负荷，单电源由附近变电所或电网引入2</w:t>
                  </w:r>
                </w:p>
                <w:p>
                  <w:pPr>
                    <w:pStyle w:val="63"/>
                  </w:pPr>
                  <w:r>
                    <w:rPr>
                      <w:rFonts w:hint="eastAsia"/>
                    </w:rPr>
                    <w:t>路10kV 电源引至厂内变配电室10kV 进线开关柜。于场内发电机房设</w:t>
                  </w:r>
                  <w:r>
                    <w:t xml:space="preserve"> 630kVA 柴油发电机作为备用电源。</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消防</w:t>
                  </w:r>
                </w:p>
              </w:tc>
              <w:tc>
                <w:tcPr>
                  <w:tcW w:w="4932" w:type="dxa"/>
                  <w:vAlign w:val="center"/>
                </w:tcPr>
                <w:p>
                  <w:pPr>
                    <w:pStyle w:val="63"/>
                  </w:pPr>
                  <w:r>
                    <w:rPr>
                      <w:rFonts w:hint="eastAsia"/>
                    </w:rPr>
                    <w:t>消防给水水源取自城市管网，引入1 根给水进水管，管径为DN100。配电间、污泥脱水间等建筑物内配置灭火器，并配备砂箱、水桶等消防工具，在主要房间内设置报警电话及禁止烟火等标记</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restart"/>
                  <w:vAlign w:val="center"/>
                </w:tcPr>
                <w:p>
                  <w:pPr>
                    <w:pStyle w:val="63"/>
                  </w:pPr>
                  <w:r>
                    <w:rPr>
                      <w:rFonts w:hint="eastAsia"/>
                    </w:rPr>
                    <w:t>环保工程</w:t>
                  </w:r>
                </w:p>
              </w:tc>
              <w:tc>
                <w:tcPr>
                  <w:tcW w:w="1731" w:type="dxa"/>
                  <w:gridSpan w:val="2"/>
                  <w:vAlign w:val="center"/>
                </w:tcPr>
                <w:p>
                  <w:pPr>
                    <w:pStyle w:val="63"/>
                  </w:pPr>
                  <w:r>
                    <w:rPr>
                      <w:rFonts w:hint="eastAsia"/>
                    </w:rPr>
                    <w:t>废气</w:t>
                  </w:r>
                </w:p>
              </w:tc>
              <w:tc>
                <w:tcPr>
                  <w:tcW w:w="4932" w:type="dxa"/>
                  <w:vAlign w:val="center"/>
                </w:tcPr>
                <w:p>
                  <w:pPr>
                    <w:pStyle w:val="63"/>
                    <w:jc w:val="left"/>
                  </w:pPr>
                  <w:r>
                    <w:rPr>
                      <w:rFonts w:hint="eastAsia"/>
                    </w:rPr>
                    <w:t>污水调节池和粗格栅地下式设计，沉砂池、水解酸化池、AAO生物池（缺氧和厌氧段）、事故池和储泥池加盖封闭，盖顶设置废气收集口，管道材质为玻璃钢管，污泥脱水间脱水设施设置废气收集口，负压收集，收集废气通过管道进入1套处理规模为20000m</w:t>
                  </w:r>
                  <w:r>
                    <w:rPr>
                      <w:rFonts w:hint="eastAsia"/>
                      <w:vertAlign w:val="superscript"/>
                    </w:rPr>
                    <w:t>3</w:t>
                  </w:r>
                  <w:r>
                    <w:rPr>
                      <w:rFonts w:hint="eastAsia"/>
                    </w:rPr>
                    <w:t>/h的生物除臭设施处理满足《恶臭污染物排放标准》（GB14554-93）二级标准后15m排气筒（DA001）排放，基础尺寸25 m</w:t>
                  </w:r>
                  <w:r>
                    <w:t>×</w:t>
                  </w:r>
                  <w:r>
                    <w:rPr>
                      <w:rFonts w:hint="eastAsia"/>
                    </w:rPr>
                    <w:t>10m</w:t>
                  </w:r>
                  <w:r>
                    <w:t>×</w:t>
                  </w:r>
                  <w:r>
                    <w:rPr>
                      <w:rFonts w:hint="eastAsia"/>
                    </w:rPr>
                    <w:t>0.3</w:t>
                  </w:r>
                  <w:r>
                    <w:t>m</w:t>
                  </w:r>
                  <w:r>
                    <w:rPr>
                      <w:rFonts w:hint="eastAsia"/>
                    </w:rPr>
                    <w:t>，全地上钢混结构，循环水系统半地上钢混结构13.95 m</w:t>
                  </w:r>
                  <w:r>
                    <w:t>×</w:t>
                  </w:r>
                  <w:r>
                    <w:rPr>
                      <w:rFonts w:hint="eastAsia"/>
                    </w:rPr>
                    <w:t>5.7m</w:t>
                  </w:r>
                  <w:r>
                    <w:t>×</w:t>
                  </w:r>
                  <w:r>
                    <w:rPr>
                      <w:rFonts w:hint="eastAsia"/>
                    </w:rPr>
                    <w:t>1.0</w:t>
                  </w:r>
                  <w:r>
                    <w:t>m</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固体废物</w:t>
                  </w:r>
                </w:p>
              </w:tc>
              <w:tc>
                <w:tcPr>
                  <w:tcW w:w="4932" w:type="dxa"/>
                  <w:vAlign w:val="center"/>
                </w:tcPr>
                <w:p>
                  <w:pPr>
                    <w:pStyle w:val="63"/>
                    <w:jc w:val="left"/>
                  </w:pPr>
                  <w:r>
                    <w:rPr>
                      <w:rFonts w:hint="eastAsia"/>
                    </w:rPr>
                    <w:t>（1）厂区内设置垃圾桶收集生活垃圾，环卫定期转运处置。</w:t>
                  </w:r>
                </w:p>
                <w:p>
                  <w:pPr>
                    <w:pStyle w:val="63"/>
                    <w:jc w:val="left"/>
                  </w:pPr>
                  <w:r>
                    <w:rPr>
                      <w:rFonts w:hint="eastAsia"/>
                    </w:rPr>
                    <w:t>（2）设置一般工业固体废物暂存间1间，位于储药及加药间内，占地面积20m</w:t>
                  </w:r>
                  <w:r>
                    <w:rPr>
                      <w:rFonts w:hint="eastAsia"/>
                      <w:vertAlign w:val="superscript"/>
                    </w:rPr>
                    <w:t>2</w:t>
                  </w:r>
                  <w:r>
                    <w:rPr>
                      <w:rFonts w:hint="eastAsia"/>
                    </w:rPr>
                    <w:t>。</w:t>
                  </w:r>
                </w:p>
                <w:p>
                  <w:pPr>
                    <w:pStyle w:val="63"/>
                    <w:jc w:val="left"/>
                  </w:pPr>
                  <w:r>
                    <w:rPr>
                      <w:rFonts w:hint="eastAsia"/>
                    </w:rPr>
                    <w:t>（3）设置危险废物暂存间1座，位于储药及加药间，占地面积10m</w:t>
                  </w:r>
                  <w:r>
                    <w:rPr>
                      <w:rFonts w:hint="eastAsia"/>
                      <w:vertAlign w:val="superscript"/>
                    </w:rPr>
                    <w:t>2</w:t>
                  </w:r>
                  <w:r>
                    <w:rPr>
                      <w:rFonts w:hint="eastAsia"/>
                    </w:rPr>
                    <w:t>，按《危险废物贮存污染控制标准》（GB18597-2023）建设，贮存设备维护产生的废机油、含油手套、化验室废液和废药剂包装物，委托有危废处置资质单位转运处置。在线监测产生的废液和废药剂瓶交由有危废处置资质单位处置。</w:t>
                  </w:r>
                </w:p>
                <w:p>
                  <w:pPr>
                    <w:pStyle w:val="63"/>
                    <w:jc w:val="left"/>
                  </w:pPr>
                  <w:r>
                    <w:rPr>
                      <w:rFonts w:hint="eastAsia"/>
                    </w:rPr>
                    <w:t>（4）水处理厂污泥脱水处理后污泥间暂存，暂存区域约100m</w:t>
                  </w:r>
                  <w:r>
                    <w:rPr>
                      <w:rFonts w:hint="eastAsia"/>
                      <w:vertAlign w:val="superscript"/>
                    </w:rPr>
                    <w:t>2</w:t>
                  </w:r>
                  <w:r>
                    <w:rPr>
                      <w:rFonts w:hint="eastAsia"/>
                    </w:rPr>
                    <w:t>，按一般工业固体废物按相关要求进行处置。</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废水</w:t>
                  </w:r>
                </w:p>
              </w:tc>
              <w:tc>
                <w:tcPr>
                  <w:tcW w:w="4932" w:type="dxa"/>
                  <w:vAlign w:val="center"/>
                </w:tcPr>
                <w:p>
                  <w:pPr>
                    <w:pStyle w:val="63"/>
                    <w:jc w:val="left"/>
                  </w:pPr>
                  <w:r>
                    <w:rPr>
                      <w:rFonts w:hint="eastAsia"/>
                    </w:rPr>
                    <w:t>项目生活污水与收集的污水一起进项目污水处理设施处理达《城镇污水处理厂污染物排放标准》（GB18918-2002）一级A标后排入朱衣河。</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噪声</w:t>
                  </w:r>
                </w:p>
              </w:tc>
              <w:tc>
                <w:tcPr>
                  <w:tcW w:w="4932" w:type="dxa"/>
                  <w:vAlign w:val="center"/>
                </w:tcPr>
                <w:p>
                  <w:pPr>
                    <w:pStyle w:val="63"/>
                  </w:pPr>
                  <w:r>
                    <w:rPr>
                      <w:rFonts w:hint="eastAsia"/>
                    </w:rPr>
                    <w:t>采取建筑隔声、减振、降噪等降噪措施。</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地下水和土壤污染防治</w:t>
                  </w:r>
                </w:p>
              </w:tc>
              <w:tc>
                <w:tcPr>
                  <w:tcW w:w="4932" w:type="dxa"/>
                  <w:vAlign w:val="center"/>
                </w:tcPr>
                <w:p>
                  <w:pPr>
                    <w:pStyle w:val="63"/>
                    <w:jc w:val="both"/>
                  </w:pPr>
                  <w:r>
                    <w:rPr>
                      <w:rFonts w:hint="eastAsia"/>
                    </w:rPr>
                    <w:t>（1）重点防渗区包括污水处理设施、危废暂存间、事故池、加药间、臭气处理设施等，</w:t>
                  </w:r>
                  <w:r>
                    <w:t>防渗层的</w:t>
                  </w:r>
                  <w:r>
                    <w:rPr>
                      <w:rFonts w:hint="eastAsia"/>
                    </w:rPr>
                    <w:t>防渗技术要求为等效黏土防渗层</w:t>
                  </w:r>
                  <w:r>
                    <w:t>M</w:t>
                  </w:r>
                  <w:r>
                    <w:rPr>
                      <w:rFonts w:hint="eastAsia"/>
                    </w:rPr>
                    <w:t>b≥</w:t>
                  </w:r>
                  <w:r>
                    <w:t>6</w:t>
                  </w:r>
                  <w:r>
                    <w:rPr>
                      <w:rFonts w:hint="eastAsia"/>
                    </w:rPr>
                    <w:t>m</w:t>
                  </w:r>
                  <w:r>
                    <w:t>，</w:t>
                  </w:r>
                  <w:r>
                    <w:rPr>
                      <w:rFonts w:hint="eastAsia"/>
                    </w:rPr>
                    <w:t>K≤</w:t>
                  </w:r>
                  <w:r>
                    <w:t>1.0×10</w:t>
                  </w:r>
                  <w:r>
                    <w:rPr>
                      <w:vertAlign w:val="superscript"/>
                    </w:rPr>
                    <w:t>-7</w:t>
                  </w:r>
                  <w:r>
                    <w:t>cm/s</w:t>
                  </w:r>
                  <w:r>
                    <w:rPr>
                      <w:rFonts w:hint="eastAsia"/>
                    </w:rPr>
                    <w:t>或参照G</w:t>
                  </w:r>
                  <w:r>
                    <w:t>B18598</w:t>
                  </w:r>
                  <w:r>
                    <w:rPr>
                      <w:rFonts w:hint="eastAsia"/>
                    </w:rPr>
                    <w:t>执行，其中危废暂存间应满足</w:t>
                  </w:r>
                  <w:r>
                    <w:rPr>
                      <w:rFonts w:hAnsi="宋体"/>
                    </w:rPr>
                    <w:t>《危险废物贮存污染控制标准》（</w:t>
                  </w:r>
                  <w:r>
                    <w:t>GB18597-2023</w:t>
                  </w:r>
                  <w:r>
                    <w:rPr>
                      <w:rFonts w:hAnsi="宋体"/>
                    </w:rPr>
                    <w:t>）</w:t>
                  </w:r>
                  <w:r>
                    <w:rPr>
                      <w:rFonts w:hint="eastAsia" w:hAnsi="宋体"/>
                    </w:rPr>
                    <w:t>要求；</w:t>
                  </w:r>
                </w:p>
                <w:p>
                  <w:pPr>
                    <w:pStyle w:val="63"/>
                    <w:jc w:val="both"/>
                  </w:pPr>
                  <w:r>
                    <w:rPr>
                      <w:rFonts w:hint="eastAsia"/>
                    </w:rPr>
                    <w:t>（2）一般防渗区包括雨水沟、芬顿设施地面、地面管道、鼓风机机房、在线监测等，</w:t>
                  </w:r>
                  <w:r>
                    <w:t>防渗层的</w:t>
                  </w:r>
                  <w:r>
                    <w:rPr>
                      <w:rFonts w:hint="eastAsia"/>
                    </w:rPr>
                    <w:t>防渗技术要求为等效黏土防渗层</w:t>
                  </w:r>
                  <w:r>
                    <w:t>M</w:t>
                  </w:r>
                  <w:r>
                    <w:rPr>
                      <w:rFonts w:hint="eastAsia"/>
                    </w:rPr>
                    <w:t>b≥</w:t>
                  </w:r>
                  <w:r>
                    <w:t>1.5</w:t>
                  </w:r>
                  <w:r>
                    <w:rPr>
                      <w:rFonts w:hint="eastAsia"/>
                    </w:rPr>
                    <w:t>m</w:t>
                  </w:r>
                  <w:r>
                    <w:t>，</w:t>
                  </w:r>
                  <w:r>
                    <w:rPr>
                      <w:rFonts w:hint="eastAsia"/>
                    </w:rPr>
                    <w:t>K≤</w:t>
                  </w:r>
                  <w:r>
                    <w:t>1.0×10</w:t>
                  </w:r>
                  <w:r>
                    <w:rPr>
                      <w:vertAlign w:val="superscript"/>
                    </w:rPr>
                    <w:t>-7</w:t>
                  </w:r>
                  <w:r>
                    <w:t>cm/s</w:t>
                  </w:r>
                  <w:r>
                    <w:rPr>
                      <w:rFonts w:hint="eastAsia"/>
                    </w:rPr>
                    <w:t>或参照G</w:t>
                  </w:r>
                  <w:r>
                    <w:t>B16889</w:t>
                  </w:r>
                  <w:r>
                    <w:rPr>
                      <w:rFonts w:hint="eastAsia"/>
                    </w:rPr>
                    <w:t>执行。</w:t>
                  </w:r>
                </w:p>
                <w:p>
                  <w:pPr>
                    <w:pStyle w:val="63"/>
                    <w:jc w:val="both"/>
                  </w:pPr>
                  <w:r>
                    <w:rPr>
                      <w:rFonts w:hint="eastAsia"/>
                    </w:rPr>
                    <w:t>（3）简单防渗区包括厂区道路、综合楼、绿化区等，要求为一般地面硬化。</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rPr>
                      <w:rFonts w:hint="eastAsia"/>
                    </w:rPr>
                    <w:t>环境风险</w:t>
                  </w:r>
                </w:p>
              </w:tc>
              <w:tc>
                <w:tcPr>
                  <w:tcW w:w="4932" w:type="dxa"/>
                  <w:vAlign w:val="center"/>
                </w:tcPr>
                <w:p>
                  <w:pPr>
                    <w:pStyle w:val="88"/>
                    <w:jc w:val="left"/>
                  </w:pPr>
                  <w:r>
                    <w:rPr>
                      <w:rFonts w:hint="eastAsia"/>
                    </w:rPr>
                    <w:t>（1</w:t>
                  </w:r>
                  <w:r>
                    <w:t>）项目供电采用</w:t>
                  </w:r>
                  <w:r>
                    <w:rPr>
                      <w:rFonts w:hint="eastAsia"/>
                    </w:rPr>
                    <w:t>单电源+备用电源</w:t>
                  </w:r>
                  <w:r>
                    <w:t>供电，工作电源与备用电源满足全厂100%负荷供电，水处理构筑物采用多套并联运行；</w:t>
                  </w:r>
                </w:p>
                <w:p>
                  <w:pPr>
                    <w:pStyle w:val="88"/>
                    <w:jc w:val="left"/>
                  </w:pPr>
                  <w:r>
                    <w:rPr>
                      <w:rFonts w:hint="eastAsia"/>
                    </w:rPr>
                    <w:t>（2</w:t>
                  </w:r>
                  <w:r>
                    <w:t>）建设事故池1座，</w:t>
                  </w:r>
                  <w:r>
                    <w:rPr>
                      <w:rFonts w:hint="eastAsia"/>
                    </w:rPr>
                    <w:t>30 m</w:t>
                  </w:r>
                  <w:r>
                    <w:t>×</w:t>
                  </w:r>
                  <w:r>
                    <w:rPr>
                      <w:rFonts w:hint="eastAsia"/>
                    </w:rPr>
                    <w:t>20m</w:t>
                  </w:r>
                  <w:r>
                    <w:t>×</w:t>
                  </w:r>
                  <w:r>
                    <w:rPr>
                      <w:rFonts w:hint="eastAsia"/>
                    </w:rPr>
                    <w:t>5.7</w:t>
                  </w:r>
                  <w:r>
                    <w:t>m</w:t>
                  </w:r>
                  <w:r>
                    <w:rPr>
                      <w:rFonts w:hint="eastAsia"/>
                    </w:rPr>
                    <w:t>，全地下，</w:t>
                  </w:r>
                  <w:r>
                    <w:t>容积3000m</w:t>
                  </w:r>
                  <w:r>
                    <w:rPr>
                      <w:vertAlign w:val="superscript"/>
                    </w:rPr>
                    <w:t>3</w:t>
                  </w:r>
                  <w:r>
                    <w:t>，</w:t>
                  </w:r>
                  <w:r>
                    <w:rPr>
                      <w:rFonts w:hint="eastAsia"/>
                    </w:rPr>
                    <w:t>贮存时间24h，</w:t>
                  </w:r>
                  <w:r>
                    <w:t>建设1套Feton应急污水处理设施</w:t>
                  </w:r>
                  <w:r>
                    <w:rPr>
                      <w:rFonts w:hint="eastAsia"/>
                    </w:rPr>
                    <w:t>，21.8 m</w:t>
                  </w:r>
                  <w:r>
                    <w:t>×</w:t>
                  </w:r>
                  <w:r>
                    <w:rPr>
                      <w:rFonts w:hint="eastAsia"/>
                    </w:rPr>
                    <w:t>7.85m</w:t>
                  </w:r>
                  <w:r>
                    <w:t>×</w:t>
                  </w:r>
                  <w:r>
                    <w:rPr>
                      <w:rFonts w:hint="eastAsia"/>
                    </w:rPr>
                    <w:t>5.5</w:t>
                  </w:r>
                  <w:r>
                    <w:t>m</w:t>
                  </w:r>
                  <w:r>
                    <w:rPr>
                      <w:rFonts w:hint="eastAsia"/>
                    </w:rPr>
                    <w:t>，半地上</w:t>
                  </w:r>
                  <w:r>
                    <w:t>；</w:t>
                  </w:r>
                  <w:r>
                    <w:rPr>
                      <w:rFonts w:hint="eastAsia"/>
                    </w:rPr>
                    <w:t>设置进出水水质在线自动监测装置，及时监控水质。</w:t>
                  </w:r>
                  <w:r>
                    <w:t>设置雨污切换阀，发生事故时将事故废水、消防废水、初期雨水导入事故水池暂存，当污水处理厂恢复正常运行后导入污水处理厂设施处理达标排放</w:t>
                  </w:r>
                  <w:r>
                    <w:rPr>
                      <w:rFonts w:hint="eastAsia"/>
                    </w:rPr>
                    <w:t>。</w:t>
                  </w:r>
                </w:p>
                <w:p>
                  <w:pPr>
                    <w:pStyle w:val="88"/>
                    <w:jc w:val="left"/>
                  </w:pPr>
                  <w:r>
                    <w:rPr>
                      <w:rFonts w:hint="eastAsia"/>
                    </w:rPr>
                    <w:t>（3）</w:t>
                  </w:r>
                  <w:r>
                    <w:t>储药及加药间地面硬化，并进行防腐、防渗处理，设置明显的安全标志，并符合 GB 2894《安全标志及其使用导则》规定,双氧水、硫酸、氢氧化钠设置在室内，防止日光照射，分开贮存，双氧水、硫酸储罐内贮存，储罐材质采用塑料并设置围堰，围堰容积不小于贮存储罐容积，化学品输送管道应明管铺设，管道接头和管材应满足防腐要求，仪表、电气设施、照明灯具等均采用防爆型。设备、管道、阀门根据相关规划要求做防雷接地、防静电措施设备采用防爆设备。</w:t>
                  </w:r>
                </w:p>
                <w:p>
                  <w:pPr>
                    <w:pStyle w:val="88"/>
                    <w:jc w:val="left"/>
                  </w:pPr>
                  <w:r>
                    <w:t>（</w:t>
                  </w:r>
                  <w:r>
                    <w:rPr>
                      <w:rFonts w:hint="eastAsia"/>
                    </w:rPr>
                    <w:t>4</w:t>
                  </w:r>
                  <w:r>
                    <w:t>）脱水间</w:t>
                  </w:r>
                  <w:r>
                    <w:rPr>
                      <w:rFonts w:hint="eastAsia"/>
                    </w:rPr>
                    <w:t>地面硬化并作防腐、防渗处理，</w:t>
                  </w:r>
                  <w:r>
                    <w:t>污泥脱水过程产生的废水专用管道泵入项目污水处理厂系统处理达标后排放。</w:t>
                  </w:r>
                </w:p>
                <w:p>
                  <w:pPr>
                    <w:pStyle w:val="63"/>
                    <w:jc w:val="left"/>
                  </w:pPr>
                  <w:r>
                    <w:t>（</w:t>
                  </w:r>
                  <w:r>
                    <w:rPr>
                      <w:rFonts w:hint="eastAsia"/>
                    </w:rPr>
                    <w:t>5</w:t>
                  </w:r>
                  <w:r>
                    <w:t>）</w:t>
                  </w:r>
                  <w:r>
                    <w:rPr>
                      <w:rFonts w:hint="eastAsia"/>
                    </w:rPr>
                    <w:t>各类设备选用安全可靠设备，设备和管道应经过防腐处理。泵、流量计、照明灯和各种管路，应防火、防爆。根据应急预案要求配置应急物资并定期演练。制定风险事故防范措施和事故应急预案，当发生风险事故时立即启动事故应急预案，确保事故不扩大，减少对周边环境造成危害。</w:t>
                  </w:r>
                </w:p>
              </w:tc>
              <w:tc>
                <w:tcPr>
                  <w:tcW w:w="773"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9" w:type="dxa"/>
                  <w:vMerge w:val="continue"/>
                  <w:vAlign w:val="center"/>
                </w:tcPr>
                <w:p>
                  <w:pPr>
                    <w:pStyle w:val="63"/>
                  </w:pPr>
                </w:p>
              </w:tc>
              <w:tc>
                <w:tcPr>
                  <w:tcW w:w="1731" w:type="dxa"/>
                  <w:gridSpan w:val="2"/>
                  <w:vAlign w:val="center"/>
                </w:tcPr>
                <w:p>
                  <w:pPr>
                    <w:pStyle w:val="63"/>
                  </w:pPr>
                  <w:r>
                    <w:t>防护距离划定</w:t>
                  </w:r>
                </w:p>
              </w:tc>
              <w:tc>
                <w:tcPr>
                  <w:tcW w:w="4932" w:type="dxa"/>
                  <w:vAlign w:val="center"/>
                </w:tcPr>
                <w:p>
                  <w:pPr>
                    <w:pStyle w:val="88"/>
                    <w:jc w:val="left"/>
                  </w:pPr>
                  <w:r>
                    <w:rPr>
                      <w:rFonts w:hint="eastAsia"/>
                    </w:rPr>
                    <w:t>项目防护距离为污水预处理区、污水二级处理区和污泥脱水污泥处理区外扩100m范围，防护距离内不得安排住宅、学校、医院等敏感性用途的建设用地。根据现场调查现状防护距离范围内无居民点分布。</w:t>
                  </w:r>
                </w:p>
              </w:tc>
              <w:tc>
                <w:tcPr>
                  <w:tcW w:w="773" w:type="dxa"/>
                  <w:vAlign w:val="center"/>
                </w:tcPr>
                <w:p>
                  <w:pPr>
                    <w:pStyle w:val="63"/>
                  </w:pPr>
                  <w:r>
                    <w:rPr>
                      <w:rFonts w:hint="eastAsia"/>
                    </w:rPr>
                    <w:t>-</w:t>
                  </w:r>
                </w:p>
              </w:tc>
            </w:tr>
          </w:tbl>
          <w:p/>
          <w:p>
            <w:pPr>
              <w:pStyle w:val="4"/>
              <w:spacing w:before="120" w:after="120"/>
            </w:pPr>
            <w:r>
              <w:rPr>
                <w:rFonts w:hint="eastAsia"/>
              </w:rPr>
              <w:t>主要生产设备</w:t>
            </w:r>
          </w:p>
          <w:p>
            <w:pPr>
              <w:pStyle w:val="5"/>
              <w:ind w:firstLine="480"/>
            </w:pPr>
            <w:r>
              <w:rPr>
                <w:rFonts w:hint="eastAsia"/>
              </w:rPr>
              <w:t>项目污水处理主要生产设施见</w:t>
            </w:r>
            <w:r>
              <w:fldChar w:fldCharType="begin"/>
            </w:r>
            <w:r>
              <w:instrText xml:space="preserve"> </w:instrText>
            </w:r>
            <w:r>
              <w:rPr>
                <w:rFonts w:hint="eastAsia"/>
              </w:rPr>
              <w:instrText xml:space="preserve">REF _Ref169615314 \h</w:instrText>
            </w:r>
            <w:r>
              <w:instrText xml:space="preserve"> </w:instrText>
            </w:r>
            <w:r>
              <w:fldChar w:fldCharType="separate"/>
            </w:r>
            <w:r>
              <w:rPr>
                <w:rFonts w:hint="eastAsia"/>
              </w:rPr>
              <w:t xml:space="preserve">表 </w:t>
            </w:r>
            <w:r>
              <w:t>2.5</w:t>
            </w:r>
            <w:r>
              <w:noBreakHyphen/>
            </w:r>
            <w:r>
              <w:t>2</w:t>
            </w:r>
            <w:r>
              <w:fldChar w:fldCharType="end"/>
            </w:r>
            <w:r>
              <w:rPr>
                <w:rFonts w:hint="eastAsia"/>
              </w:rPr>
              <w:t>。</w:t>
            </w:r>
          </w:p>
          <w:p>
            <w:pPr>
              <w:pStyle w:val="14"/>
              <w:keepNext/>
            </w:pPr>
            <w:bookmarkStart w:id="17" w:name="_Ref169615314"/>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17"/>
            <w:r>
              <w:rPr>
                <w:rFonts w:hint="eastAsia"/>
              </w:rPr>
              <w:t xml:space="preserve">   污水处理主要生产设施一览表</w:t>
            </w:r>
          </w:p>
          <w:tbl>
            <w:tblPr>
              <w:tblStyle w:val="38"/>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686"/>
              <w:gridCol w:w="3605"/>
              <w:gridCol w:w="450"/>
              <w:gridCol w:w="636"/>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序号</w:t>
                  </w:r>
                </w:p>
              </w:tc>
              <w:tc>
                <w:tcPr>
                  <w:tcW w:w="1686" w:type="dxa"/>
                  <w:shd w:val="clear" w:color="auto" w:fill="auto"/>
                  <w:vAlign w:val="center"/>
                </w:tcPr>
                <w:p>
                  <w:pPr>
                    <w:pStyle w:val="63"/>
                  </w:pPr>
                  <w:r>
                    <w:rPr>
                      <w:rFonts w:hint="eastAsia"/>
                    </w:rPr>
                    <w:t>名称</w:t>
                  </w:r>
                </w:p>
              </w:tc>
              <w:tc>
                <w:tcPr>
                  <w:tcW w:w="3605" w:type="dxa"/>
                  <w:shd w:val="clear" w:color="auto" w:fill="auto"/>
                  <w:vAlign w:val="center"/>
                </w:tcPr>
                <w:p>
                  <w:pPr>
                    <w:pStyle w:val="63"/>
                  </w:pPr>
                  <w:r>
                    <w:rPr>
                      <w:rFonts w:hint="eastAsia"/>
                    </w:rPr>
                    <w:t>型</w:t>
                  </w:r>
                  <w:r>
                    <w:t xml:space="preserve">  </w:t>
                  </w:r>
                  <w:r>
                    <w:rPr>
                      <w:rFonts w:hint="eastAsia"/>
                    </w:rPr>
                    <w:t>号</w:t>
                  </w:r>
                  <w:r>
                    <w:t xml:space="preserve">  </w:t>
                  </w:r>
                  <w:r>
                    <w:rPr>
                      <w:rFonts w:hint="eastAsia"/>
                    </w:rPr>
                    <w:t>及</w:t>
                  </w:r>
                  <w:r>
                    <w:t xml:space="preserve">  </w:t>
                  </w:r>
                  <w:r>
                    <w:rPr>
                      <w:rFonts w:hint="eastAsia"/>
                    </w:rPr>
                    <w:t>规</w:t>
                  </w:r>
                  <w:r>
                    <w:t xml:space="preserve">  </w:t>
                  </w:r>
                  <w:r>
                    <w:rPr>
                      <w:rFonts w:hint="eastAsia"/>
                    </w:rPr>
                    <w:t>格</w:t>
                  </w:r>
                </w:p>
              </w:tc>
              <w:tc>
                <w:tcPr>
                  <w:tcW w:w="450" w:type="dxa"/>
                  <w:shd w:val="clear" w:color="auto" w:fill="auto"/>
                  <w:vAlign w:val="center"/>
                </w:tcPr>
                <w:p>
                  <w:pPr>
                    <w:pStyle w:val="63"/>
                  </w:pPr>
                  <w:r>
                    <w:rPr>
                      <w:rFonts w:hint="eastAsia"/>
                    </w:rPr>
                    <w:t>单位</w:t>
                  </w:r>
                </w:p>
              </w:tc>
              <w:tc>
                <w:tcPr>
                  <w:tcW w:w="636" w:type="dxa"/>
                  <w:shd w:val="clear" w:color="auto" w:fill="auto"/>
                  <w:vAlign w:val="center"/>
                </w:tcPr>
                <w:p>
                  <w:pPr>
                    <w:pStyle w:val="63"/>
                  </w:pPr>
                  <w:r>
                    <w:rPr>
                      <w:rFonts w:hint="eastAsia"/>
                    </w:rPr>
                    <w:t>数量</w:t>
                  </w:r>
                </w:p>
              </w:tc>
              <w:tc>
                <w:tcPr>
                  <w:tcW w:w="1087" w:type="dxa"/>
                  <w:shd w:val="clear" w:color="auto" w:fill="auto"/>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一</w:t>
                  </w:r>
                </w:p>
              </w:tc>
              <w:tc>
                <w:tcPr>
                  <w:tcW w:w="7464" w:type="dxa"/>
                  <w:gridSpan w:val="5"/>
                  <w:shd w:val="clear" w:color="auto" w:fill="auto"/>
                  <w:noWrap/>
                  <w:vAlign w:val="center"/>
                </w:tcPr>
                <w:p>
                  <w:pPr>
                    <w:pStyle w:val="63"/>
                    <w:rPr>
                      <w:b/>
                      <w:bCs/>
                    </w:rPr>
                  </w:pPr>
                  <w:r>
                    <w:rPr>
                      <w:rFonts w:hint="eastAsia"/>
                      <w:b/>
                      <w:bCs/>
                    </w:rPr>
                    <w:t>粗格栅及调节池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1</w:t>
                  </w:r>
                </w:p>
              </w:tc>
              <w:tc>
                <w:tcPr>
                  <w:tcW w:w="1686" w:type="dxa"/>
                  <w:shd w:val="clear" w:color="auto" w:fill="auto"/>
                  <w:vAlign w:val="center"/>
                </w:tcPr>
                <w:p>
                  <w:pPr>
                    <w:pStyle w:val="63"/>
                  </w:pPr>
                  <w:r>
                    <w:t>提篮格栅</w:t>
                  </w:r>
                </w:p>
              </w:tc>
              <w:tc>
                <w:tcPr>
                  <w:tcW w:w="3605" w:type="dxa"/>
                  <w:shd w:val="clear" w:color="auto" w:fill="auto"/>
                  <w:vAlign w:val="center"/>
                </w:tcPr>
                <w:p>
                  <w:pPr>
                    <w:pStyle w:val="63"/>
                  </w:pPr>
                  <w:r>
                    <w:t>栅隙40mm,渠深4.4m,</w:t>
                  </w:r>
                  <w:r>
                    <w:br w:type="textWrapping"/>
                  </w:r>
                  <w:r>
                    <w:t>B×L×H=730mm×600mm×1000mm</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2</w:t>
                  </w:r>
                </w:p>
              </w:tc>
              <w:tc>
                <w:tcPr>
                  <w:tcW w:w="1686" w:type="dxa"/>
                  <w:shd w:val="clear" w:color="auto" w:fill="auto"/>
                  <w:vAlign w:val="center"/>
                </w:tcPr>
                <w:p>
                  <w:pPr>
                    <w:pStyle w:val="63"/>
                  </w:pPr>
                  <w:r>
                    <w:t>格栅除污机</w:t>
                  </w:r>
                </w:p>
              </w:tc>
              <w:tc>
                <w:tcPr>
                  <w:tcW w:w="3605" w:type="dxa"/>
                  <w:shd w:val="clear" w:color="auto" w:fill="auto"/>
                  <w:vAlign w:val="center"/>
                </w:tcPr>
                <w:p>
                  <w:pPr>
                    <w:pStyle w:val="63"/>
                  </w:pPr>
                  <w:r>
                    <w:t>SBD700,N=1.5kW(主电机)+0.25kW(转刷电机),栅隙20mm,栅宽700mm,安装角度75,排渣高度1.0m,渠深4.4m</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自带控制箱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3</w:t>
                  </w:r>
                </w:p>
              </w:tc>
              <w:tc>
                <w:tcPr>
                  <w:tcW w:w="1686" w:type="dxa"/>
                  <w:shd w:val="clear" w:color="auto" w:fill="auto"/>
                  <w:vAlign w:val="center"/>
                </w:tcPr>
                <w:p>
                  <w:pPr>
                    <w:pStyle w:val="63"/>
                  </w:pPr>
                  <w:r>
                    <w:t>潜水搅拌机</w:t>
                  </w:r>
                </w:p>
              </w:tc>
              <w:tc>
                <w:tcPr>
                  <w:tcW w:w="3605" w:type="dxa"/>
                  <w:shd w:val="clear" w:color="auto" w:fill="auto"/>
                  <w:vAlign w:val="center"/>
                </w:tcPr>
                <w:p>
                  <w:pPr>
                    <w:pStyle w:val="63"/>
                  </w:pPr>
                  <w:r>
                    <w:t>QJB620/480-5.0, C=620,N=5.0kW</w:t>
                  </w:r>
                </w:p>
                <w:p>
                  <w:pPr>
                    <w:pStyle w:val="63"/>
                  </w:pPr>
                  <w:r>
                    <w:rPr>
                      <w:rFonts w:hint="eastAsia"/>
                    </w:rPr>
                    <w:t>转速</w:t>
                  </w:r>
                  <w:r>
                    <w:t>:480rpm</w:t>
                  </w:r>
                </w:p>
              </w:tc>
              <w:tc>
                <w:tcPr>
                  <w:tcW w:w="450" w:type="dxa"/>
                  <w:shd w:val="clear" w:color="auto" w:fill="auto"/>
                  <w:vAlign w:val="center"/>
                </w:tcPr>
                <w:p>
                  <w:pPr>
                    <w:pStyle w:val="63"/>
                  </w:pPr>
                  <w:r>
                    <w:t>台</w:t>
                  </w:r>
                </w:p>
              </w:tc>
              <w:tc>
                <w:tcPr>
                  <w:tcW w:w="636" w:type="dxa"/>
                  <w:shd w:val="clear" w:color="auto" w:fill="auto"/>
                  <w:vAlign w:val="center"/>
                </w:tcPr>
                <w:p>
                  <w:pPr>
                    <w:pStyle w:val="63"/>
                  </w:pPr>
                  <w:r>
                    <w:t>4</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4</w:t>
                  </w:r>
                </w:p>
              </w:tc>
              <w:tc>
                <w:tcPr>
                  <w:tcW w:w="1686" w:type="dxa"/>
                  <w:shd w:val="clear" w:color="auto" w:fill="auto"/>
                  <w:vAlign w:val="center"/>
                </w:tcPr>
                <w:p>
                  <w:pPr>
                    <w:pStyle w:val="63"/>
                  </w:pPr>
                  <w:r>
                    <w:t>污水提升泵</w:t>
                  </w:r>
                </w:p>
              </w:tc>
              <w:tc>
                <w:tcPr>
                  <w:tcW w:w="3605" w:type="dxa"/>
                  <w:shd w:val="clear" w:color="auto" w:fill="auto"/>
                  <w:vAlign w:val="center"/>
                </w:tcPr>
                <w:p>
                  <w:pPr>
                    <w:pStyle w:val="63"/>
                  </w:pPr>
                  <w:r>
                    <w:t>Q=210m</w:t>
                  </w:r>
                  <w:r>
                    <w:rPr>
                      <w:vertAlign w:val="superscript"/>
                    </w:rPr>
                    <w:t>3</w:t>
                  </w:r>
                  <w:r>
                    <w:t>/h,H=25m,P=37kW</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变频,配压力表</w:t>
                  </w:r>
                  <w:r>
                    <w:rPr>
                      <w:rFonts w:hint="eastAsia"/>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5</w:t>
                  </w:r>
                </w:p>
              </w:tc>
              <w:tc>
                <w:tcPr>
                  <w:tcW w:w="1686" w:type="dxa"/>
                  <w:shd w:val="clear" w:color="auto" w:fill="auto"/>
                  <w:vAlign w:val="center"/>
                </w:tcPr>
                <w:p>
                  <w:pPr>
                    <w:pStyle w:val="63"/>
                  </w:pPr>
                  <w:r>
                    <w:t>污水提升泵</w:t>
                  </w:r>
                </w:p>
              </w:tc>
              <w:tc>
                <w:tcPr>
                  <w:tcW w:w="3605" w:type="dxa"/>
                  <w:shd w:val="clear" w:color="auto" w:fill="auto"/>
                  <w:vAlign w:val="center"/>
                </w:tcPr>
                <w:p>
                  <w:pPr>
                    <w:pStyle w:val="63"/>
                  </w:pPr>
                  <w:r>
                    <w:t>Q=105m</w:t>
                  </w:r>
                  <w:r>
                    <w:rPr>
                      <w:vertAlign w:val="superscript"/>
                    </w:rPr>
                    <w:t>3</w:t>
                  </w:r>
                  <w:r>
                    <w:t>/h,H=25m,P=18.5kW</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变频,配压力表</w:t>
                  </w:r>
                  <w:r>
                    <w:rPr>
                      <w:rFonts w:hint="eastAsia"/>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6</w:t>
                  </w:r>
                </w:p>
              </w:tc>
              <w:tc>
                <w:tcPr>
                  <w:tcW w:w="1686" w:type="dxa"/>
                  <w:shd w:val="clear" w:color="auto" w:fill="auto"/>
                  <w:vAlign w:val="center"/>
                </w:tcPr>
                <w:p>
                  <w:pPr>
                    <w:pStyle w:val="63"/>
                  </w:pPr>
                  <w:r>
                    <w:t>栅渣小车</w:t>
                  </w:r>
                </w:p>
              </w:tc>
              <w:tc>
                <w:tcPr>
                  <w:tcW w:w="3605" w:type="dxa"/>
                  <w:shd w:val="clear" w:color="auto" w:fill="auto"/>
                  <w:vAlign w:val="center"/>
                </w:tcPr>
                <w:p>
                  <w:pPr>
                    <w:pStyle w:val="63"/>
                  </w:pPr>
                  <w:r>
                    <w:t>尺寸:1.2×1.2×1.0m,材质碳钢防腐</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7</w:t>
                  </w:r>
                </w:p>
              </w:tc>
              <w:tc>
                <w:tcPr>
                  <w:tcW w:w="1686" w:type="dxa"/>
                  <w:shd w:val="clear" w:color="auto" w:fill="auto"/>
                  <w:vAlign w:val="center"/>
                </w:tcPr>
                <w:p>
                  <w:pPr>
                    <w:pStyle w:val="63"/>
                  </w:pPr>
                  <w:r>
                    <w:t>电动葫芦</w:t>
                  </w:r>
                </w:p>
              </w:tc>
              <w:tc>
                <w:tcPr>
                  <w:tcW w:w="3605" w:type="dxa"/>
                  <w:shd w:val="clear" w:color="auto" w:fill="auto"/>
                  <w:vAlign w:val="center"/>
                </w:tcPr>
                <w:p>
                  <w:pPr>
                    <w:pStyle w:val="63"/>
                  </w:pPr>
                  <w:r>
                    <w:t>N=1.5kW(起升功率)+0.2kw(行走功率),起重量1.0t,提升高度12m,Ⅰ型工字钢,配控制箱及控制手柄</w:t>
                  </w:r>
                </w:p>
              </w:tc>
              <w:tc>
                <w:tcPr>
                  <w:tcW w:w="450" w:type="dxa"/>
                  <w:shd w:val="clear" w:color="auto" w:fill="auto"/>
                  <w:vAlign w:val="center"/>
                </w:tcPr>
                <w:p>
                  <w:pPr>
                    <w:pStyle w:val="63"/>
                  </w:pPr>
                  <w:r>
                    <w:t>台</w:t>
                  </w:r>
                </w:p>
              </w:tc>
              <w:tc>
                <w:tcPr>
                  <w:tcW w:w="636" w:type="dxa"/>
                  <w:shd w:val="clear" w:color="auto" w:fill="auto"/>
                  <w:vAlign w:val="center"/>
                </w:tcPr>
                <w:p>
                  <w:pPr>
                    <w:pStyle w:val="63"/>
                  </w:pPr>
                  <w:r>
                    <w:t>1</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8</w:t>
                  </w:r>
                </w:p>
              </w:tc>
              <w:tc>
                <w:tcPr>
                  <w:tcW w:w="1686" w:type="dxa"/>
                  <w:shd w:val="clear" w:color="auto" w:fill="auto"/>
                  <w:vAlign w:val="center"/>
                </w:tcPr>
                <w:p>
                  <w:pPr>
                    <w:pStyle w:val="63"/>
                  </w:pPr>
                  <w:r>
                    <w:t>电动葫芦</w:t>
                  </w:r>
                </w:p>
              </w:tc>
              <w:tc>
                <w:tcPr>
                  <w:tcW w:w="3605" w:type="dxa"/>
                  <w:shd w:val="clear" w:color="auto" w:fill="auto"/>
                  <w:vAlign w:val="center"/>
                </w:tcPr>
                <w:p>
                  <w:pPr>
                    <w:pStyle w:val="63"/>
                  </w:pPr>
                  <w:r>
                    <w:t>N=1.5kW(起升功率)+0.2kw(行走功率),起重量1.0t,提升高度18m,Ⅰ型工字钢,配控制箱及控制手柄</w:t>
                  </w:r>
                </w:p>
              </w:tc>
              <w:tc>
                <w:tcPr>
                  <w:tcW w:w="450" w:type="dxa"/>
                  <w:shd w:val="clear" w:color="auto" w:fill="auto"/>
                  <w:vAlign w:val="center"/>
                </w:tcPr>
                <w:p>
                  <w:pPr>
                    <w:pStyle w:val="63"/>
                  </w:pPr>
                  <w:r>
                    <w:t>台</w:t>
                  </w:r>
                </w:p>
              </w:tc>
              <w:tc>
                <w:tcPr>
                  <w:tcW w:w="636" w:type="dxa"/>
                  <w:shd w:val="clear" w:color="auto" w:fill="auto"/>
                  <w:vAlign w:val="center"/>
                </w:tcPr>
                <w:p>
                  <w:pPr>
                    <w:pStyle w:val="63"/>
                  </w:pPr>
                  <w:r>
                    <w:t>1</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二</w:t>
                  </w:r>
                </w:p>
              </w:tc>
              <w:tc>
                <w:tcPr>
                  <w:tcW w:w="7464" w:type="dxa"/>
                  <w:gridSpan w:val="5"/>
                  <w:shd w:val="clear" w:color="auto" w:fill="auto"/>
                  <w:noWrap/>
                  <w:vAlign w:val="center"/>
                </w:tcPr>
                <w:p>
                  <w:pPr>
                    <w:pStyle w:val="63"/>
                    <w:rPr>
                      <w:b/>
                      <w:bCs/>
                    </w:rPr>
                  </w:pPr>
                  <w:r>
                    <w:rPr>
                      <w:rFonts w:hint="eastAsia"/>
                      <w:b/>
                      <w:bCs/>
                    </w:rPr>
                    <w:t>细格栅、平流沉砂池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1</w:t>
                  </w:r>
                </w:p>
              </w:tc>
              <w:tc>
                <w:tcPr>
                  <w:tcW w:w="1686" w:type="dxa"/>
                  <w:shd w:val="clear" w:color="auto" w:fill="auto"/>
                  <w:vAlign w:val="center"/>
                </w:tcPr>
                <w:p>
                  <w:pPr>
                    <w:pStyle w:val="63"/>
                  </w:pPr>
                  <w:r>
                    <w:t>回转式钩齿格栅除污机</w:t>
                  </w:r>
                </w:p>
              </w:tc>
              <w:tc>
                <w:tcPr>
                  <w:tcW w:w="3605" w:type="dxa"/>
                  <w:shd w:val="clear" w:color="auto" w:fill="auto"/>
                  <w:vAlign w:val="center"/>
                </w:tcPr>
                <w:p>
                  <w:pPr>
                    <w:pStyle w:val="63"/>
                  </w:pPr>
                  <w:r>
                    <w:t>渠深1400mm,栅宽700mm,安装角度75,栅隙5mm,N=0.55kW,不锈钢材质</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自带控制箱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2</w:t>
                  </w:r>
                </w:p>
              </w:tc>
              <w:tc>
                <w:tcPr>
                  <w:tcW w:w="1686" w:type="dxa"/>
                  <w:shd w:val="clear" w:color="auto" w:fill="auto"/>
                  <w:vAlign w:val="center"/>
                </w:tcPr>
                <w:p>
                  <w:pPr>
                    <w:pStyle w:val="63"/>
                  </w:pPr>
                  <w:r>
                    <w:t>无轴螺旋输送机</w:t>
                  </w:r>
                </w:p>
              </w:tc>
              <w:tc>
                <w:tcPr>
                  <w:tcW w:w="3605" w:type="dxa"/>
                  <w:shd w:val="clear" w:color="auto" w:fill="auto"/>
                  <w:vAlign w:val="center"/>
                </w:tcPr>
                <w:p>
                  <w:pPr>
                    <w:pStyle w:val="63"/>
                  </w:pPr>
                  <w:r>
                    <w:rPr>
                      <w:rFonts w:hint="eastAsia"/>
                    </w:rPr>
                    <w:t>输送长度</w:t>
                  </w:r>
                  <w:r>
                    <w:t>3.0m,</w:t>
                  </w:r>
                  <w:r>
                    <w:rPr>
                      <w:rFonts w:hint="eastAsia"/>
                    </w:rPr>
                    <w:t>功率</w:t>
                  </w:r>
                  <w:r>
                    <w:t>N=1.1kW</w:t>
                  </w:r>
                </w:p>
              </w:tc>
              <w:tc>
                <w:tcPr>
                  <w:tcW w:w="450" w:type="dxa"/>
                  <w:shd w:val="clear" w:color="auto" w:fill="auto"/>
                  <w:vAlign w:val="center"/>
                </w:tcPr>
                <w:p>
                  <w:pPr>
                    <w:pStyle w:val="63"/>
                  </w:pPr>
                  <w:r>
                    <w:t>台</w:t>
                  </w:r>
                </w:p>
              </w:tc>
              <w:tc>
                <w:tcPr>
                  <w:tcW w:w="636" w:type="dxa"/>
                  <w:shd w:val="clear" w:color="auto" w:fill="auto"/>
                  <w:vAlign w:val="center"/>
                </w:tcPr>
                <w:p>
                  <w:pPr>
                    <w:pStyle w:val="63"/>
                  </w:pPr>
                  <w:r>
                    <w:t>1</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3</w:t>
                  </w:r>
                </w:p>
              </w:tc>
              <w:tc>
                <w:tcPr>
                  <w:tcW w:w="1686" w:type="dxa"/>
                  <w:shd w:val="clear" w:color="auto" w:fill="auto"/>
                  <w:vAlign w:val="center"/>
                </w:tcPr>
                <w:p>
                  <w:pPr>
                    <w:pStyle w:val="63"/>
                  </w:pPr>
                  <w:r>
                    <w:t>抽砂泵</w:t>
                  </w:r>
                </w:p>
              </w:tc>
              <w:tc>
                <w:tcPr>
                  <w:tcW w:w="3605" w:type="dxa"/>
                  <w:shd w:val="clear" w:color="auto" w:fill="auto"/>
                  <w:vAlign w:val="center"/>
                </w:tcPr>
                <w:p>
                  <w:pPr>
                    <w:pStyle w:val="63"/>
                  </w:pPr>
                  <w:r>
                    <w:t>Q=10m</w:t>
                  </w:r>
                  <w:r>
                    <w:rPr>
                      <w:vertAlign w:val="superscript"/>
                    </w:rPr>
                    <w:t>3</w:t>
                  </w:r>
                  <w:r>
                    <w:t>/h,H=4.5m,P=1.0kW</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4</w:t>
                  </w:r>
                </w:p>
              </w:tc>
              <w:tc>
                <w:tcPr>
                  <w:tcW w:w="1686" w:type="dxa"/>
                  <w:shd w:val="clear" w:color="auto" w:fill="auto"/>
                  <w:vAlign w:val="center"/>
                </w:tcPr>
                <w:p>
                  <w:pPr>
                    <w:pStyle w:val="63"/>
                  </w:pPr>
                  <w:r>
                    <w:t>搅拌机</w:t>
                  </w:r>
                </w:p>
              </w:tc>
              <w:tc>
                <w:tcPr>
                  <w:tcW w:w="3605" w:type="dxa"/>
                  <w:shd w:val="clear" w:color="auto" w:fill="auto"/>
                  <w:vAlign w:val="center"/>
                </w:tcPr>
                <w:p>
                  <w:pPr>
                    <w:pStyle w:val="63"/>
                  </w:pPr>
                  <w:r>
                    <w:t>转速103r/min,功率0.55kw</w:t>
                  </w:r>
                </w:p>
              </w:tc>
              <w:tc>
                <w:tcPr>
                  <w:tcW w:w="450" w:type="dxa"/>
                  <w:shd w:val="clear" w:color="auto" w:fill="auto"/>
                  <w:vAlign w:val="center"/>
                </w:tcPr>
                <w:p>
                  <w:pPr>
                    <w:pStyle w:val="63"/>
                  </w:pPr>
                  <w:r>
                    <w:t>台</w:t>
                  </w:r>
                </w:p>
              </w:tc>
              <w:tc>
                <w:tcPr>
                  <w:tcW w:w="636" w:type="dxa"/>
                  <w:shd w:val="clear" w:color="auto" w:fill="auto"/>
                  <w:vAlign w:val="center"/>
                </w:tcPr>
                <w:p>
                  <w:pPr>
                    <w:pStyle w:val="63"/>
                  </w:pPr>
                  <w:r>
                    <w:t>4</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5</w:t>
                  </w:r>
                </w:p>
              </w:tc>
              <w:tc>
                <w:tcPr>
                  <w:tcW w:w="1686" w:type="dxa"/>
                  <w:shd w:val="clear" w:color="auto" w:fill="auto"/>
                  <w:vAlign w:val="center"/>
                </w:tcPr>
                <w:p>
                  <w:pPr>
                    <w:pStyle w:val="63"/>
                  </w:pPr>
                  <w:r>
                    <w:t>砂水分离器</w:t>
                  </w:r>
                </w:p>
              </w:tc>
              <w:tc>
                <w:tcPr>
                  <w:tcW w:w="3605" w:type="dxa"/>
                  <w:shd w:val="clear" w:color="auto" w:fill="auto"/>
                  <w:vAlign w:val="center"/>
                </w:tcPr>
                <w:p>
                  <w:pPr>
                    <w:pStyle w:val="63"/>
                  </w:pPr>
                  <w:r>
                    <w:t>螺旋直径220mm,</w:t>
                  </w:r>
                </w:p>
                <w:p>
                  <w:pPr>
                    <w:pStyle w:val="63"/>
                  </w:pPr>
                  <w:r>
                    <w:t>处理量5-12L/s,N=0.75kW</w:t>
                  </w:r>
                </w:p>
              </w:tc>
              <w:tc>
                <w:tcPr>
                  <w:tcW w:w="450" w:type="dxa"/>
                  <w:shd w:val="clear" w:color="auto" w:fill="auto"/>
                  <w:vAlign w:val="center"/>
                </w:tcPr>
                <w:p>
                  <w:pPr>
                    <w:pStyle w:val="63"/>
                  </w:pPr>
                  <w:r>
                    <w:t>台</w:t>
                  </w:r>
                </w:p>
              </w:tc>
              <w:tc>
                <w:tcPr>
                  <w:tcW w:w="636" w:type="dxa"/>
                  <w:shd w:val="clear" w:color="auto" w:fill="auto"/>
                  <w:vAlign w:val="center"/>
                </w:tcPr>
                <w:p>
                  <w:pPr>
                    <w:pStyle w:val="63"/>
                  </w:pPr>
                  <w:r>
                    <w:t>1</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6</w:t>
                  </w:r>
                </w:p>
              </w:tc>
              <w:tc>
                <w:tcPr>
                  <w:tcW w:w="1686" w:type="dxa"/>
                  <w:shd w:val="clear" w:color="auto" w:fill="auto"/>
                  <w:vAlign w:val="center"/>
                </w:tcPr>
                <w:p>
                  <w:pPr>
                    <w:pStyle w:val="63"/>
                  </w:pPr>
                  <w:r>
                    <w:t>垃圾斗</w:t>
                  </w:r>
                </w:p>
              </w:tc>
              <w:tc>
                <w:tcPr>
                  <w:tcW w:w="3605" w:type="dxa"/>
                  <w:shd w:val="clear" w:color="auto" w:fill="auto"/>
                  <w:vAlign w:val="center"/>
                </w:tcPr>
                <w:p>
                  <w:pPr>
                    <w:pStyle w:val="63"/>
                  </w:pPr>
                  <w:r>
                    <w:t>尺寸:1.2×1.2×1.0m,材质碳钢防腐</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7</w:t>
                  </w:r>
                </w:p>
              </w:tc>
              <w:tc>
                <w:tcPr>
                  <w:tcW w:w="1686" w:type="dxa"/>
                  <w:shd w:val="clear" w:color="auto" w:fill="auto"/>
                  <w:vAlign w:val="center"/>
                </w:tcPr>
                <w:p>
                  <w:pPr>
                    <w:pStyle w:val="63"/>
                  </w:pPr>
                  <w:r>
                    <w:t>卸渣斗</w:t>
                  </w:r>
                </w:p>
              </w:tc>
              <w:tc>
                <w:tcPr>
                  <w:tcW w:w="3605" w:type="dxa"/>
                  <w:shd w:val="clear" w:color="auto" w:fill="auto"/>
                  <w:vAlign w:val="center"/>
                </w:tcPr>
                <w:p>
                  <w:pPr>
                    <w:pStyle w:val="63"/>
                  </w:pPr>
                  <w:r>
                    <w:t>断面尺寸320×320mm,总高6.2m</w:t>
                  </w:r>
                </w:p>
              </w:tc>
              <w:tc>
                <w:tcPr>
                  <w:tcW w:w="450" w:type="dxa"/>
                  <w:shd w:val="clear" w:color="auto" w:fill="auto"/>
                  <w:vAlign w:val="center"/>
                </w:tcPr>
                <w:p>
                  <w:pPr>
                    <w:pStyle w:val="63"/>
                  </w:pPr>
                  <w:r>
                    <w:t>台</w:t>
                  </w:r>
                </w:p>
              </w:tc>
              <w:tc>
                <w:tcPr>
                  <w:tcW w:w="636" w:type="dxa"/>
                  <w:shd w:val="clear" w:color="auto" w:fill="auto"/>
                  <w:vAlign w:val="center"/>
                </w:tcPr>
                <w:p>
                  <w:pPr>
                    <w:pStyle w:val="63"/>
                  </w:pPr>
                  <w:r>
                    <w:t>1</w:t>
                  </w:r>
                </w:p>
              </w:tc>
              <w:tc>
                <w:tcPr>
                  <w:tcW w:w="1087" w:type="dxa"/>
                  <w:shd w:val="clear" w:color="auto" w:fill="auto"/>
                  <w:vAlign w:val="center"/>
                </w:tcPr>
                <w:p>
                  <w:pPr>
                    <w:pStyle w:val="63"/>
                  </w:pPr>
                  <w:r>
                    <w:t>输送机配套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三</w:t>
                  </w:r>
                </w:p>
              </w:tc>
              <w:tc>
                <w:tcPr>
                  <w:tcW w:w="7464" w:type="dxa"/>
                  <w:gridSpan w:val="5"/>
                  <w:shd w:val="clear" w:color="auto" w:fill="auto"/>
                  <w:noWrap/>
                  <w:vAlign w:val="center"/>
                </w:tcPr>
                <w:p>
                  <w:pPr>
                    <w:pStyle w:val="63"/>
                    <w:rPr>
                      <w:b/>
                      <w:bCs/>
                    </w:rPr>
                  </w:pPr>
                  <w:r>
                    <w:rPr>
                      <w:rFonts w:hint="eastAsia"/>
                      <w:b/>
                      <w:bCs/>
                    </w:rPr>
                    <w:t>气浮池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1</w:t>
                  </w:r>
                </w:p>
              </w:tc>
              <w:tc>
                <w:tcPr>
                  <w:tcW w:w="1686" w:type="dxa"/>
                  <w:shd w:val="clear" w:color="auto" w:fill="auto"/>
                  <w:vAlign w:val="center"/>
                </w:tcPr>
                <w:p>
                  <w:pPr>
                    <w:pStyle w:val="63"/>
                  </w:pPr>
                  <w:r>
                    <w:t>高效浅层</w:t>
                  </w:r>
                </w:p>
                <w:p>
                  <w:pPr>
                    <w:pStyle w:val="63"/>
                  </w:pPr>
                  <w:r>
                    <w:t>气浮设备</w:t>
                  </w:r>
                </w:p>
              </w:tc>
              <w:tc>
                <w:tcPr>
                  <w:tcW w:w="3605" w:type="dxa"/>
                  <w:shd w:val="clear" w:color="auto" w:fill="auto"/>
                  <w:vAlign w:val="center"/>
                </w:tcPr>
                <w:p>
                  <w:pPr>
                    <w:pStyle w:val="63"/>
                  </w:pPr>
                  <w:r>
                    <w:t>GQF-210,φ8m</w:t>
                  </w:r>
                </w:p>
              </w:tc>
              <w:tc>
                <w:tcPr>
                  <w:tcW w:w="450" w:type="dxa"/>
                  <w:shd w:val="clear" w:color="auto" w:fill="auto"/>
                  <w:vAlign w:val="center"/>
                </w:tcPr>
                <w:p>
                  <w:pPr>
                    <w:pStyle w:val="63"/>
                  </w:pPr>
                  <w:r>
                    <w:t>套</w:t>
                  </w:r>
                </w:p>
              </w:tc>
              <w:tc>
                <w:tcPr>
                  <w:tcW w:w="636" w:type="dxa"/>
                  <w:shd w:val="clear" w:color="auto" w:fill="auto"/>
                  <w:vAlign w:val="center"/>
                </w:tcPr>
                <w:p>
                  <w:pPr>
                    <w:pStyle w:val="63"/>
                  </w:pPr>
                  <w:r>
                    <w:t>1</w:t>
                  </w:r>
                </w:p>
              </w:tc>
              <w:tc>
                <w:tcPr>
                  <w:tcW w:w="1087" w:type="dxa"/>
                  <w:shd w:val="clear" w:color="auto" w:fill="auto"/>
                  <w:vAlign w:val="center"/>
                </w:tcPr>
                <w:p>
                  <w:pPr>
                    <w:pStyle w:val="64"/>
                  </w:pPr>
                  <w:r>
                    <w:t>含池体、主机、释放系统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2</w:t>
                  </w:r>
                </w:p>
              </w:tc>
              <w:tc>
                <w:tcPr>
                  <w:tcW w:w="1686" w:type="dxa"/>
                  <w:shd w:val="clear" w:color="auto" w:fill="auto"/>
                  <w:vAlign w:val="center"/>
                </w:tcPr>
                <w:p>
                  <w:pPr>
                    <w:pStyle w:val="63"/>
                  </w:pPr>
                  <w:r>
                    <w:t>溶气系统</w:t>
                  </w:r>
                </w:p>
              </w:tc>
              <w:tc>
                <w:tcPr>
                  <w:tcW w:w="3605" w:type="dxa"/>
                  <w:shd w:val="clear" w:color="auto" w:fill="auto"/>
                  <w:vAlign w:val="center"/>
                </w:tcPr>
                <w:p>
                  <w:pPr>
                    <w:pStyle w:val="63"/>
                  </w:pPr>
                  <w:r>
                    <w:t>全自动溶气罐,配套</w:t>
                  </w:r>
                </w:p>
              </w:tc>
              <w:tc>
                <w:tcPr>
                  <w:tcW w:w="450" w:type="dxa"/>
                  <w:shd w:val="clear" w:color="auto" w:fill="auto"/>
                  <w:vAlign w:val="center"/>
                </w:tcPr>
                <w:p>
                  <w:pPr>
                    <w:pStyle w:val="63"/>
                  </w:pPr>
                  <w:r>
                    <w:t>套</w:t>
                  </w:r>
                </w:p>
              </w:tc>
              <w:tc>
                <w:tcPr>
                  <w:tcW w:w="636" w:type="dxa"/>
                  <w:shd w:val="clear" w:color="auto" w:fill="auto"/>
                  <w:vAlign w:val="center"/>
                </w:tcPr>
                <w:p>
                  <w:pPr>
                    <w:pStyle w:val="63"/>
                  </w:pPr>
                  <w:r>
                    <w:t>1</w:t>
                  </w:r>
                </w:p>
              </w:tc>
              <w:tc>
                <w:tcPr>
                  <w:tcW w:w="1087" w:type="dxa"/>
                  <w:shd w:val="clear" w:color="auto" w:fill="auto"/>
                  <w:vAlign w:val="center"/>
                </w:tcPr>
                <w:p>
                  <w:pPr>
                    <w:pStyle w:val="64"/>
                  </w:pPr>
                  <w:r>
                    <w:t>含溶气罐、射流器、水泵、空压机、液位控制系统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3</w:t>
                  </w:r>
                </w:p>
              </w:tc>
              <w:tc>
                <w:tcPr>
                  <w:tcW w:w="1686" w:type="dxa"/>
                  <w:shd w:val="clear" w:color="auto" w:fill="auto"/>
                  <w:vAlign w:val="center"/>
                </w:tcPr>
                <w:p>
                  <w:pPr>
                    <w:pStyle w:val="63"/>
                  </w:pPr>
                  <w:r>
                    <w:t>控制系统</w:t>
                  </w:r>
                </w:p>
              </w:tc>
              <w:tc>
                <w:tcPr>
                  <w:tcW w:w="3605" w:type="dxa"/>
                  <w:shd w:val="clear" w:color="auto" w:fill="auto"/>
                  <w:vAlign w:val="center"/>
                </w:tcPr>
                <w:p>
                  <w:pPr>
                    <w:pStyle w:val="63"/>
                  </w:pPr>
                  <w:r>
                    <w:t>整机电气控制系统,配套</w:t>
                  </w:r>
                </w:p>
              </w:tc>
              <w:tc>
                <w:tcPr>
                  <w:tcW w:w="450" w:type="dxa"/>
                  <w:shd w:val="clear" w:color="auto" w:fill="auto"/>
                  <w:vAlign w:val="center"/>
                </w:tcPr>
                <w:p>
                  <w:pPr>
                    <w:pStyle w:val="63"/>
                  </w:pPr>
                  <w:r>
                    <w:t>套</w:t>
                  </w:r>
                </w:p>
              </w:tc>
              <w:tc>
                <w:tcPr>
                  <w:tcW w:w="636" w:type="dxa"/>
                  <w:shd w:val="clear" w:color="auto" w:fill="auto"/>
                  <w:vAlign w:val="center"/>
                </w:tcPr>
                <w:p>
                  <w:pPr>
                    <w:pStyle w:val="63"/>
                  </w:pPr>
                  <w:r>
                    <w:t>1</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4</w:t>
                  </w:r>
                </w:p>
              </w:tc>
              <w:tc>
                <w:tcPr>
                  <w:tcW w:w="1686" w:type="dxa"/>
                  <w:shd w:val="clear" w:color="auto" w:fill="auto"/>
                  <w:vAlign w:val="center"/>
                </w:tcPr>
                <w:p>
                  <w:pPr>
                    <w:pStyle w:val="63"/>
                  </w:pPr>
                  <w:r>
                    <w:t>液位调节控制系统</w:t>
                  </w:r>
                </w:p>
              </w:tc>
              <w:tc>
                <w:tcPr>
                  <w:tcW w:w="3605" w:type="dxa"/>
                  <w:shd w:val="clear" w:color="auto" w:fill="auto"/>
                  <w:vAlign w:val="center"/>
                </w:tcPr>
                <w:p>
                  <w:pPr>
                    <w:pStyle w:val="63"/>
                  </w:pPr>
                  <w:r>
                    <w:t>堰板调节式,配套</w:t>
                  </w:r>
                </w:p>
              </w:tc>
              <w:tc>
                <w:tcPr>
                  <w:tcW w:w="450" w:type="dxa"/>
                  <w:shd w:val="clear" w:color="auto" w:fill="auto"/>
                  <w:vAlign w:val="center"/>
                </w:tcPr>
                <w:p>
                  <w:pPr>
                    <w:pStyle w:val="63"/>
                  </w:pPr>
                  <w:r>
                    <w:t>套</w:t>
                  </w:r>
                </w:p>
              </w:tc>
              <w:tc>
                <w:tcPr>
                  <w:tcW w:w="636" w:type="dxa"/>
                  <w:shd w:val="clear" w:color="auto" w:fill="auto"/>
                  <w:vAlign w:val="center"/>
                </w:tcPr>
                <w:p>
                  <w:pPr>
                    <w:pStyle w:val="63"/>
                  </w:pPr>
                  <w:r>
                    <w:t>1</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四</w:t>
                  </w:r>
                </w:p>
              </w:tc>
              <w:tc>
                <w:tcPr>
                  <w:tcW w:w="7464" w:type="dxa"/>
                  <w:gridSpan w:val="5"/>
                  <w:shd w:val="clear" w:color="auto" w:fill="auto"/>
                  <w:noWrap/>
                  <w:vAlign w:val="center"/>
                </w:tcPr>
                <w:p>
                  <w:pPr>
                    <w:pStyle w:val="63"/>
                    <w:rPr>
                      <w:b/>
                      <w:bCs/>
                    </w:rPr>
                  </w:pPr>
                  <w:r>
                    <w:rPr>
                      <w:rFonts w:hint="eastAsia"/>
                      <w:b/>
                      <w:bCs/>
                    </w:rPr>
                    <w:t>水解酸化池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1</w:t>
                  </w:r>
                </w:p>
              </w:tc>
              <w:tc>
                <w:tcPr>
                  <w:tcW w:w="1686" w:type="dxa"/>
                  <w:shd w:val="clear" w:color="auto" w:fill="auto"/>
                  <w:noWrap/>
                  <w:vAlign w:val="center"/>
                </w:tcPr>
                <w:p>
                  <w:pPr>
                    <w:pStyle w:val="63"/>
                  </w:pPr>
                  <w:r>
                    <w:t>潜水排污泵</w:t>
                  </w:r>
                </w:p>
              </w:tc>
              <w:tc>
                <w:tcPr>
                  <w:tcW w:w="3605" w:type="dxa"/>
                  <w:shd w:val="clear" w:color="auto" w:fill="auto"/>
                  <w:vAlign w:val="center"/>
                </w:tcPr>
                <w:p>
                  <w:pPr>
                    <w:pStyle w:val="63"/>
                  </w:pPr>
                  <w:r>
                    <w:t>Q=100m</w:t>
                  </w:r>
                  <w:r>
                    <w:rPr>
                      <w:vertAlign w:val="superscript"/>
                    </w:rPr>
                    <w:t>3</w:t>
                  </w:r>
                  <w:r>
                    <w:t>/h,H=13m,N=15kW,W=410kg</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五</w:t>
                  </w:r>
                </w:p>
              </w:tc>
              <w:tc>
                <w:tcPr>
                  <w:tcW w:w="7464" w:type="dxa"/>
                  <w:gridSpan w:val="5"/>
                  <w:shd w:val="clear" w:color="auto" w:fill="auto"/>
                  <w:noWrap/>
                  <w:vAlign w:val="center"/>
                </w:tcPr>
                <w:p>
                  <w:pPr>
                    <w:pStyle w:val="63"/>
                    <w:rPr>
                      <w:b/>
                      <w:bCs/>
                    </w:rPr>
                  </w:pPr>
                  <w:r>
                    <w:rPr>
                      <w:rFonts w:hint="eastAsia"/>
                      <w:b/>
                      <w:bCs/>
                    </w:rPr>
                    <w:t>AAO生物池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1</w:t>
                  </w:r>
                </w:p>
              </w:tc>
              <w:tc>
                <w:tcPr>
                  <w:tcW w:w="1686" w:type="dxa"/>
                  <w:shd w:val="clear" w:color="auto" w:fill="auto"/>
                  <w:vAlign w:val="center"/>
                </w:tcPr>
                <w:p>
                  <w:pPr>
                    <w:pStyle w:val="63"/>
                  </w:pPr>
                  <w:r>
                    <w:t>混合液回流泵</w:t>
                  </w:r>
                </w:p>
              </w:tc>
              <w:tc>
                <w:tcPr>
                  <w:tcW w:w="3605" w:type="dxa"/>
                  <w:shd w:val="clear" w:color="auto" w:fill="auto"/>
                  <w:vAlign w:val="center"/>
                </w:tcPr>
                <w:p>
                  <w:pPr>
                    <w:pStyle w:val="63"/>
                  </w:pPr>
                  <w:r>
                    <w:t>Q=208m</w:t>
                  </w:r>
                  <w:r>
                    <w:rPr>
                      <w:vertAlign w:val="superscript"/>
                    </w:rPr>
                    <w:t>3</w:t>
                  </w:r>
                  <w:r>
                    <w:t>/h,H=1.0m,P=1.5kW,</w:t>
                  </w:r>
                </w:p>
              </w:tc>
              <w:tc>
                <w:tcPr>
                  <w:tcW w:w="450" w:type="dxa"/>
                  <w:shd w:val="clear" w:color="auto" w:fill="auto"/>
                  <w:vAlign w:val="center"/>
                </w:tcPr>
                <w:p>
                  <w:pPr>
                    <w:pStyle w:val="63"/>
                  </w:pPr>
                  <w:r>
                    <w:t>套</w:t>
                  </w:r>
                </w:p>
              </w:tc>
              <w:tc>
                <w:tcPr>
                  <w:tcW w:w="636" w:type="dxa"/>
                  <w:shd w:val="clear" w:color="auto" w:fill="auto"/>
                  <w:vAlign w:val="center"/>
                </w:tcPr>
                <w:p>
                  <w:pPr>
                    <w:pStyle w:val="63"/>
                  </w:pPr>
                  <w:r>
                    <w:t>4</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2</w:t>
                  </w:r>
                </w:p>
              </w:tc>
              <w:tc>
                <w:tcPr>
                  <w:tcW w:w="1686" w:type="dxa"/>
                  <w:shd w:val="clear" w:color="auto" w:fill="auto"/>
                  <w:vAlign w:val="center"/>
                </w:tcPr>
                <w:p>
                  <w:pPr>
                    <w:pStyle w:val="63"/>
                  </w:pPr>
                  <w:r>
                    <w:t>厌氧区潜水搅拌机</w:t>
                  </w:r>
                </w:p>
              </w:tc>
              <w:tc>
                <w:tcPr>
                  <w:tcW w:w="3605" w:type="dxa"/>
                  <w:shd w:val="clear" w:color="auto" w:fill="auto"/>
                  <w:vAlign w:val="center"/>
                </w:tcPr>
                <w:p>
                  <w:pPr>
                    <w:pStyle w:val="63"/>
                  </w:pPr>
                  <w:r>
                    <w:t>C=260mm,N=0.85kW,</w:t>
                  </w:r>
                  <w:r>
                    <w:rPr>
                      <w:rFonts w:hint="eastAsia"/>
                    </w:rPr>
                    <w:t>转速</w:t>
                  </w:r>
                  <w:r>
                    <w:t>:740rpm</w:t>
                  </w:r>
                </w:p>
              </w:tc>
              <w:tc>
                <w:tcPr>
                  <w:tcW w:w="450" w:type="dxa"/>
                  <w:shd w:val="clear" w:color="auto" w:fill="auto"/>
                  <w:vAlign w:val="center"/>
                </w:tcPr>
                <w:p>
                  <w:pPr>
                    <w:pStyle w:val="63"/>
                  </w:pPr>
                  <w:r>
                    <w:t>台</w:t>
                  </w:r>
                </w:p>
              </w:tc>
              <w:tc>
                <w:tcPr>
                  <w:tcW w:w="636" w:type="dxa"/>
                  <w:shd w:val="clear" w:color="auto" w:fill="auto"/>
                  <w:vAlign w:val="center"/>
                </w:tcPr>
                <w:p>
                  <w:pPr>
                    <w:pStyle w:val="63"/>
                  </w:pPr>
                  <w:r>
                    <w:t>4</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3</w:t>
                  </w:r>
                </w:p>
              </w:tc>
              <w:tc>
                <w:tcPr>
                  <w:tcW w:w="1686" w:type="dxa"/>
                  <w:shd w:val="clear" w:color="auto" w:fill="auto"/>
                  <w:vAlign w:val="center"/>
                </w:tcPr>
                <w:p>
                  <w:pPr>
                    <w:pStyle w:val="63"/>
                  </w:pPr>
                  <w:r>
                    <w:t>缺氧区潜水搅拌机</w:t>
                  </w:r>
                </w:p>
              </w:tc>
              <w:tc>
                <w:tcPr>
                  <w:tcW w:w="3605" w:type="dxa"/>
                  <w:shd w:val="clear" w:color="auto" w:fill="auto"/>
                  <w:vAlign w:val="center"/>
                </w:tcPr>
                <w:p>
                  <w:pPr>
                    <w:pStyle w:val="63"/>
                  </w:pPr>
                  <w:r>
                    <w:t>C=400mm,N=2.5kW,</w:t>
                  </w:r>
                  <w:r>
                    <w:rPr>
                      <w:rFonts w:hint="eastAsia"/>
                    </w:rPr>
                    <w:t>转速</w:t>
                  </w:r>
                  <w:r>
                    <w:t>:740rpm</w:t>
                  </w:r>
                </w:p>
              </w:tc>
              <w:tc>
                <w:tcPr>
                  <w:tcW w:w="450" w:type="dxa"/>
                  <w:shd w:val="clear" w:color="auto" w:fill="auto"/>
                  <w:vAlign w:val="center"/>
                </w:tcPr>
                <w:p>
                  <w:pPr>
                    <w:pStyle w:val="63"/>
                  </w:pPr>
                  <w:r>
                    <w:t>台</w:t>
                  </w:r>
                </w:p>
              </w:tc>
              <w:tc>
                <w:tcPr>
                  <w:tcW w:w="636" w:type="dxa"/>
                  <w:shd w:val="clear" w:color="auto" w:fill="auto"/>
                  <w:vAlign w:val="center"/>
                </w:tcPr>
                <w:p>
                  <w:pPr>
                    <w:pStyle w:val="63"/>
                  </w:pPr>
                  <w:r>
                    <w:t>4</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4</w:t>
                  </w:r>
                </w:p>
              </w:tc>
              <w:tc>
                <w:tcPr>
                  <w:tcW w:w="1686" w:type="dxa"/>
                  <w:shd w:val="clear" w:color="auto" w:fill="auto"/>
                  <w:vAlign w:val="center"/>
                </w:tcPr>
                <w:p>
                  <w:pPr>
                    <w:pStyle w:val="63"/>
                  </w:pPr>
                  <w:r>
                    <w:t>管式曝气器</w:t>
                  </w:r>
                </w:p>
              </w:tc>
              <w:tc>
                <w:tcPr>
                  <w:tcW w:w="3605" w:type="dxa"/>
                  <w:shd w:val="clear" w:color="auto" w:fill="auto"/>
                  <w:vAlign w:val="center"/>
                </w:tcPr>
                <w:p>
                  <w:pPr>
                    <w:pStyle w:val="63"/>
                  </w:pPr>
                  <w:r>
                    <w:t>EPDM材质,L=1000mm,</w:t>
                  </w:r>
                </w:p>
                <w:p>
                  <w:pPr>
                    <w:pStyle w:val="63"/>
                  </w:pPr>
                  <w:r>
                    <w:t>工作气量:5</w:t>
                  </w:r>
                  <w:r>
                    <w:rPr>
                      <w:rFonts w:hint="eastAsia"/>
                    </w:rPr>
                    <w:t>~</w:t>
                  </w:r>
                  <w:r>
                    <w:t>12m</w:t>
                  </w:r>
                  <w:r>
                    <w:rPr>
                      <w:vertAlign w:val="superscript"/>
                    </w:rPr>
                    <w:t>3</w:t>
                  </w:r>
                  <w:r>
                    <w:t>/h</w:t>
                  </w:r>
                </w:p>
              </w:tc>
              <w:tc>
                <w:tcPr>
                  <w:tcW w:w="450" w:type="dxa"/>
                  <w:shd w:val="clear" w:color="auto" w:fill="auto"/>
                  <w:vAlign w:val="center"/>
                </w:tcPr>
                <w:p>
                  <w:pPr>
                    <w:pStyle w:val="63"/>
                  </w:pPr>
                  <w:r>
                    <w:t>根</w:t>
                  </w:r>
                </w:p>
              </w:tc>
              <w:tc>
                <w:tcPr>
                  <w:tcW w:w="636" w:type="dxa"/>
                  <w:shd w:val="clear" w:color="auto" w:fill="auto"/>
                  <w:vAlign w:val="center"/>
                </w:tcPr>
                <w:p>
                  <w:pPr>
                    <w:pStyle w:val="63"/>
                  </w:pPr>
                  <w:r>
                    <w:t>336</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六</w:t>
                  </w:r>
                </w:p>
              </w:tc>
              <w:tc>
                <w:tcPr>
                  <w:tcW w:w="7464" w:type="dxa"/>
                  <w:gridSpan w:val="5"/>
                  <w:shd w:val="clear" w:color="auto" w:fill="auto"/>
                  <w:noWrap/>
                  <w:vAlign w:val="center"/>
                </w:tcPr>
                <w:p>
                  <w:pPr>
                    <w:pStyle w:val="63"/>
                    <w:rPr>
                      <w:b/>
                      <w:bCs/>
                    </w:rPr>
                  </w:pPr>
                  <w:r>
                    <w:rPr>
                      <w:rFonts w:hint="eastAsia"/>
                      <w:b/>
                      <w:bCs/>
                    </w:rPr>
                    <w:t>二沉池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t>1</w:t>
                  </w:r>
                </w:p>
              </w:tc>
              <w:tc>
                <w:tcPr>
                  <w:tcW w:w="1686" w:type="dxa"/>
                  <w:shd w:val="clear" w:color="auto" w:fill="auto"/>
                  <w:vAlign w:val="center"/>
                </w:tcPr>
                <w:p>
                  <w:pPr>
                    <w:pStyle w:val="63"/>
                  </w:pPr>
                  <w:r>
                    <w:t>单管吸泥机</w:t>
                  </w:r>
                </w:p>
              </w:tc>
              <w:tc>
                <w:tcPr>
                  <w:tcW w:w="3605" w:type="dxa"/>
                  <w:shd w:val="clear" w:color="auto" w:fill="auto"/>
                  <w:vAlign w:val="center"/>
                </w:tcPr>
                <w:p>
                  <w:pPr>
                    <w:pStyle w:val="63"/>
                  </w:pPr>
                  <w:r>
                    <w:t>N=0.55kW  H=5m</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七</w:t>
                  </w:r>
                </w:p>
              </w:tc>
              <w:tc>
                <w:tcPr>
                  <w:tcW w:w="7464" w:type="dxa"/>
                  <w:gridSpan w:val="5"/>
                  <w:shd w:val="clear" w:color="auto" w:fill="auto"/>
                  <w:noWrap/>
                  <w:vAlign w:val="center"/>
                </w:tcPr>
                <w:p>
                  <w:pPr>
                    <w:pStyle w:val="63"/>
                    <w:rPr>
                      <w:b/>
                      <w:bCs/>
                    </w:rPr>
                  </w:pPr>
                  <w:r>
                    <w:rPr>
                      <w:rFonts w:hint="eastAsia"/>
                      <w:b/>
                      <w:bCs/>
                    </w:rPr>
                    <w:t>回流及剩余污泥泵站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t>1</w:t>
                  </w:r>
                </w:p>
              </w:tc>
              <w:tc>
                <w:tcPr>
                  <w:tcW w:w="1686" w:type="dxa"/>
                  <w:shd w:val="clear" w:color="auto" w:fill="auto"/>
                  <w:vAlign w:val="center"/>
                </w:tcPr>
                <w:p>
                  <w:pPr>
                    <w:pStyle w:val="63"/>
                  </w:pPr>
                  <w:r>
                    <w:t>回流污泥泵</w:t>
                  </w:r>
                </w:p>
              </w:tc>
              <w:tc>
                <w:tcPr>
                  <w:tcW w:w="3605" w:type="dxa"/>
                  <w:shd w:val="clear" w:color="auto" w:fill="auto"/>
                  <w:vAlign w:val="center"/>
                </w:tcPr>
                <w:p>
                  <w:pPr>
                    <w:pStyle w:val="63"/>
                  </w:pPr>
                  <w:r>
                    <w:t>Q=120m</w:t>
                  </w:r>
                  <w:r>
                    <w:rPr>
                      <w:vertAlign w:val="superscript"/>
                    </w:rPr>
                    <w:t>3</w:t>
                  </w:r>
                  <w:r>
                    <w:t>/h,H=5.0m,N=3.0kW</w:t>
                  </w:r>
                </w:p>
              </w:tc>
              <w:tc>
                <w:tcPr>
                  <w:tcW w:w="450" w:type="dxa"/>
                  <w:shd w:val="clear" w:color="auto" w:fill="auto"/>
                  <w:vAlign w:val="center"/>
                </w:tcPr>
                <w:p>
                  <w:pPr>
                    <w:pStyle w:val="63"/>
                  </w:pPr>
                  <w:r>
                    <w:t>台</w:t>
                  </w:r>
                </w:p>
              </w:tc>
              <w:tc>
                <w:tcPr>
                  <w:tcW w:w="636" w:type="dxa"/>
                  <w:shd w:val="clear" w:color="auto" w:fill="auto"/>
                  <w:vAlign w:val="center"/>
                </w:tcPr>
                <w:p>
                  <w:pPr>
                    <w:pStyle w:val="63"/>
                  </w:pPr>
                  <w:r>
                    <w:t>3</w:t>
                  </w:r>
                </w:p>
              </w:tc>
              <w:tc>
                <w:tcPr>
                  <w:tcW w:w="1087" w:type="dxa"/>
                  <w:shd w:val="clear" w:color="auto" w:fill="auto"/>
                  <w:vAlign w:val="center"/>
                </w:tcPr>
                <w:p>
                  <w:pPr>
                    <w:pStyle w:val="63"/>
                  </w:pPr>
                  <w: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t>2</w:t>
                  </w:r>
                </w:p>
              </w:tc>
              <w:tc>
                <w:tcPr>
                  <w:tcW w:w="1686" w:type="dxa"/>
                  <w:shd w:val="clear" w:color="auto" w:fill="auto"/>
                  <w:vAlign w:val="center"/>
                </w:tcPr>
                <w:p>
                  <w:pPr>
                    <w:pStyle w:val="63"/>
                  </w:pPr>
                  <w:r>
                    <w:t>剩余污泥泵</w:t>
                  </w:r>
                </w:p>
              </w:tc>
              <w:tc>
                <w:tcPr>
                  <w:tcW w:w="3605" w:type="dxa"/>
                  <w:shd w:val="clear" w:color="auto" w:fill="auto"/>
                  <w:vAlign w:val="center"/>
                </w:tcPr>
                <w:p>
                  <w:pPr>
                    <w:pStyle w:val="63"/>
                  </w:pPr>
                  <w:r>
                    <w:t>Q=45m</w:t>
                  </w:r>
                  <w:r>
                    <w:rPr>
                      <w:vertAlign w:val="superscript"/>
                    </w:rPr>
                    <w:t>3</w:t>
                  </w:r>
                  <w:r>
                    <w:t>/h,H=12.0m,N=3.0kW</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八</w:t>
                  </w:r>
                </w:p>
              </w:tc>
              <w:tc>
                <w:tcPr>
                  <w:tcW w:w="7464" w:type="dxa"/>
                  <w:gridSpan w:val="5"/>
                  <w:shd w:val="clear" w:color="auto" w:fill="auto"/>
                  <w:noWrap/>
                  <w:vAlign w:val="center"/>
                </w:tcPr>
                <w:p>
                  <w:pPr>
                    <w:pStyle w:val="63"/>
                    <w:rPr>
                      <w:b/>
                      <w:bCs/>
                    </w:rPr>
                  </w:pPr>
                  <w:r>
                    <w:rPr>
                      <w:rFonts w:hint="eastAsia"/>
                      <w:b/>
                      <w:bCs/>
                    </w:rPr>
                    <w:t>高效沉淀池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1</w:t>
                  </w:r>
                </w:p>
              </w:tc>
              <w:tc>
                <w:tcPr>
                  <w:tcW w:w="1686" w:type="dxa"/>
                  <w:shd w:val="clear" w:color="auto" w:fill="auto"/>
                  <w:noWrap/>
                  <w:vAlign w:val="center"/>
                </w:tcPr>
                <w:p>
                  <w:pPr>
                    <w:pStyle w:val="63"/>
                  </w:pPr>
                  <w:r>
                    <w:t>混凝快速搅拌机</w:t>
                  </w:r>
                </w:p>
              </w:tc>
              <w:tc>
                <w:tcPr>
                  <w:tcW w:w="3605" w:type="dxa"/>
                  <w:shd w:val="clear" w:color="auto" w:fill="auto"/>
                  <w:vAlign w:val="center"/>
                </w:tcPr>
                <w:p>
                  <w:pPr>
                    <w:pStyle w:val="63"/>
                  </w:pPr>
                  <w:r>
                    <w:t>直径φ800mm,N=1.1kw</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2</w:t>
                  </w:r>
                </w:p>
              </w:tc>
              <w:tc>
                <w:tcPr>
                  <w:tcW w:w="1686" w:type="dxa"/>
                  <w:shd w:val="clear" w:color="auto" w:fill="auto"/>
                  <w:noWrap/>
                  <w:vAlign w:val="center"/>
                </w:tcPr>
                <w:p>
                  <w:pPr>
                    <w:pStyle w:val="63"/>
                  </w:pPr>
                  <w:r>
                    <w:t>絮凝慢速搅拌机</w:t>
                  </w:r>
                </w:p>
              </w:tc>
              <w:tc>
                <w:tcPr>
                  <w:tcW w:w="3605" w:type="dxa"/>
                  <w:shd w:val="clear" w:color="auto" w:fill="auto"/>
                  <w:vAlign w:val="center"/>
                </w:tcPr>
                <w:p>
                  <w:pPr>
                    <w:pStyle w:val="63"/>
                  </w:pPr>
                  <w:r>
                    <w:t>直径φ600mm,N=2.2kw</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3</w:t>
                  </w:r>
                </w:p>
              </w:tc>
              <w:tc>
                <w:tcPr>
                  <w:tcW w:w="1686" w:type="dxa"/>
                  <w:shd w:val="clear" w:color="auto" w:fill="auto"/>
                  <w:noWrap/>
                  <w:vAlign w:val="center"/>
                </w:tcPr>
                <w:p>
                  <w:pPr>
                    <w:pStyle w:val="63"/>
                  </w:pPr>
                  <w:r>
                    <w:t>高效浓缩刮泥机</w:t>
                  </w:r>
                </w:p>
              </w:tc>
              <w:tc>
                <w:tcPr>
                  <w:tcW w:w="3605" w:type="dxa"/>
                  <w:shd w:val="clear" w:color="auto" w:fill="auto"/>
                  <w:vAlign w:val="center"/>
                </w:tcPr>
                <w:p>
                  <w:pPr>
                    <w:pStyle w:val="63"/>
                  </w:pPr>
                  <w:r>
                    <w:t xml:space="preserve">配池直径5.4米,功率0.25kw </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4</w:t>
                  </w:r>
                </w:p>
              </w:tc>
              <w:tc>
                <w:tcPr>
                  <w:tcW w:w="1686" w:type="dxa"/>
                  <w:shd w:val="clear" w:color="auto" w:fill="auto"/>
                  <w:noWrap/>
                  <w:vAlign w:val="center"/>
                </w:tcPr>
                <w:p>
                  <w:pPr>
                    <w:pStyle w:val="63"/>
                  </w:pPr>
                  <w:r>
                    <w:t>波形斜板</w:t>
                  </w:r>
                </w:p>
              </w:tc>
              <w:tc>
                <w:tcPr>
                  <w:tcW w:w="3605" w:type="dxa"/>
                  <w:shd w:val="clear" w:color="auto" w:fill="auto"/>
                  <w:vAlign w:val="center"/>
                </w:tcPr>
                <w:p>
                  <w:pPr>
                    <w:pStyle w:val="63"/>
                  </w:pPr>
                  <w:r>
                    <w:t>板间距80,斜长1m,垂高866mm,</w:t>
                  </w:r>
                  <w:r>
                    <w:br w:type="textWrapping"/>
                  </w:r>
                  <w:r>
                    <w:t>板厚1.5mm ,安装角度60°</w:t>
                  </w:r>
                </w:p>
              </w:tc>
              <w:tc>
                <w:tcPr>
                  <w:tcW w:w="450" w:type="dxa"/>
                  <w:shd w:val="clear" w:color="auto" w:fill="auto"/>
                  <w:vAlign w:val="center"/>
                </w:tcPr>
                <w:p>
                  <w:pPr>
                    <w:pStyle w:val="63"/>
                  </w:pPr>
                  <w:r>
                    <w:t>套</w:t>
                  </w:r>
                </w:p>
              </w:tc>
              <w:tc>
                <w:tcPr>
                  <w:tcW w:w="636" w:type="dxa"/>
                  <w:shd w:val="clear" w:color="auto" w:fill="auto"/>
                  <w:vAlign w:val="center"/>
                </w:tcPr>
                <w:p>
                  <w:pPr>
                    <w:pStyle w:val="63"/>
                  </w:pPr>
                  <w:r>
                    <w:rPr>
                      <w:rFonts w:hint="eastAsia"/>
                    </w:rPr>
                    <w:t>37</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5</w:t>
                  </w:r>
                </w:p>
              </w:tc>
              <w:tc>
                <w:tcPr>
                  <w:tcW w:w="1686" w:type="dxa"/>
                  <w:shd w:val="clear" w:color="auto" w:fill="auto"/>
                  <w:noWrap/>
                  <w:vAlign w:val="center"/>
                </w:tcPr>
                <w:p>
                  <w:pPr>
                    <w:pStyle w:val="63"/>
                  </w:pPr>
                  <w:r>
                    <w:t>斜板框架</w:t>
                  </w:r>
                </w:p>
              </w:tc>
              <w:tc>
                <w:tcPr>
                  <w:tcW w:w="3605" w:type="dxa"/>
                  <w:shd w:val="clear" w:color="auto" w:fill="auto"/>
                  <w:vAlign w:val="center"/>
                </w:tcPr>
                <w:p>
                  <w:pPr>
                    <w:pStyle w:val="63"/>
                  </w:pPr>
                  <w:r>
                    <w:t>ABS管内衬钢管</w:t>
                  </w:r>
                </w:p>
              </w:tc>
              <w:tc>
                <w:tcPr>
                  <w:tcW w:w="450" w:type="dxa"/>
                  <w:shd w:val="clear" w:color="auto" w:fill="auto"/>
                  <w:vAlign w:val="center"/>
                </w:tcPr>
                <w:p>
                  <w:pPr>
                    <w:pStyle w:val="63"/>
                  </w:pPr>
                  <w:r>
                    <w:t>套</w:t>
                  </w:r>
                </w:p>
              </w:tc>
              <w:tc>
                <w:tcPr>
                  <w:tcW w:w="636" w:type="dxa"/>
                  <w:shd w:val="clear" w:color="auto" w:fill="auto"/>
                  <w:vAlign w:val="center"/>
                </w:tcPr>
                <w:p>
                  <w:pPr>
                    <w:pStyle w:val="63"/>
                  </w:pPr>
                  <w:r>
                    <w:t>2</w:t>
                  </w:r>
                </w:p>
              </w:tc>
              <w:tc>
                <w:tcPr>
                  <w:tcW w:w="1087" w:type="dxa"/>
                  <w:shd w:val="clear" w:color="auto" w:fill="auto"/>
                  <w:vAlign w:val="center"/>
                </w:tcPr>
                <w:p>
                  <w:pPr>
                    <w:pStyle w:val="63"/>
                  </w:pPr>
                  <w:r>
                    <w:t>钢塑复合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6</w:t>
                  </w:r>
                </w:p>
              </w:tc>
              <w:tc>
                <w:tcPr>
                  <w:tcW w:w="1686" w:type="dxa"/>
                  <w:shd w:val="clear" w:color="auto" w:fill="auto"/>
                  <w:noWrap/>
                  <w:vAlign w:val="center"/>
                </w:tcPr>
                <w:p>
                  <w:pPr>
                    <w:pStyle w:val="63"/>
                  </w:pPr>
                  <w:r>
                    <w:t>污泥泵</w:t>
                  </w:r>
                </w:p>
              </w:tc>
              <w:tc>
                <w:tcPr>
                  <w:tcW w:w="3605" w:type="dxa"/>
                  <w:shd w:val="clear" w:color="auto" w:fill="auto"/>
                  <w:vAlign w:val="center"/>
                </w:tcPr>
                <w:p>
                  <w:pPr>
                    <w:pStyle w:val="63"/>
                  </w:pPr>
                  <w:r>
                    <w:t>10m</w:t>
                  </w:r>
                  <w:r>
                    <w:rPr>
                      <w:vertAlign w:val="superscript"/>
                    </w:rPr>
                    <w:t>3</w:t>
                  </w:r>
                  <w:r>
                    <w:t>/h,20m,3.0kw</w:t>
                  </w:r>
                </w:p>
              </w:tc>
              <w:tc>
                <w:tcPr>
                  <w:tcW w:w="450" w:type="dxa"/>
                  <w:shd w:val="clear" w:color="auto" w:fill="auto"/>
                  <w:vAlign w:val="center"/>
                </w:tcPr>
                <w:p>
                  <w:pPr>
                    <w:pStyle w:val="63"/>
                  </w:pPr>
                  <w:r>
                    <w:t>台</w:t>
                  </w:r>
                </w:p>
              </w:tc>
              <w:tc>
                <w:tcPr>
                  <w:tcW w:w="636" w:type="dxa"/>
                  <w:shd w:val="clear" w:color="auto" w:fill="auto"/>
                  <w:vAlign w:val="center"/>
                </w:tcPr>
                <w:p>
                  <w:pPr>
                    <w:pStyle w:val="63"/>
                  </w:pPr>
                  <w:r>
                    <w:t>6</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7</w:t>
                  </w:r>
                </w:p>
              </w:tc>
              <w:tc>
                <w:tcPr>
                  <w:tcW w:w="1686" w:type="dxa"/>
                  <w:shd w:val="clear" w:color="auto" w:fill="auto"/>
                  <w:noWrap/>
                  <w:vAlign w:val="center"/>
                </w:tcPr>
                <w:p>
                  <w:pPr>
                    <w:pStyle w:val="63"/>
                  </w:pPr>
                  <w:r>
                    <w:t>集水槽</w:t>
                  </w:r>
                </w:p>
              </w:tc>
              <w:tc>
                <w:tcPr>
                  <w:tcW w:w="3605" w:type="dxa"/>
                  <w:shd w:val="clear" w:color="auto" w:fill="auto"/>
                  <w:vAlign w:val="center"/>
                </w:tcPr>
                <w:p>
                  <w:pPr>
                    <w:pStyle w:val="63"/>
                  </w:pPr>
                  <w:r>
                    <w:t xml:space="preserve">2100x530x180 </w:t>
                  </w:r>
                </w:p>
              </w:tc>
              <w:tc>
                <w:tcPr>
                  <w:tcW w:w="450" w:type="dxa"/>
                  <w:shd w:val="clear" w:color="auto" w:fill="auto"/>
                  <w:vAlign w:val="center"/>
                </w:tcPr>
                <w:p>
                  <w:pPr>
                    <w:pStyle w:val="63"/>
                  </w:pPr>
                  <w:r>
                    <w:t>套</w:t>
                  </w:r>
                </w:p>
              </w:tc>
              <w:tc>
                <w:tcPr>
                  <w:tcW w:w="636" w:type="dxa"/>
                  <w:shd w:val="clear" w:color="auto" w:fill="auto"/>
                  <w:vAlign w:val="center"/>
                </w:tcPr>
                <w:p>
                  <w:pPr>
                    <w:pStyle w:val="63"/>
                  </w:pPr>
                  <w:r>
                    <w:t>20</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九</w:t>
                  </w:r>
                </w:p>
              </w:tc>
              <w:tc>
                <w:tcPr>
                  <w:tcW w:w="7464" w:type="dxa"/>
                  <w:gridSpan w:val="5"/>
                  <w:shd w:val="clear" w:color="auto" w:fill="auto"/>
                  <w:noWrap/>
                  <w:vAlign w:val="center"/>
                </w:tcPr>
                <w:p>
                  <w:pPr>
                    <w:pStyle w:val="63"/>
                    <w:rPr>
                      <w:b/>
                      <w:bCs/>
                    </w:rPr>
                  </w:pPr>
                  <w:r>
                    <w:rPr>
                      <w:rFonts w:hint="eastAsia"/>
                      <w:b/>
                      <w:bCs/>
                    </w:rPr>
                    <w:t>彗星式纤维滤池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t>1</w:t>
                  </w:r>
                </w:p>
              </w:tc>
              <w:tc>
                <w:tcPr>
                  <w:tcW w:w="1686" w:type="dxa"/>
                  <w:shd w:val="clear" w:color="auto" w:fill="auto"/>
                  <w:noWrap/>
                  <w:vAlign w:val="center"/>
                </w:tcPr>
                <w:p>
                  <w:pPr>
                    <w:pStyle w:val="63"/>
                  </w:pPr>
                  <w:r>
                    <w:t>反洗水泵</w:t>
                  </w:r>
                </w:p>
              </w:tc>
              <w:tc>
                <w:tcPr>
                  <w:tcW w:w="3605" w:type="dxa"/>
                  <w:shd w:val="clear" w:color="auto" w:fill="auto"/>
                  <w:vAlign w:val="center"/>
                </w:tcPr>
                <w:p>
                  <w:pPr>
                    <w:pStyle w:val="63"/>
                  </w:pPr>
                  <w:r>
                    <w:t>q=180m</w:t>
                  </w:r>
                  <w:r>
                    <w:rPr>
                      <w:vertAlign w:val="superscript"/>
                    </w:rPr>
                    <w:t>3</w:t>
                  </w:r>
                  <w:r>
                    <w:t>/h,h=10m,n=11kW</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t>2</w:t>
                  </w:r>
                </w:p>
              </w:tc>
              <w:tc>
                <w:tcPr>
                  <w:tcW w:w="1686" w:type="dxa"/>
                  <w:shd w:val="clear" w:color="auto" w:fill="auto"/>
                  <w:noWrap/>
                  <w:vAlign w:val="center"/>
                </w:tcPr>
                <w:p>
                  <w:pPr>
                    <w:pStyle w:val="63"/>
                  </w:pPr>
                  <w:r>
                    <w:t>反洗风机</w:t>
                  </w:r>
                </w:p>
              </w:tc>
              <w:tc>
                <w:tcPr>
                  <w:tcW w:w="3605" w:type="dxa"/>
                  <w:shd w:val="clear" w:color="auto" w:fill="auto"/>
                  <w:vAlign w:val="center"/>
                </w:tcPr>
                <w:p>
                  <w:pPr>
                    <w:pStyle w:val="63"/>
                  </w:pPr>
                  <w:r>
                    <w:t>q=15m</w:t>
                  </w:r>
                  <w:r>
                    <w:rPr>
                      <w:vertAlign w:val="superscript"/>
                    </w:rPr>
                    <w:t>3</w:t>
                  </w:r>
                  <w:r>
                    <w:t xml:space="preserve"> /min,P=0.05Mpa,n=22kW</w:t>
                  </w:r>
                </w:p>
              </w:tc>
              <w:tc>
                <w:tcPr>
                  <w:tcW w:w="450" w:type="dxa"/>
                  <w:shd w:val="clear" w:color="auto" w:fill="auto"/>
                  <w:vAlign w:val="center"/>
                </w:tcPr>
                <w:p>
                  <w:pPr>
                    <w:pStyle w:val="63"/>
                  </w:pPr>
                  <w:r>
                    <w:t>台</w:t>
                  </w:r>
                </w:p>
              </w:tc>
              <w:tc>
                <w:tcPr>
                  <w:tcW w:w="636" w:type="dxa"/>
                  <w:shd w:val="clear" w:color="auto" w:fill="auto"/>
                  <w:vAlign w:val="center"/>
                </w:tcPr>
                <w:p>
                  <w:pPr>
                    <w:pStyle w:val="63"/>
                  </w:pPr>
                  <w:r>
                    <w:t>2</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3</w:t>
                  </w:r>
                </w:p>
              </w:tc>
              <w:tc>
                <w:tcPr>
                  <w:tcW w:w="1686" w:type="dxa"/>
                  <w:shd w:val="clear" w:color="auto" w:fill="auto"/>
                  <w:noWrap/>
                  <w:vAlign w:val="center"/>
                </w:tcPr>
                <w:p>
                  <w:pPr>
                    <w:pStyle w:val="63"/>
                  </w:pPr>
                  <w:r>
                    <w:t>承托层</w:t>
                  </w:r>
                </w:p>
              </w:tc>
              <w:tc>
                <w:tcPr>
                  <w:tcW w:w="3605" w:type="dxa"/>
                  <w:shd w:val="clear" w:color="auto" w:fill="auto"/>
                  <w:vAlign w:val="center"/>
                </w:tcPr>
                <w:p>
                  <w:pPr>
                    <w:pStyle w:val="63"/>
                  </w:pPr>
                  <w:r>
                    <w:t>C16-32</w:t>
                  </w:r>
                  <w:r>
                    <w:rPr>
                      <w:rFonts w:hint="eastAsia"/>
                    </w:rPr>
                    <w:t>mm</w:t>
                  </w:r>
                </w:p>
              </w:tc>
              <w:tc>
                <w:tcPr>
                  <w:tcW w:w="450" w:type="dxa"/>
                  <w:shd w:val="clear" w:color="auto" w:fill="auto"/>
                  <w:vAlign w:val="center"/>
                </w:tcPr>
                <w:p>
                  <w:pPr>
                    <w:pStyle w:val="63"/>
                  </w:pPr>
                  <w:r>
                    <w:t>m</w:t>
                  </w:r>
                  <w:r>
                    <w:rPr>
                      <w:vertAlign w:val="superscript"/>
                    </w:rPr>
                    <w:t>3</w:t>
                  </w:r>
                </w:p>
              </w:tc>
              <w:tc>
                <w:tcPr>
                  <w:tcW w:w="636" w:type="dxa"/>
                  <w:shd w:val="clear" w:color="auto" w:fill="auto"/>
                  <w:vAlign w:val="center"/>
                </w:tcPr>
                <w:p>
                  <w:pPr>
                    <w:pStyle w:val="63"/>
                  </w:pPr>
                  <w:r>
                    <w:t>5.4</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4</w:t>
                  </w:r>
                </w:p>
              </w:tc>
              <w:tc>
                <w:tcPr>
                  <w:tcW w:w="1686" w:type="dxa"/>
                  <w:shd w:val="clear" w:color="auto" w:fill="auto"/>
                  <w:noWrap/>
                  <w:vAlign w:val="center"/>
                </w:tcPr>
                <w:p>
                  <w:pPr>
                    <w:pStyle w:val="63"/>
                  </w:pPr>
                  <w:r>
                    <w:t>滤料</w:t>
                  </w:r>
                </w:p>
              </w:tc>
              <w:tc>
                <w:tcPr>
                  <w:tcW w:w="3605" w:type="dxa"/>
                  <w:shd w:val="clear" w:color="auto" w:fill="auto"/>
                  <w:vAlign w:val="center"/>
                </w:tcPr>
                <w:p>
                  <w:pPr>
                    <w:pStyle w:val="63"/>
                  </w:pPr>
                  <w:r>
                    <w:t>短纤维</w:t>
                  </w:r>
                </w:p>
              </w:tc>
              <w:tc>
                <w:tcPr>
                  <w:tcW w:w="450" w:type="dxa"/>
                  <w:shd w:val="clear" w:color="auto" w:fill="auto"/>
                  <w:vAlign w:val="center"/>
                </w:tcPr>
                <w:p>
                  <w:pPr>
                    <w:pStyle w:val="63"/>
                  </w:pPr>
                  <w:r>
                    <w:t>kg</w:t>
                  </w:r>
                </w:p>
              </w:tc>
              <w:tc>
                <w:tcPr>
                  <w:tcW w:w="636" w:type="dxa"/>
                  <w:shd w:val="clear" w:color="auto" w:fill="auto"/>
                  <w:vAlign w:val="center"/>
                </w:tcPr>
                <w:p>
                  <w:pPr>
                    <w:pStyle w:val="63"/>
                  </w:pPr>
                  <w:r>
                    <w:t>2506</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noWrap/>
                  <w:vAlign w:val="center"/>
                </w:tcPr>
                <w:p>
                  <w:pPr>
                    <w:pStyle w:val="63"/>
                    <w:rPr>
                      <w:b/>
                      <w:bCs/>
                    </w:rPr>
                  </w:pPr>
                  <w:r>
                    <w:rPr>
                      <w:rFonts w:hint="eastAsia"/>
                      <w:b/>
                      <w:bCs/>
                    </w:rPr>
                    <w:t>十</w:t>
                  </w:r>
                </w:p>
              </w:tc>
              <w:tc>
                <w:tcPr>
                  <w:tcW w:w="7464" w:type="dxa"/>
                  <w:gridSpan w:val="5"/>
                  <w:shd w:val="clear" w:color="auto" w:fill="auto"/>
                  <w:noWrap/>
                  <w:vAlign w:val="center"/>
                </w:tcPr>
                <w:p>
                  <w:pPr>
                    <w:pStyle w:val="63"/>
                    <w:rPr>
                      <w:b/>
                      <w:bCs/>
                    </w:rPr>
                  </w:pPr>
                  <w:r>
                    <w:rPr>
                      <w:rFonts w:hint="eastAsia"/>
                      <w:b/>
                      <w:bCs/>
                    </w:rPr>
                    <w:t>紫外消毒渠及出水计量槽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1</w:t>
                  </w:r>
                </w:p>
              </w:tc>
              <w:tc>
                <w:tcPr>
                  <w:tcW w:w="1686" w:type="dxa"/>
                  <w:shd w:val="clear" w:color="auto" w:fill="auto"/>
                  <w:vAlign w:val="center"/>
                </w:tcPr>
                <w:p>
                  <w:pPr>
                    <w:pStyle w:val="63"/>
                  </w:pPr>
                  <w:r>
                    <w:t>紫外消毒设备</w:t>
                  </w:r>
                </w:p>
              </w:tc>
              <w:tc>
                <w:tcPr>
                  <w:tcW w:w="3605" w:type="dxa"/>
                  <w:shd w:val="clear" w:color="auto" w:fill="auto"/>
                  <w:vAlign w:val="center"/>
                </w:tcPr>
                <w:p>
                  <w:pPr>
                    <w:pStyle w:val="63"/>
                  </w:pPr>
                  <w:r>
                    <w:t>功率:8.96kw</w:t>
                  </w:r>
                  <w:r>
                    <w:rPr>
                      <w:rFonts w:hint="eastAsia"/>
                    </w:rPr>
                    <w:t>，</w:t>
                  </w:r>
                  <w:r>
                    <w:t>紫外线灯管28只</w:t>
                  </w:r>
                </w:p>
              </w:tc>
              <w:tc>
                <w:tcPr>
                  <w:tcW w:w="450" w:type="dxa"/>
                  <w:shd w:val="clear" w:color="auto" w:fill="auto"/>
                  <w:vAlign w:val="center"/>
                </w:tcPr>
                <w:p>
                  <w:pPr>
                    <w:pStyle w:val="63"/>
                  </w:pPr>
                  <w:r>
                    <w:t>台</w:t>
                  </w:r>
                </w:p>
              </w:tc>
              <w:tc>
                <w:tcPr>
                  <w:tcW w:w="636" w:type="dxa"/>
                  <w:shd w:val="clear" w:color="auto" w:fill="auto"/>
                  <w:vAlign w:val="center"/>
                </w:tcPr>
                <w:p>
                  <w:pPr>
                    <w:pStyle w:val="63"/>
                  </w:pPr>
                  <w:r>
                    <w:t>11</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2</w:t>
                  </w:r>
                </w:p>
              </w:tc>
              <w:tc>
                <w:tcPr>
                  <w:tcW w:w="1686" w:type="dxa"/>
                  <w:shd w:val="clear" w:color="auto" w:fill="auto"/>
                  <w:vAlign w:val="center"/>
                </w:tcPr>
                <w:p>
                  <w:pPr>
                    <w:pStyle w:val="63"/>
                  </w:pPr>
                  <w:r>
                    <w:t>空压机</w:t>
                  </w:r>
                </w:p>
              </w:tc>
              <w:tc>
                <w:tcPr>
                  <w:tcW w:w="3605" w:type="dxa"/>
                  <w:shd w:val="clear" w:color="auto" w:fill="auto"/>
                  <w:vAlign w:val="center"/>
                </w:tcPr>
                <w:p>
                  <w:pPr>
                    <w:pStyle w:val="63"/>
                  </w:pPr>
                  <w:r>
                    <w:t>1.5KW,</w:t>
                  </w:r>
                  <w:r>
                    <w:rPr>
                      <w:rFonts w:hint="eastAsia"/>
                    </w:rPr>
                    <w:t>风量</w:t>
                  </w:r>
                  <w:r>
                    <w:t>:0.17m</w:t>
                  </w:r>
                  <w:r>
                    <w:rPr>
                      <w:vertAlign w:val="superscript"/>
                    </w:rPr>
                    <w:t>3</w:t>
                  </w:r>
                  <w:r>
                    <w:t>/mim,</w:t>
                  </w:r>
                </w:p>
                <w:p>
                  <w:pPr>
                    <w:pStyle w:val="63"/>
                  </w:pPr>
                  <w:r>
                    <w:rPr>
                      <w:rFonts w:hint="eastAsia"/>
                    </w:rPr>
                    <w:t>额定压</w:t>
                  </w:r>
                  <w:r>
                    <w:t>:0.8MPa,</w:t>
                  </w:r>
                </w:p>
              </w:tc>
              <w:tc>
                <w:tcPr>
                  <w:tcW w:w="450" w:type="dxa"/>
                  <w:shd w:val="clear" w:color="auto" w:fill="auto"/>
                  <w:vAlign w:val="center"/>
                </w:tcPr>
                <w:p>
                  <w:pPr>
                    <w:pStyle w:val="63"/>
                  </w:pPr>
                  <w:r>
                    <w:t>台</w:t>
                  </w:r>
                </w:p>
              </w:tc>
              <w:tc>
                <w:tcPr>
                  <w:tcW w:w="636" w:type="dxa"/>
                  <w:shd w:val="clear" w:color="auto" w:fill="auto"/>
                  <w:vAlign w:val="center"/>
                </w:tcPr>
                <w:p>
                  <w:pPr>
                    <w:pStyle w:val="63"/>
                  </w:pPr>
                  <w:r>
                    <w:t>1</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3</w:t>
                  </w:r>
                </w:p>
              </w:tc>
              <w:tc>
                <w:tcPr>
                  <w:tcW w:w="1686" w:type="dxa"/>
                  <w:shd w:val="clear" w:color="auto" w:fill="auto"/>
                  <w:vAlign w:val="center"/>
                </w:tcPr>
                <w:p>
                  <w:pPr>
                    <w:pStyle w:val="63"/>
                  </w:pPr>
                  <w:r>
                    <w:t>电动葫芦</w:t>
                  </w:r>
                </w:p>
              </w:tc>
              <w:tc>
                <w:tcPr>
                  <w:tcW w:w="3605" w:type="dxa"/>
                  <w:shd w:val="clear" w:color="auto" w:fill="auto"/>
                  <w:vAlign w:val="center"/>
                </w:tcPr>
                <w:p>
                  <w:pPr>
                    <w:pStyle w:val="63"/>
                  </w:pPr>
                  <w:r>
                    <w:t>T=1.0t,H=6m,N=(1.5+0.2)kW</w:t>
                  </w:r>
                </w:p>
              </w:tc>
              <w:tc>
                <w:tcPr>
                  <w:tcW w:w="450" w:type="dxa"/>
                  <w:shd w:val="clear" w:color="auto" w:fill="auto"/>
                  <w:vAlign w:val="center"/>
                </w:tcPr>
                <w:p>
                  <w:pPr>
                    <w:pStyle w:val="63"/>
                  </w:pPr>
                  <w:r>
                    <w:t>台</w:t>
                  </w:r>
                </w:p>
              </w:tc>
              <w:tc>
                <w:tcPr>
                  <w:tcW w:w="636" w:type="dxa"/>
                  <w:shd w:val="clear" w:color="auto" w:fill="auto"/>
                  <w:vAlign w:val="center"/>
                </w:tcPr>
                <w:p>
                  <w:pPr>
                    <w:pStyle w:val="63"/>
                  </w:pPr>
                  <w:r>
                    <w:t>1</w:t>
                  </w:r>
                </w:p>
              </w:tc>
              <w:tc>
                <w:tcPr>
                  <w:tcW w:w="1087" w:type="dxa"/>
                  <w:shd w:val="clear" w:color="auto" w:fill="auto"/>
                  <w:vAlign w:val="center"/>
                </w:tcPr>
                <w:p>
                  <w:pPr>
                    <w:pStyle w:val="6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rPr>
                      <w:b/>
                      <w:bCs/>
                    </w:rPr>
                  </w:pPr>
                  <w:r>
                    <w:rPr>
                      <w:rFonts w:hint="eastAsia"/>
                      <w:b/>
                      <w:bCs/>
                    </w:rPr>
                    <w:t>十一</w:t>
                  </w:r>
                </w:p>
              </w:tc>
              <w:tc>
                <w:tcPr>
                  <w:tcW w:w="7464" w:type="dxa"/>
                  <w:gridSpan w:val="5"/>
                  <w:shd w:val="clear" w:color="auto" w:fill="auto"/>
                  <w:vAlign w:val="center"/>
                </w:tcPr>
                <w:p>
                  <w:pPr>
                    <w:pStyle w:val="63"/>
                    <w:rPr>
                      <w:b/>
                      <w:bCs/>
                    </w:rPr>
                  </w:pPr>
                  <w:r>
                    <w:rPr>
                      <w:rFonts w:hint="eastAsia"/>
                      <w:b/>
                      <w:bCs/>
                    </w:rPr>
                    <w:t>污泥处理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1</w:t>
                  </w:r>
                </w:p>
              </w:tc>
              <w:tc>
                <w:tcPr>
                  <w:tcW w:w="1686" w:type="dxa"/>
                  <w:shd w:val="clear" w:color="auto" w:fill="auto"/>
                  <w:vAlign w:val="center"/>
                </w:tcPr>
                <w:p>
                  <w:pPr>
                    <w:pStyle w:val="63"/>
                  </w:pPr>
                  <w:r>
                    <w:rPr>
                      <w:rFonts w:hint="eastAsia"/>
                    </w:rPr>
                    <w:t>搅拌机</w:t>
                  </w:r>
                </w:p>
              </w:tc>
              <w:tc>
                <w:tcPr>
                  <w:tcW w:w="3605" w:type="dxa"/>
                  <w:shd w:val="clear" w:color="auto" w:fill="auto"/>
                  <w:vAlign w:val="center"/>
                </w:tcPr>
                <w:p>
                  <w:pPr>
                    <w:pStyle w:val="63"/>
                  </w:pPr>
                  <w:r>
                    <w:rPr>
                      <w:rFonts w:hint="eastAsia"/>
                    </w:rPr>
                    <w:t>3叶/单层旋桨式,N=7.5kW,叶轮直径1600mm,n=58r/min</w:t>
                  </w:r>
                </w:p>
              </w:tc>
              <w:tc>
                <w:tcPr>
                  <w:tcW w:w="450" w:type="dxa"/>
                  <w:shd w:val="clear" w:color="auto" w:fill="auto"/>
                  <w:vAlign w:val="center"/>
                </w:tcPr>
                <w:p>
                  <w:pPr>
                    <w:pStyle w:val="63"/>
                  </w:pPr>
                  <w:r>
                    <w:rPr>
                      <w:rFonts w:hint="eastAsia"/>
                    </w:rPr>
                    <w:t>台</w:t>
                  </w:r>
                </w:p>
              </w:tc>
              <w:tc>
                <w:tcPr>
                  <w:tcW w:w="636" w:type="dxa"/>
                  <w:shd w:val="clear" w:color="auto" w:fill="auto"/>
                  <w:vAlign w:val="center"/>
                </w:tcPr>
                <w:p>
                  <w:pPr>
                    <w:pStyle w:val="63"/>
                  </w:pPr>
                  <w:r>
                    <w:rPr>
                      <w:rFonts w:hint="eastAsia"/>
                    </w:rPr>
                    <w:t>1</w:t>
                  </w:r>
                </w:p>
              </w:tc>
              <w:tc>
                <w:tcPr>
                  <w:tcW w:w="1087"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2</w:t>
                  </w:r>
                </w:p>
              </w:tc>
              <w:tc>
                <w:tcPr>
                  <w:tcW w:w="1686" w:type="dxa"/>
                  <w:shd w:val="clear" w:color="auto" w:fill="auto"/>
                </w:tcPr>
                <w:p>
                  <w:pPr>
                    <w:pStyle w:val="63"/>
                  </w:pPr>
                  <w:r>
                    <w:rPr>
                      <w:rFonts w:hint="eastAsia"/>
                    </w:rPr>
                    <w:t>污泥泵</w:t>
                  </w:r>
                </w:p>
              </w:tc>
              <w:tc>
                <w:tcPr>
                  <w:tcW w:w="3605" w:type="dxa"/>
                  <w:shd w:val="clear" w:color="auto" w:fill="auto"/>
                </w:tcPr>
                <w:p>
                  <w:pPr>
                    <w:pStyle w:val="63"/>
                  </w:pPr>
                  <w:r>
                    <w:rPr>
                      <w:rFonts w:hint="eastAsia"/>
                    </w:rPr>
                    <w:t>Q=18m</w:t>
                  </w:r>
                  <w:r>
                    <w:rPr>
                      <w:rFonts w:hint="eastAsia"/>
                      <w:vertAlign w:val="superscript"/>
                    </w:rPr>
                    <w:t>3</w:t>
                  </w:r>
                  <w:r>
                    <w:rPr>
                      <w:rFonts w:hint="eastAsia"/>
                    </w:rPr>
                    <w:t>/h,H=15.0m,N=1.5kW</w:t>
                  </w:r>
                </w:p>
              </w:tc>
              <w:tc>
                <w:tcPr>
                  <w:tcW w:w="450" w:type="dxa"/>
                  <w:shd w:val="clear" w:color="auto" w:fill="auto"/>
                </w:tcPr>
                <w:p>
                  <w:pPr>
                    <w:pStyle w:val="63"/>
                  </w:pPr>
                  <w:r>
                    <w:rPr>
                      <w:rFonts w:hint="eastAsia"/>
                    </w:rPr>
                    <w:t>台</w:t>
                  </w:r>
                </w:p>
              </w:tc>
              <w:tc>
                <w:tcPr>
                  <w:tcW w:w="636" w:type="dxa"/>
                  <w:shd w:val="clear" w:color="auto" w:fill="auto"/>
                </w:tcPr>
                <w:p>
                  <w:pPr>
                    <w:pStyle w:val="63"/>
                  </w:pPr>
                  <w:r>
                    <w:rPr>
                      <w:rFonts w:hint="eastAsia"/>
                    </w:rPr>
                    <w:t>2</w:t>
                  </w:r>
                </w:p>
              </w:tc>
              <w:tc>
                <w:tcPr>
                  <w:tcW w:w="1087" w:type="dxa"/>
                  <w:shd w:val="clear" w:color="auto" w:fill="auto"/>
                </w:tcPr>
                <w:p>
                  <w:pPr>
                    <w:pStyle w:val="63"/>
                  </w:pPr>
                  <w:r>
                    <w:rPr>
                      <w:rFonts w:hint="eastAsia"/>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3</w:t>
                  </w:r>
                </w:p>
              </w:tc>
              <w:tc>
                <w:tcPr>
                  <w:tcW w:w="1686" w:type="dxa"/>
                  <w:shd w:val="clear" w:color="auto" w:fill="auto"/>
                </w:tcPr>
                <w:p>
                  <w:pPr>
                    <w:pStyle w:val="63"/>
                  </w:pPr>
                  <w:r>
                    <w:rPr>
                      <w:rFonts w:hint="eastAsia"/>
                    </w:rPr>
                    <w:t>电动葫芦</w:t>
                  </w:r>
                </w:p>
              </w:tc>
              <w:tc>
                <w:tcPr>
                  <w:tcW w:w="3605" w:type="dxa"/>
                  <w:shd w:val="clear" w:color="auto" w:fill="auto"/>
                </w:tcPr>
                <w:p>
                  <w:pPr>
                    <w:pStyle w:val="63"/>
                  </w:pPr>
                  <w:r>
                    <w:rPr>
                      <w:rFonts w:hint="eastAsia"/>
                    </w:rPr>
                    <w:t>T=1.0t,H=8m,N=(0.8+0.2)kW</w:t>
                  </w:r>
                </w:p>
              </w:tc>
              <w:tc>
                <w:tcPr>
                  <w:tcW w:w="450" w:type="dxa"/>
                  <w:shd w:val="clear" w:color="auto" w:fill="auto"/>
                </w:tcPr>
                <w:p>
                  <w:pPr>
                    <w:pStyle w:val="63"/>
                  </w:pPr>
                  <w:r>
                    <w:rPr>
                      <w:rFonts w:hint="eastAsia"/>
                    </w:rPr>
                    <w:t>台</w:t>
                  </w:r>
                </w:p>
              </w:tc>
              <w:tc>
                <w:tcPr>
                  <w:tcW w:w="636" w:type="dxa"/>
                  <w:shd w:val="clear" w:color="auto" w:fill="auto"/>
                </w:tcPr>
                <w:p>
                  <w:pPr>
                    <w:pStyle w:val="63"/>
                  </w:pPr>
                  <w:r>
                    <w:rPr>
                      <w:rFonts w:hint="eastAsia"/>
                    </w:rPr>
                    <w:t>1</w:t>
                  </w:r>
                </w:p>
              </w:tc>
              <w:tc>
                <w:tcPr>
                  <w:tcW w:w="1087" w:type="dxa"/>
                  <w:shd w:val="clear" w:color="auto" w:fill="auto"/>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71" w:type="dxa"/>
                  <w:shd w:val="clear" w:color="auto" w:fill="auto"/>
                  <w:vAlign w:val="center"/>
                </w:tcPr>
                <w:p>
                  <w:pPr>
                    <w:pStyle w:val="63"/>
                  </w:pPr>
                  <w:r>
                    <w:rPr>
                      <w:rFonts w:hint="eastAsia"/>
                    </w:rPr>
                    <w:t>4</w:t>
                  </w:r>
                </w:p>
              </w:tc>
              <w:tc>
                <w:tcPr>
                  <w:tcW w:w="1686" w:type="dxa"/>
                  <w:shd w:val="clear" w:color="auto" w:fill="auto"/>
                  <w:vAlign w:val="center"/>
                </w:tcPr>
                <w:p>
                  <w:pPr>
                    <w:pStyle w:val="63"/>
                  </w:pPr>
                  <w:r>
                    <w:rPr>
                      <w:rFonts w:hint="eastAsia"/>
                    </w:rPr>
                    <w:t>隔膜压滤机</w:t>
                  </w:r>
                </w:p>
              </w:tc>
              <w:tc>
                <w:tcPr>
                  <w:tcW w:w="3605" w:type="dxa"/>
                  <w:shd w:val="clear" w:color="auto" w:fill="auto"/>
                  <w:vAlign w:val="center"/>
                </w:tcPr>
                <w:p>
                  <w:pPr>
                    <w:pStyle w:val="63"/>
                  </w:pPr>
                  <w:r>
                    <w:rPr>
                      <w:rFonts w:hint="eastAsia"/>
                    </w:rPr>
                    <w:t>过滤面积90m</w:t>
                  </w:r>
                  <w:r>
                    <w:rPr>
                      <w:rFonts w:hint="eastAsia"/>
                      <w:vertAlign w:val="superscript"/>
                    </w:rPr>
                    <w:t>2</w:t>
                  </w:r>
                  <w:r>
                    <w:rPr>
                      <w:rFonts w:hint="eastAsia"/>
                    </w:rPr>
                    <w:t>，过滤压力1.2MPa，隔膜压榨压力1.6MPa</w:t>
                  </w:r>
                </w:p>
              </w:tc>
              <w:tc>
                <w:tcPr>
                  <w:tcW w:w="450" w:type="dxa"/>
                  <w:shd w:val="clear" w:color="auto" w:fill="auto"/>
                </w:tcPr>
                <w:p>
                  <w:pPr>
                    <w:pStyle w:val="63"/>
                  </w:pPr>
                  <w:r>
                    <w:rPr>
                      <w:rFonts w:hint="eastAsia"/>
                    </w:rPr>
                    <w:t>台</w:t>
                  </w:r>
                </w:p>
              </w:tc>
              <w:tc>
                <w:tcPr>
                  <w:tcW w:w="636" w:type="dxa"/>
                  <w:shd w:val="clear" w:color="auto" w:fill="auto"/>
                </w:tcPr>
                <w:p>
                  <w:pPr>
                    <w:pStyle w:val="63"/>
                  </w:pPr>
                  <w:r>
                    <w:rPr>
                      <w:rFonts w:hint="eastAsia"/>
                    </w:rPr>
                    <w:t>1</w:t>
                  </w:r>
                </w:p>
              </w:tc>
              <w:tc>
                <w:tcPr>
                  <w:tcW w:w="1087" w:type="dxa"/>
                  <w:shd w:val="clear" w:color="auto" w:fill="auto"/>
                  <w:vAlign w:val="center"/>
                </w:tcPr>
                <w:p>
                  <w:pPr>
                    <w:pStyle w:val="63"/>
                  </w:pPr>
                </w:p>
              </w:tc>
            </w:tr>
          </w:tbl>
          <w:p/>
          <w:p>
            <w:pPr>
              <w:pStyle w:val="5"/>
              <w:ind w:firstLine="480"/>
            </w:pPr>
            <w:r>
              <w:rPr>
                <w:rFonts w:hint="eastAsia"/>
              </w:rPr>
              <w:t>辅助和公用工程设备一览表见</w:t>
            </w:r>
            <w:r>
              <w:fldChar w:fldCharType="begin"/>
            </w:r>
            <w:r>
              <w:instrText xml:space="preserve"> </w:instrText>
            </w:r>
            <w:r>
              <w:rPr>
                <w:rFonts w:hint="eastAsia"/>
              </w:rPr>
              <w:instrText xml:space="preserve">REF _Ref169616521 \h</w:instrText>
            </w:r>
            <w:r>
              <w:instrText xml:space="preserve"> </w:instrText>
            </w:r>
            <w:r>
              <w:fldChar w:fldCharType="separate"/>
            </w:r>
            <w:r>
              <w:rPr>
                <w:rFonts w:hint="eastAsia"/>
              </w:rPr>
              <w:t xml:space="preserve">表 </w:t>
            </w:r>
            <w:r>
              <w:t>2.5</w:t>
            </w:r>
            <w:r>
              <w:noBreakHyphen/>
            </w:r>
            <w:r>
              <w:t>3</w:t>
            </w:r>
            <w:r>
              <w:fldChar w:fldCharType="end"/>
            </w:r>
            <w:r>
              <w:rPr>
                <w:rFonts w:hint="eastAsia"/>
              </w:rPr>
              <w:t>。化验室生化培养箱使用制冷剂为R134a，R134a化学名称为1，1，1，2-四氯乙烷，根据《中国受控消耗臭氧层物质清单2021》（公告 2021年 第44号）属于第九代氢氟碳化物，根据文件要求主要用途为制冷剂、发泡剂、灭火剂、气雾剂等，2024年生产和使用应冻结在基准水平，项目使用R134a为设备自带，用途为制冷剂，不属于禁止生产和使用，现阶段不属于淘汰，属于满足中国受控消耗臭氧层物质清单2021》要求。</w:t>
            </w:r>
          </w:p>
          <w:p>
            <w:pPr>
              <w:pStyle w:val="14"/>
              <w:keepNext/>
            </w:pPr>
            <w:bookmarkStart w:id="18" w:name="_Ref169616521"/>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bookmarkEnd w:id="18"/>
            <w:r>
              <w:rPr>
                <w:rFonts w:hint="eastAsia"/>
              </w:rPr>
              <w:t xml:space="preserve">   辅助和公用工程设备一览表</w:t>
            </w:r>
          </w:p>
          <w:tbl>
            <w:tblPr>
              <w:tblStyle w:val="38"/>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500"/>
              <w:gridCol w:w="3890"/>
              <w:gridCol w:w="746"/>
              <w:gridCol w:w="496"/>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序号</w:t>
                  </w:r>
                </w:p>
              </w:tc>
              <w:tc>
                <w:tcPr>
                  <w:tcW w:w="1500" w:type="dxa"/>
                  <w:shd w:val="clear" w:color="auto" w:fill="auto"/>
                  <w:vAlign w:val="center"/>
                </w:tcPr>
                <w:p>
                  <w:pPr>
                    <w:pStyle w:val="63"/>
                  </w:pPr>
                  <w:r>
                    <w:rPr>
                      <w:rFonts w:hint="eastAsia"/>
                    </w:rPr>
                    <w:t>名称</w:t>
                  </w:r>
                </w:p>
              </w:tc>
              <w:tc>
                <w:tcPr>
                  <w:tcW w:w="3890" w:type="dxa"/>
                  <w:shd w:val="clear" w:color="auto" w:fill="auto"/>
                  <w:vAlign w:val="center"/>
                </w:tcPr>
                <w:p>
                  <w:pPr>
                    <w:pStyle w:val="63"/>
                  </w:pPr>
                  <w:r>
                    <w:rPr>
                      <w:rFonts w:hint="eastAsia"/>
                    </w:rPr>
                    <w:t>型</w:t>
                  </w:r>
                  <w:r>
                    <w:t xml:space="preserve">  </w:t>
                  </w:r>
                  <w:r>
                    <w:rPr>
                      <w:rFonts w:hint="eastAsia"/>
                    </w:rPr>
                    <w:t>号</w:t>
                  </w:r>
                  <w:r>
                    <w:t xml:space="preserve">  </w:t>
                  </w:r>
                  <w:r>
                    <w:rPr>
                      <w:rFonts w:hint="eastAsia"/>
                    </w:rPr>
                    <w:t>及</w:t>
                  </w:r>
                  <w:r>
                    <w:t xml:space="preserve">  </w:t>
                  </w:r>
                  <w:r>
                    <w:rPr>
                      <w:rFonts w:hint="eastAsia"/>
                    </w:rPr>
                    <w:t>规</w:t>
                  </w:r>
                  <w:r>
                    <w:t xml:space="preserve">  </w:t>
                  </w:r>
                  <w:r>
                    <w:rPr>
                      <w:rFonts w:hint="eastAsia"/>
                    </w:rPr>
                    <w:t>格</w:t>
                  </w:r>
                </w:p>
              </w:tc>
              <w:tc>
                <w:tcPr>
                  <w:tcW w:w="746" w:type="dxa"/>
                  <w:shd w:val="clear" w:color="auto" w:fill="auto"/>
                  <w:vAlign w:val="center"/>
                </w:tcPr>
                <w:p>
                  <w:pPr>
                    <w:pStyle w:val="63"/>
                  </w:pPr>
                  <w:r>
                    <w:rPr>
                      <w:rFonts w:hint="eastAsia"/>
                    </w:rPr>
                    <w:t>单位</w:t>
                  </w:r>
                </w:p>
              </w:tc>
              <w:tc>
                <w:tcPr>
                  <w:tcW w:w="496" w:type="dxa"/>
                  <w:shd w:val="clear" w:color="auto" w:fill="auto"/>
                  <w:vAlign w:val="center"/>
                </w:tcPr>
                <w:p>
                  <w:pPr>
                    <w:pStyle w:val="63"/>
                  </w:pPr>
                  <w:r>
                    <w:rPr>
                      <w:rFonts w:hint="eastAsia"/>
                    </w:rPr>
                    <w:t>数量</w:t>
                  </w:r>
                </w:p>
              </w:tc>
              <w:tc>
                <w:tcPr>
                  <w:tcW w:w="811" w:type="dxa"/>
                  <w:shd w:val="clear" w:color="auto" w:fill="auto"/>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noWrap/>
                  <w:vAlign w:val="center"/>
                </w:tcPr>
                <w:p>
                  <w:pPr>
                    <w:pStyle w:val="63"/>
                    <w:rPr>
                      <w:b/>
                      <w:bCs/>
                    </w:rPr>
                  </w:pPr>
                  <w:r>
                    <w:rPr>
                      <w:rFonts w:hint="eastAsia"/>
                      <w:b/>
                      <w:bCs/>
                    </w:rPr>
                    <w:t>一</w:t>
                  </w:r>
                </w:p>
              </w:tc>
              <w:tc>
                <w:tcPr>
                  <w:tcW w:w="7443" w:type="dxa"/>
                  <w:gridSpan w:val="5"/>
                  <w:shd w:val="clear" w:color="auto" w:fill="auto"/>
                  <w:noWrap/>
                  <w:vAlign w:val="center"/>
                </w:tcPr>
                <w:p>
                  <w:pPr>
                    <w:pStyle w:val="63"/>
                    <w:rPr>
                      <w:b/>
                      <w:bCs/>
                    </w:rPr>
                  </w:pPr>
                  <w:r>
                    <w:rPr>
                      <w:rFonts w:hint="eastAsia"/>
                      <w:b/>
                      <w:bCs/>
                    </w:rPr>
                    <w:t>化验室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w:t>
                  </w:r>
                </w:p>
              </w:tc>
              <w:tc>
                <w:tcPr>
                  <w:tcW w:w="1500" w:type="dxa"/>
                  <w:shd w:val="clear" w:color="auto" w:fill="auto"/>
                  <w:vAlign w:val="center"/>
                </w:tcPr>
                <w:p>
                  <w:pPr>
                    <w:pStyle w:val="63"/>
                  </w:pPr>
                  <w:r>
                    <w:rPr>
                      <w:rFonts w:hint="eastAsia"/>
                    </w:rPr>
                    <w:t>普通试剂柜</w:t>
                  </w:r>
                </w:p>
              </w:tc>
              <w:tc>
                <w:tcPr>
                  <w:tcW w:w="3890" w:type="dxa"/>
                  <w:shd w:val="clear" w:color="auto" w:fill="auto"/>
                  <w:vAlign w:val="center"/>
                </w:tcPr>
                <w:p>
                  <w:pPr>
                    <w:pStyle w:val="63"/>
                  </w:pPr>
                  <w:r>
                    <w:rPr>
                      <w:rFonts w:hint="eastAsia"/>
                    </w:rPr>
                    <w:t>900*450*1800PP材质，双锁</w:t>
                  </w:r>
                </w:p>
              </w:tc>
              <w:tc>
                <w:tcPr>
                  <w:tcW w:w="746" w:type="dxa"/>
                  <w:shd w:val="clear" w:color="auto" w:fill="auto"/>
                  <w:vAlign w:val="center"/>
                </w:tcPr>
                <w:p>
                  <w:pPr>
                    <w:pStyle w:val="63"/>
                  </w:pPr>
                  <w:r>
                    <w:rPr>
                      <w:rFonts w:hint="eastAsia"/>
                    </w:rPr>
                    <w:t>个</w:t>
                  </w:r>
                </w:p>
              </w:tc>
              <w:tc>
                <w:tcPr>
                  <w:tcW w:w="496" w:type="dxa"/>
                  <w:shd w:val="clear" w:color="auto" w:fill="auto"/>
                  <w:vAlign w:val="center"/>
                </w:tcPr>
                <w:p>
                  <w:pPr>
                    <w:pStyle w:val="63"/>
                  </w:pPr>
                  <w:r>
                    <w:rPr>
                      <w:rFonts w:hint="eastAsia"/>
                    </w:rPr>
                    <w:t>2</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2</w:t>
                  </w:r>
                </w:p>
              </w:tc>
              <w:tc>
                <w:tcPr>
                  <w:tcW w:w="1500" w:type="dxa"/>
                  <w:shd w:val="clear" w:color="auto" w:fill="auto"/>
                  <w:vAlign w:val="center"/>
                </w:tcPr>
                <w:p>
                  <w:pPr>
                    <w:pStyle w:val="63"/>
                  </w:pPr>
                  <w:r>
                    <w:rPr>
                      <w:rFonts w:hint="eastAsia"/>
                    </w:rPr>
                    <w:t>立式高压蒸汽灭菌器</w:t>
                  </w:r>
                </w:p>
              </w:tc>
              <w:tc>
                <w:tcPr>
                  <w:tcW w:w="3890" w:type="dxa"/>
                  <w:shd w:val="clear" w:color="auto" w:fill="auto"/>
                  <w:vAlign w:val="center"/>
                </w:tcPr>
                <w:p>
                  <w:pPr>
                    <w:pStyle w:val="63"/>
                  </w:pPr>
                  <w:r>
                    <w:rPr>
                      <w:rFonts w:hint="eastAsia"/>
                    </w:rPr>
                    <w:t>容积：50L ，尺寸（mm）：Φ370×500，材质/锅体壁厚（mm）：全不锈钢/2.0</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3</w:t>
                  </w:r>
                </w:p>
              </w:tc>
              <w:tc>
                <w:tcPr>
                  <w:tcW w:w="1500" w:type="dxa"/>
                  <w:shd w:val="clear" w:color="auto" w:fill="auto"/>
                  <w:vAlign w:val="center"/>
                </w:tcPr>
                <w:p>
                  <w:pPr>
                    <w:pStyle w:val="63"/>
                  </w:pPr>
                  <w:r>
                    <w:rPr>
                      <w:rFonts w:hint="eastAsia"/>
                    </w:rPr>
                    <w:t>电热鼓风干燥箱</w:t>
                  </w:r>
                </w:p>
              </w:tc>
              <w:tc>
                <w:tcPr>
                  <w:tcW w:w="3890" w:type="dxa"/>
                  <w:shd w:val="clear" w:color="auto" w:fill="auto"/>
                  <w:vAlign w:val="center"/>
                </w:tcPr>
                <w:p>
                  <w:pPr>
                    <w:pStyle w:val="63"/>
                  </w:pPr>
                  <w:r>
                    <w:rPr>
                      <w:rFonts w:hint="eastAsia"/>
                    </w:rPr>
                    <w:t>使用容积80L</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4</w:t>
                  </w:r>
                </w:p>
              </w:tc>
              <w:tc>
                <w:tcPr>
                  <w:tcW w:w="1500" w:type="dxa"/>
                  <w:shd w:val="clear" w:color="auto" w:fill="auto"/>
                  <w:vAlign w:val="center"/>
                </w:tcPr>
                <w:p>
                  <w:pPr>
                    <w:pStyle w:val="63"/>
                  </w:pPr>
                  <w:r>
                    <w:rPr>
                      <w:rFonts w:hint="eastAsia"/>
                    </w:rPr>
                    <w:t>超纯水机</w:t>
                  </w:r>
                </w:p>
              </w:tc>
              <w:tc>
                <w:tcPr>
                  <w:tcW w:w="3890" w:type="dxa"/>
                  <w:shd w:val="clear" w:color="auto" w:fill="auto"/>
                  <w:vAlign w:val="center"/>
                </w:tcPr>
                <w:p>
                  <w:pPr>
                    <w:pStyle w:val="63"/>
                  </w:pPr>
                  <w:r>
                    <w:rPr>
                      <w:rFonts w:hint="eastAsia"/>
                    </w:rPr>
                    <w:t>产量15L/h，出水口2个：RO反渗透水；DI去离子水</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用于化验室化验用水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5</w:t>
                  </w:r>
                </w:p>
              </w:tc>
              <w:tc>
                <w:tcPr>
                  <w:tcW w:w="1500" w:type="dxa"/>
                  <w:shd w:val="clear" w:color="auto" w:fill="auto"/>
                  <w:vAlign w:val="center"/>
                </w:tcPr>
                <w:p>
                  <w:pPr>
                    <w:pStyle w:val="63"/>
                  </w:pPr>
                  <w:r>
                    <w:rPr>
                      <w:rFonts w:hint="eastAsia"/>
                    </w:rPr>
                    <w:t>磁力搅拌器</w:t>
                  </w:r>
                </w:p>
              </w:tc>
              <w:tc>
                <w:tcPr>
                  <w:tcW w:w="3890" w:type="dxa"/>
                  <w:shd w:val="clear" w:color="auto" w:fill="auto"/>
                  <w:vAlign w:val="center"/>
                </w:tcPr>
                <w:p>
                  <w:pPr>
                    <w:pStyle w:val="63"/>
                  </w:pPr>
                  <w:r>
                    <w:rPr>
                      <w:rFonts w:hint="eastAsia"/>
                    </w:rPr>
                    <w:t>最大搅拌容积：1000ml、转速：0-2400r/pm</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6</w:t>
                  </w:r>
                </w:p>
              </w:tc>
              <w:tc>
                <w:tcPr>
                  <w:tcW w:w="1500" w:type="dxa"/>
                  <w:shd w:val="clear" w:color="auto" w:fill="auto"/>
                  <w:vAlign w:val="center"/>
                </w:tcPr>
                <w:p>
                  <w:pPr>
                    <w:pStyle w:val="63"/>
                  </w:pPr>
                  <w:r>
                    <w:rPr>
                      <w:rFonts w:hint="eastAsia"/>
                    </w:rPr>
                    <w:t>双目电子</w:t>
                  </w:r>
                </w:p>
                <w:p>
                  <w:pPr>
                    <w:pStyle w:val="63"/>
                  </w:pPr>
                  <w:r>
                    <w:rPr>
                      <w:rFonts w:hint="eastAsia"/>
                    </w:rPr>
                    <w:t>显微镜</w:t>
                  </w:r>
                </w:p>
              </w:tc>
              <w:tc>
                <w:tcPr>
                  <w:tcW w:w="3890" w:type="dxa"/>
                  <w:shd w:val="clear" w:color="auto" w:fill="auto"/>
                  <w:vAlign w:val="center"/>
                </w:tcPr>
                <w:p>
                  <w:pPr>
                    <w:pStyle w:val="63"/>
                  </w:pPr>
                  <w:r>
                    <w:rPr>
                      <w:rFonts w:hint="eastAsia"/>
                    </w:rPr>
                    <w:t>-</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7</w:t>
                  </w:r>
                </w:p>
              </w:tc>
              <w:tc>
                <w:tcPr>
                  <w:tcW w:w="1500" w:type="dxa"/>
                  <w:shd w:val="clear" w:color="auto" w:fill="auto"/>
                  <w:vAlign w:val="center"/>
                </w:tcPr>
                <w:p>
                  <w:pPr>
                    <w:pStyle w:val="63"/>
                  </w:pPr>
                  <w:r>
                    <w:rPr>
                      <w:rFonts w:hint="eastAsia"/>
                    </w:rPr>
                    <w:t>普通分析天平</w:t>
                  </w:r>
                </w:p>
              </w:tc>
              <w:tc>
                <w:tcPr>
                  <w:tcW w:w="3890" w:type="dxa"/>
                  <w:shd w:val="clear" w:color="auto" w:fill="auto"/>
                  <w:vAlign w:val="center"/>
                </w:tcPr>
                <w:p>
                  <w:pPr>
                    <w:pStyle w:val="63"/>
                  </w:pPr>
                  <w:r>
                    <w:rPr>
                      <w:rFonts w:hint="eastAsia"/>
                    </w:rPr>
                    <w:t>-</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8</w:t>
                  </w:r>
                </w:p>
              </w:tc>
              <w:tc>
                <w:tcPr>
                  <w:tcW w:w="1500" w:type="dxa"/>
                  <w:shd w:val="clear" w:color="auto" w:fill="auto"/>
                  <w:vAlign w:val="center"/>
                </w:tcPr>
                <w:p>
                  <w:pPr>
                    <w:pStyle w:val="63"/>
                  </w:pPr>
                  <w:r>
                    <w:rPr>
                      <w:rFonts w:hint="eastAsia"/>
                    </w:rPr>
                    <w:t>精密电子天平</w:t>
                  </w:r>
                </w:p>
              </w:tc>
              <w:tc>
                <w:tcPr>
                  <w:tcW w:w="3890" w:type="dxa"/>
                  <w:shd w:val="clear" w:color="auto" w:fill="auto"/>
                  <w:vAlign w:val="center"/>
                </w:tcPr>
                <w:p>
                  <w:pPr>
                    <w:pStyle w:val="63"/>
                  </w:pPr>
                  <w:r>
                    <w:rPr>
                      <w:rFonts w:hint="eastAsia"/>
                    </w:rPr>
                    <w:t>-</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9</w:t>
                  </w:r>
                </w:p>
              </w:tc>
              <w:tc>
                <w:tcPr>
                  <w:tcW w:w="1500" w:type="dxa"/>
                  <w:shd w:val="clear" w:color="auto" w:fill="auto"/>
                  <w:vAlign w:val="center"/>
                </w:tcPr>
                <w:p>
                  <w:pPr>
                    <w:pStyle w:val="63"/>
                  </w:pPr>
                  <w:r>
                    <w:rPr>
                      <w:rFonts w:hint="eastAsia"/>
                    </w:rPr>
                    <w:t>恒温水浴锅</w:t>
                  </w:r>
                </w:p>
              </w:tc>
              <w:tc>
                <w:tcPr>
                  <w:tcW w:w="3890" w:type="dxa"/>
                  <w:shd w:val="clear" w:color="auto" w:fill="auto"/>
                  <w:vAlign w:val="center"/>
                </w:tcPr>
                <w:p>
                  <w:pPr>
                    <w:pStyle w:val="63"/>
                  </w:pPr>
                  <w:r>
                    <w:rPr>
                      <w:rFonts w:hint="eastAsia"/>
                    </w:rPr>
                    <w:t>容积：3.3L</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10</w:t>
                  </w:r>
                </w:p>
              </w:tc>
              <w:tc>
                <w:tcPr>
                  <w:tcW w:w="1500" w:type="dxa"/>
                  <w:shd w:val="clear" w:color="auto" w:fill="auto"/>
                  <w:vAlign w:val="center"/>
                </w:tcPr>
                <w:p>
                  <w:pPr>
                    <w:pStyle w:val="63"/>
                  </w:pPr>
                  <w:r>
                    <w:rPr>
                      <w:rFonts w:hint="eastAsia"/>
                    </w:rPr>
                    <w:t>桶式深水采样器</w:t>
                  </w:r>
                </w:p>
              </w:tc>
              <w:tc>
                <w:tcPr>
                  <w:tcW w:w="3890" w:type="dxa"/>
                  <w:shd w:val="clear" w:color="auto" w:fill="auto"/>
                  <w:vAlign w:val="center"/>
                </w:tcPr>
                <w:p>
                  <w:pPr>
                    <w:pStyle w:val="63"/>
                  </w:pPr>
                  <w:r>
                    <w:rPr>
                      <w:rFonts w:hint="eastAsia"/>
                    </w:rPr>
                    <w:t>容积1L；有机玻璃材质，内置温度计</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3</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11</w:t>
                  </w:r>
                </w:p>
              </w:tc>
              <w:tc>
                <w:tcPr>
                  <w:tcW w:w="1500" w:type="dxa"/>
                  <w:shd w:val="clear" w:color="auto" w:fill="auto"/>
                  <w:vAlign w:val="center"/>
                </w:tcPr>
                <w:p>
                  <w:pPr>
                    <w:pStyle w:val="63"/>
                  </w:pPr>
                  <w:r>
                    <w:rPr>
                      <w:rFonts w:hint="eastAsia"/>
                    </w:rPr>
                    <w:t>超净工作台</w:t>
                  </w:r>
                </w:p>
              </w:tc>
              <w:tc>
                <w:tcPr>
                  <w:tcW w:w="3890" w:type="dxa"/>
                  <w:shd w:val="clear" w:color="auto" w:fill="auto"/>
                  <w:vAlign w:val="center"/>
                </w:tcPr>
                <w:p>
                  <w:pPr>
                    <w:pStyle w:val="63"/>
                  </w:pPr>
                  <w:r>
                    <w:rPr>
                      <w:rFonts w:hint="eastAsia"/>
                    </w:rPr>
                    <w:t>洁净等级:100，主过滤器效率:99.99%@0.3µm，外形尺寸(宽*深*高)（mm）970*630*1730，内部尺寸(宽*深*高)（mm）900*550*520</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12</w:t>
                  </w:r>
                </w:p>
              </w:tc>
              <w:tc>
                <w:tcPr>
                  <w:tcW w:w="1500" w:type="dxa"/>
                  <w:shd w:val="clear" w:color="auto" w:fill="auto"/>
                  <w:vAlign w:val="center"/>
                </w:tcPr>
                <w:p>
                  <w:pPr>
                    <w:pStyle w:val="63"/>
                  </w:pPr>
                  <w:r>
                    <w:rPr>
                      <w:rFonts w:hint="eastAsia"/>
                    </w:rPr>
                    <w:t>生化培养箱（BOD）</w:t>
                  </w:r>
                </w:p>
              </w:tc>
              <w:tc>
                <w:tcPr>
                  <w:tcW w:w="3890" w:type="dxa"/>
                  <w:shd w:val="clear" w:color="auto" w:fill="auto"/>
                  <w:vAlign w:val="center"/>
                </w:tcPr>
                <w:p>
                  <w:pPr>
                    <w:pStyle w:val="63"/>
                  </w:pPr>
                  <w:r>
                    <w:rPr>
                      <w:rFonts w:hint="eastAsia"/>
                    </w:rPr>
                    <w:t>容积(L)：150，温度控制范围(℃)：5～65℃，制冷剂：R134a</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13</w:t>
                  </w:r>
                </w:p>
              </w:tc>
              <w:tc>
                <w:tcPr>
                  <w:tcW w:w="1500" w:type="dxa"/>
                  <w:shd w:val="clear" w:color="auto" w:fill="auto"/>
                  <w:vAlign w:val="center"/>
                </w:tcPr>
                <w:p>
                  <w:pPr>
                    <w:pStyle w:val="63"/>
                  </w:pPr>
                  <w:r>
                    <w:rPr>
                      <w:rFonts w:hint="eastAsia"/>
                    </w:rPr>
                    <w:t>多参数水质测定仪</w:t>
                  </w:r>
                </w:p>
              </w:tc>
              <w:tc>
                <w:tcPr>
                  <w:tcW w:w="3890" w:type="dxa"/>
                  <w:shd w:val="clear" w:color="auto" w:fill="auto"/>
                  <w:vAlign w:val="center"/>
                </w:tcPr>
                <w:p>
                  <w:pPr>
                    <w:pStyle w:val="63"/>
                  </w:pPr>
                  <w:r>
                    <w:rPr>
                      <w:rFonts w:hint="eastAsia"/>
                    </w:rPr>
                    <w:t>光学系统监测，欧姆龙</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14</w:t>
                  </w:r>
                </w:p>
              </w:tc>
              <w:tc>
                <w:tcPr>
                  <w:tcW w:w="1500" w:type="dxa"/>
                  <w:shd w:val="clear" w:color="auto" w:fill="auto"/>
                  <w:vAlign w:val="center"/>
                </w:tcPr>
                <w:p>
                  <w:pPr>
                    <w:pStyle w:val="63"/>
                  </w:pPr>
                  <w:r>
                    <w:rPr>
                      <w:rFonts w:hint="eastAsia"/>
                    </w:rPr>
                    <w:t>BOD测定仪</w:t>
                  </w:r>
                </w:p>
              </w:tc>
              <w:tc>
                <w:tcPr>
                  <w:tcW w:w="3890" w:type="dxa"/>
                  <w:shd w:val="clear" w:color="auto" w:fill="auto"/>
                  <w:vAlign w:val="center"/>
                </w:tcPr>
                <w:p>
                  <w:pPr>
                    <w:pStyle w:val="63"/>
                  </w:pPr>
                  <w:r>
                    <w:rPr>
                      <w:rFonts w:hint="eastAsia"/>
                    </w:rPr>
                    <w:t>葡萄糖—谷氨酸标准液</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rPr>
                      <w:b/>
                      <w:bCs/>
                    </w:rPr>
                  </w:pPr>
                  <w:r>
                    <w:rPr>
                      <w:rFonts w:hint="eastAsia"/>
                      <w:b/>
                      <w:bCs/>
                    </w:rPr>
                    <w:t>二</w:t>
                  </w:r>
                </w:p>
              </w:tc>
              <w:tc>
                <w:tcPr>
                  <w:tcW w:w="7443" w:type="dxa"/>
                  <w:gridSpan w:val="5"/>
                  <w:shd w:val="clear" w:color="auto" w:fill="auto"/>
                  <w:vAlign w:val="center"/>
                </w:tcPr>
                <w:p>
                  <w:pPr>
                    <w:pStyle w:val="63"/>
                    <w:rPr>
                      <w:b/>
                      <w:bCs/>
                    </w:rPr>
                  </w:pPr>
                  <w:r>
                    <w:rPr>
                      <w:rFonts w:hint="eastAsia"/>
                      <w:b/>
                      <w:bCs/>
                    </w:rPr>
                    <w:t>鼓风和变配电房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w:t>
                  </w:r>
                </w:p>
              </w:tc>
              <w:tc>
                <w:tcPr>
                  <w:tcW w:w="1500" w:type="dxa"/>
                  <w:shd w:val="clear" w:color="auto" w:fill="auto"/>
                  <w:vAlign w:val="center"/>
                </w:tcPr>
                <w:p>
                  <w:pPr>
                    <w:pStyle w:val="63"/>
                  </w:pPr>
                  <w:r>
                    <w:rPr>
                      <w:rFonts w:hint="eastAsia"/>
                    </w:rPr>
                    <w:t>空气悬浮离心鼓风机</w:t>
                  </w:r>
                </w:p>
              </w:tc>
              <w:tc>
                <w:tcPr>
                  <w:tcW w:w="3890" w:type="dxa"/>
                  <w:shd w:val="clear" w:color="auto" w:fill="auto"/>
                  <w:vAlign w:val="center"/>
                </w:tcPr>
                <w:p>
                  <w:pPr>
                    <w:pStyle w:val="63"/>
                  </w:pPr>
                  <w:r>
                    <w:rPr>
                      <w:rFonts w:hint="eastAsia"/>
                    </w:rPr>
                    <w:t>Q=15m</w:t>
                  </w:r>
                  <w:r>
                    <w:rPr>
                      <w:rFonts w:hint="eastAsia"/>
                      <w:vertAlign w:val="superscript"/>
                    </w:rPr>
                    <w:t>3</w:t>
                  </w:r>
                  <w:r>
                    <w:rPr>
                      <w:rFonts w:hint="eastAsia"/>
                    </w:rPr>
                    <w:t>/min,H=60KPa,N=19kW</w:t>
                  </w:r>
                </w:p>
              </w:tc>
              <w:tc>
                <w:tcPr>
                  <w:tcW w:w="746" w:type="dxa"/>
                  <w:shd w:val="clear" w:color="auto" w:fill="auto"/>
                  <w:vAlign w:val="center"/>
                </w:tcPr>
                <w:p>
                  <w:pPr>
                    <w:pStyle w:val="63"/>
                  </w:pPr>
                  <w:r>
                    <w:rPr>
                      <w:rFonts w:hint="eastAsia"/>
                    </w:rPr>
                    <w:t>套</w:t>
                  </w:r>
                </w:p>
              </w:tc>
              <w:tc>
                <w:tcPr>
                  <w:tcW w:w="496" w:type="dxa"/>
                  <w:shd w:val="clear" w:color="auto" w:fill="auto"/>
                  <w:vAlign w:val="center"/>
                </w:tcPr>
                <w:p>
                  <w:pPr>
                    <w:pStyle w:val="63"/>
                  </w:pPr>
                  <w:r>
                    <w:rPr>
                      <w:rFonts w:hint="eastAsia"/>
                    </w:rPr>
                    <w:t>3</w:t>
                  </w:r>
                </w:p>
              </w:tc>
              <w:tc>
                <w:tcPr>
                  <w:tcW w:w="811" w:type="dxa"/>
                  <w:shd w:val="clear" w:color="auto" w:fill="auto"/>
                  <w:vAlign w:val="center"/>
                </w:tcPr>
                <w:p>
                  <w:pPr>
                    <w:pStyle w:val="63"/>
                  </w:pPr>
                  <w:r>
                    <w:rPr>
                      <w:rFonts w:hint="eastAsia"/>
                    </w:rPr>
                    <w:t>两用一备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2</w:t>
                  </w:r>
                </w:p>
              </w:tc>
              <w:tc>
                <w:tcPr>
                  <w:tcW w:w="1500" w:type="dxa"/>
                  <w:shd w:val="clear" w:color="auto" w:fill="auto"/>
                  <w:vAlign w:val="center"/>
                </w:tcPr>
                <w:p>
                  <w:pPr>
                    <w:pStyle w:val="63"/>
                  </w:pPr>
                  <w:r>
                    <w:rPr>
                      <w:rFonts w:hint="eastAsia"/>
                    </w:rPr>
                    <w:t>轴流风机</w:t>
                  </w:r>
                </w:p>
              </w:tc>
              <w:tc>
                <w:tcPr>
                  <w:tcW w:w="3890" w:type="dxa"/>
                  <w:shd w:val="clear" w:color="auto" w:fill="auto"/>
                  <w:vAlign w:val="center"/>
                </w:tcPr>
                <w:p>
                  <w:pPr>
                    <w:pStyle w:val="63"/>
                  </w:pPr>
                  <w:r>
                    <w:rPr>
                      <w:rFonts w:hint="eastAsia"/>
                    </w:rPr>
                    <w:t>流量Q=2495m</w:t>
                  </w:r>
                  <w:r>
                    <w:rPr>
                      <w:rFonts w:hint="eastAsia"/>
                      <w:vertAlign w:val="superscript"/>
                    </w:rPr>
                    <w:t>3</w:t>
                  </w:r>
                  <w:r>
                    <w:rPr>
                      <w:rFonts w:hint="eastAsia"/>
                    </w:rPr>
                    <w:t>/h,H=165Pa,α=30%%D,功率N=0.25kW</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10</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3</w:t>
                  </w:r>
                </w:p>
              </w:tc>
              <w:tc>
                <w:tcPr>
                  <w:tcW w:w="1500" w:type="dxa"/>
                  <w:shd w:val="clear" w:color="auto" w:fill="auto"/>
                  <w:vAlign w:val="center"/>
                </w:tcPr>
                <w:p>
                  <w:pPr>
                    <w:pStyle w:val="63"/>
                  </w:pPr>
                  <w:r>
                    <w:rPr>
                      <w:rFonts w:hint="eastAsia"/>
                    </w:rPr>
                    <w:t>电动葫芦</w:t>
                  </w:r>
                </w:p>
              </w:tc>
              <w:tc>
                <w:tcPr>
                  <w:tcW w:w="3890" w:type="dxa"/>
                  <w:shd w:val="clear" w:color="auto" w:fill="auto"/>
                  <w:vAlign w:val="center"/>
                </w:tcPr>
                <w:p>
                  <w:pPr>
                    <w:pStyle w:val="63"/>
                  </w:pPr>
                  <w:r>
                    <w:rPr>
                      <w:rFonts w:hint="eastAsia"/>
                    </w:rPr>
                    <w:t>起重量1t,提升高度1.8m，Ⅰ型工字钢,配控制箱及控制手柄</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3</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rPr>
                      <w:b/>
                      <w:bCs/>
                    </w:rPr>
                  </w:pPr>
                  <w:r>
                    <w:rPr>
                      <w:rFonts w:hint="eastAsia"/>
                      <w:b/>
                      <w:bCs/>
                    </w:rPr>
                    <w:t>三</w:t>
                  </w:r>
                </w:p>
              </w:tc>
              <w:tc>
                <w:tcPr>
                  <w:tcW w:w="7443" w:type="dxa"/>
                  <w:gridSpan w:val="5"/>
                  <w:shd w:val="clear" w:color="auto" w:fill="auto"/>
                  <w:vAlign w:val="center"/>
                </w:tcPr>
                <w:p>
                  <w:pPr>
                    <w:pStyle w:val="63"/>
                    <w:rPr>
                      <w:b/>
                      <w:bCs/>
                    </w:rPr>
                  </w:pPr>
                  <w:r>
                    <w:rPr>
                      <w:rFonts w:hint="eastAsia"/>
                      <w:b/>
                      <w:bCs/>
                    </w:rPr>
                    <w:t>维修及发电机房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w:t>
                  </w:r>
                </w:p>
              </w:tc>
              <w:tc>
                <w:tcPr>
                  <w:tcW w:w="1500" w:type="dxa"/>
                  <w:shd w:val="clear" w:color="auto" w:fill="auto"/>
                  <w:vAlign w:val="center"/>
                </w:tcPr>
                <w:p>
                  <w:pPr>
                    <w:pStyle w:val="63"/>
                  </w:pPr>
                  <w:r>
                    <w:rPr>
                      <w:rFonts w:hint="eastAsia"/>
                    </w:rPr>
                    <w:t>轴流风机</w:t>
                  </w:r>
                </w:p>
              </w:tc>
              <w:tc>
                <w:tcPr>
                  <w:tcW w:w="3890" w:type="dxa"/>
                  <w:shd w:val="clear" w:color="auto" w:fill="auto"/>
                  <w:vAlign w:val="center"/>
                </w:tcPr>
                <w:p>
                  <w:pPr>
                    <w:pStyle w:val="63"/>
                  </w:pPr>
                  <w:r>
                    <w:rPr>
                      <w:rFonts w:hint="eastAsia"/>
                    </w:rPr>
                    <w:t>流量Q=2495m</w:t>
                  </w:r>
                  <w:r>
                    <w:rPr>
                      <w:rFonts w:hint="eastAsia"/>
                      <w:vertAlign w:val="superscript"/>
                    </w:rPr>
                    <w:t>3</w:t>
                  </w:r>
                  <w:r>
                    <w:rPr>
                      <w:rFonts w:hint="eastAsia"/>
                    </w:rPr>
                    <w:t>/h,H=165Pa,α=30%%D,功率N=0.25kW</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7</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2</w:t>
                  </w:r>
                </w:p>
              </w:tc>
              <w:tc>
                <w:tcPr>
                  <w:tcW w:w="1500" w:type="dxa"/>
                  <w:shd w:val="clear" w:color="auto" w:fill="auto"/>
                  <w:vAlign w:val="center"/>
                </w:tcPr>
                <w:p>
                  <w:pPr>
                    <w:pStyle w:val="63"/>
                  </w:pPr>
                  <w:r>
                    <w:rPr>
                      <w:rFonts w:hint="eastAsia"/>
                    </w:rPr>
                    <w:t>桥架式单梁行车起重设备</w:t>
                  </w:r>
                </w:p>
              </w:tc>
              <w:tc>
                <w:tcPr>
                  <w:tcW w:w="3890" w:type="dxa"/>
                  <w:shd w:val="clear" w:color="auto" w:fill="auto"/>
                  <w:vAlign w:val="center"/>
                </w:tcPr>
                <w:p>
                  <w:pPr>
                    <w:pStyle w:val="63"/>
                  </w:pPr>
                  <w:r>
                    <w:rPr>
                      <w:rFonts w:hint="eastAsia"/>
                    </w:rPr>
                    <w:t>起重量10t,提升高度1.8m,Ⅰ型工字钢,配控制箱及控制手柄</w:t>
                  </w:r>
                </w:p>
              </w:tc>
              <w:tc>
                <w:tcPr>
                  <w:tcW w:w="746" w:type="dxa"/>
                  <w:shd w:val="clear" w:color="auto" w:fill="auto"/>
                  <w:vAlign w:val="center"/>
                </w:tcPr>
                <w:p>
                  <w:pPr>
                    <w:pStyle w:val="63"/>
                  </w:pPr>
                  <w:r>
                    <w:rPr>
                      <w:rFonts w:hint="eastAsia"/>
                    </w:rPr>
                    <w:t>套</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3</w:t>
                  </w:r>
                </w:p>
              </w:tc>
              <w:tc>
                <w:tcPr>
                  <w:tcW w:w="1500" w:type="dxa"/>
                  <w:shd w:val="clear" w:color="auto" w:fill="auto"/>
                  <w:vAlign w:val="center"/>
                </w:tcPr>
                <w:p>
                  <w:pPr>
                    <w:pStyle w:val="63"/>
                  </w:pPr>
                  <w:r>
                    <w:rPr>
                      <w:rFonts w:hint="eastAsia"/>
                    </w:rPr>
                    <w:t>柴油发电机</w:t>
                  </w:r>
                </w:p>
              </w:tc>
              <w:tc>
                <w:tcPr>
                  <w:tcW w:w="3890" w:type="dxa"/>
                  <w:shd w:val="clear" w:color="auto" w:fill="auto"/>
                  <w:vAlign w:val="center"/>
                </w:tcPr>
                <w:p>
                  <w:pPr>
                    <w:pStyle w:val="63"/>
                  </w:pPr>
                  <w:r>
                    <w:t>630kVA</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应急使用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rPr>
                      <w:b/>
                      <w:bCs/>
                    </w:rPr>
                  </w:pPr>
                  <w:r>
                    <w:rPr>
                      <w:rFonts w:hint="eastAsia"/>
                      <w:b/>
                      <w:bCs/>
                    </w:rPr>
                    <w:t>四</w:t>
                  </w:r>
                </w:p>
              </w:tc>
              <w:tc>
                <w:tcPr>
                  <w:tcW w:w="7443" w:type="dxa"/>
                  <w:gridSpan w:val="5"/>
                  <w:shd w:val="clear" w:color="auto" w:fill="auto"/>
                  <w:vAlign w:val="center"/>
                </w:tcPr>
                <w:p>
                  <w:pPr>
                    <w:pStyle w:val="63"/>
                    <w:rPr>
                      <w:b/>
                      <w:bCs/>
                    </w:rPr>
                  </w:pPr>
                  <w:r>
                    <w:rPr>
                      <w:rFonts w:hint="eastAsia"/>
                      <w:b/>
                      <w:bCs/>
                    </w:rPr>
                    <w:t>储药及加药间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w:t>
                  </w:r>
                </w:p>
              </w:tc>
              <w:tc>
                <w:tcPr>
                  <w:tcW w:w="1500" w:type="dxa"/>
                  <w:shd w:val="clear" w:color="auto" w:fill="auto"/>
                  <w:vAlign w:val="center"/>
                </w:tcPr>
                <w:p>
                  <w:pPr>
                    <w:pStyle w:val="63"/>
                  </w:pPr>
                  <w:r>
                    <w:rPr>
                      <w:rFonts w:hint="eastAsia"/>
                    </w:rPr>
                    <w:t>双氧水储罐</w:t>
                  </w:r>
                </w:p>
              </w:tc>
              <w:tc>
                <w:tcPr>
                  <w:tcW w:w="3890" w:type="dxa"/>
                  <w:shd w:val="clear" w:color="auto" w:fill="auto"/>
                  <w:vAlign w:val="center"/>
                </w:tcPr>
                <w:p>
                  <w:pPr>
                    <w:pStyle w:val="63"/>
                  </w:pPr>
                  <w:r>
                    <w:rPr>
                      <w:rFonts w:hint="eastAsia"/>
                    </w:rPr>
                    <w:t>容积9m</w:t>
                  </w:r>
                  <w:r>
                    <w:rPr>
                      <w:rFonts w:hint="eastAsia"/>
                      <w:vertAlign w:val="superscript"/>
                    </w:rPr>
                    <w:t>3</w:t>
                  </w:r>
                  <w:r>
                    <w:rPr>
                      <w:rFonts w:hint="eastAsia"/>
                    </w:rPr>
                    <w:t>, PE，溶液浓度27%</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2</w:t>
                  </w:r>
                </w:p>
              </w:tc>
              <w:tc>
                <w:tcPr>
                  <w:tcW w:w="811" w:type="dxa"/>
                  <w:shd w:val="clear" w:color="auto" w:fill="auto"/>
                  <w:vAlign w:val="center"/>
                </w:tcPr>
                <w:p>
                  <w:pPr>
                    <w:pStyle w:val="63"/>
                  </w:pPr>
                  <w:r>
                    <w:rPr>
                      <w:rFonts w:hint="eastAsia"/>
                    </w:rPr>
                    <w:t>浓度27%，1用1备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2</w:t>
                  </w:r>
                </w:p>
              </w:tc>
              <w:tc>
                <w:tcPr>
                  <w:tcW w:w="1500" w:type="dxa"/>
                  <w:shd w:val="clear" w:color="auto" w:fill="auto"/>
                  <w:vAlign w:val="center"/>
                </w:tcPr>
                <w:p>
                  <w:pPr>
                    <w:pStyle w:val="63"/>
                  </w:pPr>
                  <w:r>
                    <w:rPr>
                      <w:rFonts w:hint="eastAsia"/>
                    </w:rPr>
                    <w:t>药剂储罐</w:t>
                  </w:r>
                </w:p>
              </w:tc>
              <w:tc>
                <w:tcPr>
                  <w:tcW w:w="3890" w:type="dxa"/>
                  <w:shd w:val="clear" w:color="auto" w:fill="auto"/>
                  <w:vAlign w:val="center"/>
                </w:tcPr>
                <w:p>
                  <w:pPr>
                    <w:pStyle w:val="63"/>
                  </w:pPr>
                  <w:r>
                    <w:rPr>
                      <w:rFonts w:hint="eastAsia"/>
                    </w:rPr>
                    <w:t>容积1m</w:t>
                  </w:r>
                  <w:r>
                    <w:rPr>
                      <w:rFonts w:hint="eastAsia"/>
                      <w:vertAlign w:val="superscript"/>
                    </w:rPr>
                    <w:t>3</w:t>
                  </w:r>
                  <w:r>
                    <w:rPr>
                      <w:rFonts w:hint="eastAsia"/>
                    </w:rPr>
                    <w:t>,配磁翻板液位计1套，PE材质，分别贮存FeSO</w:t>
                  </w:r>
                  <w:r>
                    <w:rPr>
                      <w:rFonts w:hint="eastAsia"/>
                      <w:vertAlign w:val="subscript"/>
                    </w:rPr>
                    <w:t>4</w:t>
                  </w:r>
                  <w:r>
                    <w:rPr>
                      <w:rFonts w:hint="eastAsia"/>
                    </w:rPr>
                    <w:t>溶液浓度10%，NaOH溶液浓度20%，PAC</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4</w:t>
                  </w:r>
                </w:p>
              </w:tc>
              <w:tc>
                <w:tcPr>
                  <w:tcW w:w="811"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3</w:t>
                  </w:r>
                </w:p>
              </w:tc>
              <w:tc>
                <w:tcPr>
                  <w:tcW w:w="1500" w:type="dxa"/>
                  <w:shd w:val="clear" w:color="auto" w:fill="auto"/>
                  <w:vAlign w:val="center"/>
                </w:tcPr>
                <w:p>
                  <w:pPr>
                    <w:pStyle w:val="63"/>
                  </w:pPr>
                  <w:r>
                    <w:rPr>
                      <w:rFonts w:hint="eastAsia"/>
                    </w:rPr>
                    <w:t>硫酸储罐</w:t>
                  </w:r>
                </w:p>
              </w:tc>
              <w:tc>
                <w:tcPr>
                  <w:tcW w:w="3890" w:type="dxa"/>
                  <w:shd w:val="clear" w:color="auto" w:fill="auto"/>
                  <w:vAlign w:val="center"/>
                </w:tcPr>
                <w:p>
                  <w:pPr>
                    <w:pStyle w:val="63"/>
                  </w:pPr>
                  <w:r>
                    <w:rPr>
                      <w:rFonts w:hint="eastAsia"/>
                    </w:rPr>
                    <w:t>容积2m</w:t>
                  </w:r>
                  <w:r>
                    <w:rPr>
                      <w:rFonts w:hint="eastAsia"/>
                      <w:vertAlign w:val="superscript"/>
                    </w:rPr>
                    <w:t>3</w:t>
                  </w:r>
                  <w:r>
                    <w:rPr>
                      <w:rFonts w:hint="eastAsia"/>
                    </w:rPr>
                    <w:t>,配磁翻板液位计1套，碳钢材质</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2</w:t>
                  </w:r>
                </w:p>
              </w:tc>
              <w:tc>
                <w:tcPr>
                  <w:tcW w:w="811" w:type="dxa"/>
                  <w:shd w:val="clear" w:color="auto" w:fill="auto"/>
                  <w:vAlign w:val="center"/>
                </w:tcPr>
                <w:p>
                  <w:pPr>
                    <w:pStyle w:val="63"/>
                  </w:pPr>
                  <w:r>
                    <w:rPr>
                      <w:rFonts w:hint="eastAsia"/>
                    </w:rPr>
                    <w:t>30%稀硫酸，1用1备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4</w:t>
                  </w:r>
                </w:p>
              </w:tc>
              <w:tc>
                <w:tcPr>
                  <w:tcW w:w="1500" w:type="dxa"/>
                  <w:shd w:val="clear" w:color="auto" w:fill="auto"/>
                  <w:vAlign w:val="center"/>
                </w:tcPr>
                <w:p>
                  <w:pPr>
                    <w:pStyle w:val="63"/>
                  </w:pPr>
                  <w:r>
                    <w:rPr>
                      <w:rFonts w:hint="eastAsia"/>
                    </w:rPr>
                    <w:t>PAC储罐</w:t>
                  </w:r>
                </w:p>
              </w:tc>
              <w:tc>
                <w:tcPr>
                  <w:tcW w:w="3890" w:type="dxa"/>
                  <w:shd w:val="clear" w:color="auto" w:fill="auto"/>
                  <w:vAlign w:val="center"/>
                </w:tcPr>
                <w:p>
                  <w:pPr>
                    <w:pStyle w:val="63"/>
                  </w:pPr>
                  <w:r>
                    <w:rPr>
                      <w:rFonts w:hint="eastAsia"/>
                    </w:rPr>
                    <w:t>容积3m</w:t>
                  </w:r>
                  <w:r>
                    <w:rPr>
                      <w:rFonts w:hint="eastAsia"/>
                      <w:vertAlign w:val="superscript"/>
                    </w:rPr>
                    <w:t>3</w:t>
                  </w:r>
                  <w:r>
                    <w:rPr>
                      <w:rFonts w:hint="eastAsia"/>
                    </w:rPr>
                    <w:t>，贮存PAC溶液</w:t>
                  </w:r>
                </w:p>
              </w:tc>
              <w:tc>
                <w:tcPr>
                  <w:tcW w:w="746" w:type="dxa"/>
                  <w:shd w:val="clear" w:color="auto" w:fill="auto"/>
                  <w:vAlign w:val="center"/>
                </w:tcPr>
                <w:p>
                  <w:pPr>
                    <w:pStyle w:val="63"/>
                  </w:pPr>
                  <w:r>
                    <w:rPr>
                      <w:rFonts w:hint="eastAsia"/>
                    </w:rPr>
                    <w:t>个</w:t>
                  </w:r>
                </w:p>
              </w:tc>
              <w:tc>
                <w:tcPr>
                  <w:tcW w:w="496" w:type="dxa"/>
                  <w:shd w:val="clear" w:color="auto" w:fill="auto"/>
                  <w:vAlign w:val="center"/>
                </w:tcPr>
                <w:p>
                  <w:pPr>
                    <w:pStyle w:val="63"/>
                  </w:pPr>
                  <w:r>
                    <w:rPr>
                      <w:rFonts w:hint="eastAsia"/>
                    </w:rPr>
                    <w:t>2</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5</w:t>
                  </w:r>
                </w:p>
              </w:tc>
              <w:tc>
                <w:tcPr>
                  <w:tcW w:w="1500" w:type="dxa"/>
                  <w:shd w:val="clear" w:color="auto" w:fill="auto"/>
                  <w:vAlign w:val="center"/>
                </w:tcPr>
                <w:p>
                  <w:pPr>
                    <w:pStyle w:val="63"/>
                  </w:pPr>
                  <w:r>
                    <w:rPr>
                      <w:rFonts w:hint="eastAsia"/>
                    </w:rPr>
                    <w:t>PAC溶药桶</w:t>
                  </w:r>
                </w:p>
              </w:tc>
              <w:tc>
                <w:tcPr>
                  <w:tcW w:w="3890" w:type="dxa"/>
                  <w:shd w:val="clear" w:color="auto" w:fill="auto"/>
                  <w:vAlign w:val="center"/>
                </w:tcPr>
                <w:p>
                  <w:pPr>
                    <w:pStyle w:val="63"/>
                  </w:pPr>
                  <w:r>
                    <w:rPr>
                      <w:rFonts w:hint="eastAsia"/>
                    </w:rPr>
                    <w:t>容积1m</w:t>
                  </w:r>
                  <w:r>
                    <w:rPr>
                      <w:rFonts w:hint="eastAsia"/>
                      <w:vertAlign w:val="superscript"/>
                    </w:rPr>
                    <w:t>3</w:t>
                  </w:r>
                  <w:r>
                    <w:rPr>
                      <w:rFonts w:hint="eastAsia"/>
                    </w:rPr>
                    <w:t>，混合和溶解PAC溶液</w:t>
                  </w:r>
                </w:p>
              </w:tc>
              <w:tc>
                <w:tcPr>
                  <w:tcW w:w="746" w:type="dxa"/>
                  <w:shd w:val="clear" w:color="auto" w:fill="auto"/>
                  <w:vAlign w:val="center"/>
                </w:tcPr>
                <w:p>
                  <w:pPr>
                    <w:pStyle w:val="63"/>
                  </w:pPr>
                  <w:r>
                    <w:rPr>
                      <w:rFonts w:hint="eastAsia"/>
                    </w:rPr>
                    <w:t>个</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4</w:t>
                  </w:r>
                </w:p>
              </w:tc>
              <w:tc>
                <w:tcPr>
                  <w:tcW w:w="1500" w:type="dxa"/>
                  <w:shd w:val="clear" w:color="auto" w:fill="auto"/>
                  <w:vAlign w:val="center"/>
                </w:tcPr>
                <w:p>
                  <w:pPr>
                    <w:pStyle w:val="63"/>
                  </w:pPr>
                  <w:r>
                    <w:rPr>
                      <w:rFonts w:hint="eastAsia"/>
                    </w:rPr>
                    <w:t>PAM自动溶药装置</w:t>
                  </w:r>
                </w:p>
              </w:tc>
              <w:tc>
                <w:tcPr>
                  <w:tcW w:w="3890" w:type="dxa"/>
                  <w:shd w:val="clear" w:color="auto" w:fill="auto"/>
                  <w:vAlign w:val="center"/>
                </w:tcPr>
                <w:p>
                  <w:pPr>
                    <w:pStyle w:val="63"/>
                  </w:pPr>
                  <w:r>
                    <w:rPr>
                      <w:rFonts w:hint="eastAsia"/>
                    </w:rPr>
                    <w:t>三槽式,投加能力:1000L/h,配药浓度2~5‰</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自带控制柜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5</w:t>
                  </w:r>
                </w:p>
              </w:tc>
              <w:tc>
                <w:tcPr>
                  <w:tcW w:w="1500" w:type="dxa"/>
                  <w:shd w:val="clear" w:color="auto" w:fill="auto"/>
                  <w:vAlign w:val="center"/>
                </w:tcPr>
                <w:p>
                  <w:pPr>
                    <w:pStyle w:val="63"/>
                  </w:pPr>
                  <w:r>
                    <w:rPr>
                      <w:rFonts w:hint="eastAsia"/>
                    </w:rPr>
                    <w:t>硫酸卸料泵</w:t>
                  </w:r>
                </w:p>
              </w:tc>
              <w:tc>
                <w:tcPr>
                  <w:tcW w:w="3890" w:type="dxa"/>
                  <w:shd w:val="clear" w:color="auto" w:fill="auto"/>
                  <w:vAlign w:val="center"/>
                </w:tcPr>
                <w:p>
                  <w:pPr>
                    <w:pStyle w:val="63"/>
                  </w:pPr>
                  <w:r>
                    <w:rPr>
                      <w:rFonts w:hint="eastAsia"/>
                    </w:rPr>
                    <w:t>氟塑料离心泵,流量3.6m</w:t>
                  </w:r>
                  <w:r>
                    <w:rPr>
                      <w:rFonts w:hint="eastAsia"/>
                      <w:vertAlign w:val="superscript"/>
                    </w:rPr>
                    <w:t>3</w:t>
                  </w:r>
                  <w:r>
                    <w:rPr>
                      <w:rFonts w:hint="eastAsia"/>
                    </w:rPr>
                    <w:t>/h,扬程20m</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r>
                    <w:rPr>
                      <w:rFonts w:hint="eastAsia"/>
                    </w:rPr>
                    <w:t>配防护罩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6</w:t>
                  </w:r>
                </w:p>
              </w:tc>
              <w:tc>
                <w:tcPr>
                  <w:tcW w:w="1500" w:type="dxa"/>
                  <w:shd w:val="clear" w:color="auto" w:fill="auto"/>
                  <w:vAlign w:val="center"/>
                </w:tcPr>
                <w:p>
                  <w:pPr>
                    <w:pStyle w:val="63"/>
                  </w:pPr>
                  <w:r>
                    <w:rPr>
                      <w:rFonts w:hint="eastAsia"/>
                    </w:rPr>
                    <w:t>硫酸投料泵</w:t>
                  </w:r>
                </w:p>
              </w:tc>
              <w:tc>
                <w:tcPr>
                  <w:tcW w:w="3890" w:type="dxa"/>
                  <w:shd w:val="clear" w:color="auto" w:fill="auto"/>
                  <w:vAlign w:val="center"/>
                </w:tcPr>
                <w:p>
                  <w:pPr>
                    <w:pStyle w:val="63"/>
                  </w:pPr>
                  <w:r>
                    <w:rPr>
                      <w:rFonts w:hint="eastAsia"/>
                    </w:rPr>
                    <w:t>机械隔膜式计量泵,过流材质PVDF,流量0~50L/h</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2</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7</w:t>
                  </w:r>
                </w:p>
              </w:tc>
              <w:tc>
                <w:tcPr>
                  <w:tcW w:w="1500" w:type="dxa"/>
                  <w:shd w:val="clear" w:color="auto" w:fill="auto"/>
                  <w:vAlign w:val="center"/>
                </w:tcPr>
                <w:p>
                  <w:pPr>
                    <w:pStyle w:val="63"/>
                  </w:pPr>
                  <w:r>
                    <w:rPr>
                      <w:rFonts w:hint="eastAsia"/>
                    </w:rPr>
                    <w:t>双氧水卸料泵</w:t>
                  </w:r>
                </w:p>
              </w:tc>
              <w:tc>
                <w:tcPr>
                  <w:tcW w:w="3890" w:type="dxa"/>
                  <w:shd w:val="clear" w:color="auto" w:fill="auto"/>
                  <w:vAlign w:val="center"/>
                </w:tcPr>
                <w:p>
                  <w:pPr>
                    <w:pStyle w:val="63"/>
                  </w:pPr>
                  <w:r>
                    <w:rPr>
                      <w:rFonts w:hint="eastAsia"/>
                    </w:rPr>
                    <w:t>离心泵,流量12m</w:t>
                  </w:r>
                  <w:r>
                    <w:rPr>
                      <w:rFonts w:hint="eastAsia"/>
                      <w:vertAlign w:val="superscript"/>
                    </w:rPr>
                    <w:t>3</w:t>
                  </w:r>
                  <w:r>
                    <w:rPr>
                      <w:rFonts w:hint="eastAsia"/>
                    </w:rPr>
                    <w:t>/h,扬程20m</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2</w:t>
                  </w:r>
                </w:p>
              </w:tc>
              <w:tc>
                <w:tcPr>
                  <w:tcW w:w="811" w:type="dxa"/>
                  <w:shd w:val="clear" w:color="auto" w:fill="auto"/>
                  <w:vAlign w:val="center"/>
                </w:tcPr>
                <w:p>
                  <w:pPr>
                    <w:pStyle w:val="63"/>
                  </w:pPr>
                  <w:r>
                    <w:rPr>
                      <w:rFonts w:hint="eastAsia"/>
                    </w:rPr>
                    <w:t>配防护罩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8</w:t>
                  </w:r>
                </w:p>
              </w:tc>
              <w:tc>
                <w:tcPr>
                  <w:tcW w:w="1500" w:type="dxa"/>
                  <w:shd w:val="clear" w:color="auto" w:fill="auto"/>
                  <w:vAlign w:val="center"/>
                </w:tcPr>
                <w:p>
                  <w:pPr>
                    <w:pStyle w:val="63"/>
                  </w:pPr>
                  <w:r>
                    <w:rPr>
                      <w:rFonts w:hint="eastAsia"/>
                    </w:rPr>
                    <w:t>双氧水投料泵</w:t>
                  </w:r>
                </w:p>
              </w:tc>
              <w:tc>
                <w:tcPr>
                  <w:tcW w:w="3890" w:type="dxa"/>
                  <w:shd w:val="clear" w:color="auto" w:fill="auto"/>
                  <w:vAlign w:val="center"/>
                </w:tcPr>
                <w:p>
                  <w:pPr>
                    <w:pStyle w:val="63"/>
                  </w:pPr>
                  <w:r>
                    <w:rPr>
                      <w:rFonts w:hint="eastAsia"/>
                    </w:rPr>
                    <w:t>机械隔膜式计量泵,过流材质PVDF,流量0~50L/h</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2</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9</w:t>
                  </w:r>
                </w:p>
              </w:tc>
              <w:tc>
                <w:tcPr>
                  <w:tcW w:w="1500" w:type="dxa"/>
                  <w:shd w:val="clear" w:color="auto" w:fill="auto"/>
                  <w:vAlign w:val="center"/>
                </w:tcPr>
                <w:p>
                  <w:pPr>
                    <w:pStyle w:val="63"/>
                  </w:pPr>
                  <w:r>
                    <w:rPr>
                      <w:rFonts w:hint="eastAsia"/>
                    </w:rPr>
                    <w:t>NaOH投料泵</w:t>
                  </w:r>
                </w:p>
              </w:tc>
              <w:tc>
                <w:tcPr>
                  <w:tcW w:w="3890" w:type="dxa"/>
                  <w:shd w:val="clear" w:color="auto" w:fill="auto"/>
                  <w:vAlign w:val="center"/>
                </w:tcPr>
                <w:p>
                  <w:pPr>
                    <w:pStyle w:val="63"/>
                  </w:pPr>
                  <w:r>
                    <w:rPr>
                      <w:rFonts w:hint="eastAsia"/>
                    </w:rPr>
                    <w:t>机械隔膜式计量泵,过流材质PVDF,流量0~50L/h</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2</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10</w:t>
                  </w:r>
                </w:p>
              </w:tc>
              <w:tc>
                <w:tcPr>
                  <w:tcW w:w="1500" w:type="dxa"/>
                  <w:shd w:val="clear" w:color="auto" w:fill="auto"/>
                  <w:vAlign w:val="center"/>
                </w:tcPr>
                <w:p>
                  <w:pPr>
                    <w:pStyle w:val="63"/>
                  </w:pPr>
                  <w:r>
                    <w:rPr>
                      <w:rFonts w:hint="eastAsia"/>
                    </w:rPr>
                    <w:t>NaOH储罐</w:t>
                  </w:r>
                </w:p>
              </w:tc>
              <w:tc>
                <w:tcPr>
                  <w:tcW w:w="3890" w:type="dxa"/>
                  <w:shd w:val="clear" w:color="auto" w:fill="auto"/>
                  <w:vAlign w:val="center"/>
                </w:tcPr>
                <w:p>
                  <w:pPr>
                    <w:pStyle w:val="63"/>
                  </w:pPr>
                  <w:r>
                    <w:rPr>
                      <w:rFonts w:hint="eastAsia"/>
                    </w:rPr>
                    <w:t>容积1m</w:t>
                  </w:r>
                  <w:r>
                    <w:rPr>
                      <w:rFonts w:hint="eastAsia"/>
                      <w:vertAlign w:val="superscript"/>
                    </w:rPr>
                    <w:t>3</w:t>
                  </w:r>
                  <w:r>
                    <w:rPr>
                      <w:rFonts w:hint="eastAsia"/>
                    </w:rPr>
                    <w:t>，贮存20%氢氧化钠溶液</w:t>
                  </w:r>
                </w:p>
              </w:tc>
              <w:tc>
                <w:tcPr>
                  <w:tcW w:w="746" w:type="dxa"/>
                  <w:shd w:val="clear" w:color="auto" w:fill="auto"/>
                  <w:vAlign w:val="center"/>
                </w:tcPr>
                <w:p>
                  <w:pPr>
                    <w:pStyle w:val="63"/>
                  </w:pPr>
                  <w:r>
                    <w:rPr>
                      <w:rFonts w:hint="eastAsia"/>
                    </w:rPr>
                    <w:t>个</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10</w:t>
                  </w:r>
                </w:p>
              </w:tc>
              <w:tc>
                <w:tcPr>
                  <w:tcW w:w="1500" w:type="dxa"/>
                  <w:shd w:val="clear" w:color="auto" w:fill="auto"/>
                  <w:vAlign w:val="center"/>
                </w:tcPr>
                <w:p>
                  <w:pPr>
                    <w:pStyle w:val="63"/>
                  </w:pPr>
                  <w:r>
                    <w:rPr>
                      <w:rFonts w:hint="eastAsia"/>
                    </w:rPr>
                    <w:t>PAM投料泵</w:t>
                  </w:r>
                </w:p>
              </w:tc>
              <w:tc>
                <w:tcPr>
                  <w:tcW w:w="3890" w:type="dxa"/>
                  <w:shd w:val="clear" w:color="auto" w:fill="auto"/>
                  <w:vAlign w:val="center"/>
                </w:tcPr>
                <w:p>
                  <w:pPr>
                    <w:pStyle w:val="63"/>
                  </w:pPr>
                  <w:r>
                    <w:rPr>
                      <w:rFonts w:hint="eastAsia"/>
                    </w:rPr>
                    <w:t>机械隔膜式计量泵,过流材质PVDF,流量0~200L/h</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5</w:t>
                  </w:r>
                </w:p>
              </w:tc>
              <w:tc>
                <w:tcPr>
                  <w:tcW w:w="811" w:type="dxa"/>
                  <w:shd w:val="clear" w:color="auto" w:fill="auto"/>
                  <w:vAlign w:val="center"/>
                </w:tcPr>
                <w:p>
                  <w:pPr>
                    <w:pStyle w:val="63"/>
                  </w:pPr>
                  <w:r>
                    <w:rPr>
                      <w:rFonts w:hint="eastAsia"/>
                    </w:rPr>
                    <w:t>三用两备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11</w:t>
                  </w:r>
                </w:p>
              </w:tc>
              <w:tc>
                <w:tcPr>
                  <w:tcW w:w="1500" w:type="dxa"/>
                  <w:shd w:val="clear" w:color="auto" w:fill="auto"/>
                  <w:vAlign w:val="center"/>
                </w:tcPr>
                <w:p>
                  <w:pPr>
                    <w:pStyle w:val="63"/>
                  </w:pPr>
                  <w:r>
                    <w:rPr>
                      <w:rFonts w:hint="eastAsia"/>
                    </w:rPr>
                    <w:t>PAC投料泵</w:t>
                  </w:r>
                </w:p>
              </w:tc>
              <w:tc>
                <w:tcPr>
                  <w:tcW w:w="3890" w:type="dxa"/>
                  <w:shd w:val="clear" w:color="auto" w:fill="auto"/>
                  <w:vAlign w:val="center"/>
                </w:tcPr>
                <w:p>
                  <w:pPr>
                    <w:pStyle w:val="63"/>
                  </w:pPr>
                  <w:r>
                    <w:rPr>
                      <w:rFonts w:hint="eastAsia"/>
                    </w:rPr>
                    <w:t>机械隔膜式计量泵,过流材质PVDF,流量0~85L/h</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5</w:t>
                  </w:r>
                </w:p>
              </w:tc>
              <w:tc>
                <w:tcPr>
                  <w:tcW w:w="811" w:type="dxa"/>
                  <w:shd w:val="clear" w:color="auto" w:fill="auto"/>
                  <w:vAlign w:val="center"/>
                </w:tcPr>
                <w:p>
                  <w:pPr>
                    <w:pStyle w:val="63"/>
                  </w:pPr>
                  <w:r>
                    <w:rPr>
                      <w:rFonts w:hint="eastAsia"/>
                    </w:rPr>
                    <w:t>三用两备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12</w:t>
                  </w:r>
                </w:p>
              </w:tc>
              <w:tc>
                <w:tcPr>
                  <w:tcW w:w="1500" w:type="dxa"/>
                  <w:shd w:val="clear" w:color="auto" w:fill="auto"/>
                  <w:vAlign w:val="center"/>
                </w:tcPr>
                <w:p>
                  <w:pPr>
                    <w:pStyle w:val="63"/>
                    <w:jc w:val="left"/>
                  </w:pPr>
                  <w:r>
                    <w:rPr>
                      <w:rFonts w:hint="eastAsia"/>
                    </w:rPr>
                    <w:t>硫酸亚铁储罐</w:t>
                  </w:r>
                </w:p>
              </w:tc>
              <w:tc>
                <w:tcPr>
                  <w:tcW w:w="3890" w:type="dxa"/>
                  <w:shd w:val="clear" w:color="auto" w:fill="auto"/>
                  <w:vAlign w:val="center"/>
                </w:tcPr>
                <w:p>
                  <w:pPr>
                    <w:pStyle w:val="63"/>
                  </w:pPr>
                  <w:r>
                    <w:rPr>
                      <w:rFonts w:hint="eastAsia"/>
                    </w:rPr>
                    <w:t>容积1m</w:t>
                  </w:r>
                  <w:r>
                    <w:rPr>
                      <w:rFonts w:hint="eastAsia"/>
                      <w:vertAlign w:val="superscript"/>
                    </w:rPr>
                    <w:t>3</w:t>
                  </w:r>
                  <w:r>
                    <w:rPr>
                      <w:rFonts w:hint="eastAsia"/>
                    </w:rPr>
                    <w:t>，贮存10%硫酸亚铁溶液</w:t>
                  </w:r>
                </w:p>
              </w:tc>
              <w:tc>
                <w:tcPr>
                  <w:tcW w:w="746" w:type="dxa"/>
                  <w:shd w:val="clear" w:color="auto" w:fill="auto"/>
                  <w:vAlign w:val="center"/>
                </w:tcPr>
                <w:p>
                  <w:pPr>
                    <w:pStyle w:val="63"/>
                  </w:pPr>
                  <w:r>
                    <w:rPr>
                      <w:rFonts w:hint="eastAsia"/>
                    </w:rPr>
                    <w:t>个</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12</w:t>
                  </w:r>
                </w:p>
              </w:tc>
              <w:tc>
                <w:tcPr>
                  <w:tcW w:w="1500" w:type="dxa"/>
                  <w:shd w:val="clear" w:color="auto" w:fill="auto"/>
                  <w:vAlign w:val="center"/>
                </w:tcPr>
                <w:p>
                  <w:pPr>
                    <w:pStyle w:val="63"/>
                  </w:pPr>
                  <w:r>
                    <w:rPr>
                      <w:rFonts w:hint="eastAsia"/>
                    </w:rPr>
                    <w:t>FeSO</w:t>
                  </w:r>
                  <w:r>
                    <w:rPr>
                      <w:rFonts w:hint="eastAsia"/>
                      <w:vertAlign w:val="subscript"/>
                    </w:rPr>
                    <w:t>4</w:t>
                  </w:r>
                  <w:r>
                    <w:rPr>
                      <w:rFonts w:hint="eastAsia"/>
                    </w:rPr>
                    <w:t>投料泵</w:t>
                  </w:r>
                </w:p>
              </w:tc>
              <w:tc>
                <w:tcPr>
                  <w:tcW w:w="3890" w:type="dxa"/>
                  <w:shd w:val="clear" w:color="auto" w:fill="auto"/>
                  <w:vAlign w:val="center"/>
                </w:tcPr>
                <w:p>
                  <w:pPr>
                    <w:pStyle w:val="63"/>
                  </w:pPr>
                  <w:r>
                    <w:rPr>
                      <w:rFonts w:hint="eastAsia"/>
                    </w:rPr>
                    <w:t>机械隔膜式计量泵,过流材质PVDF,流量0~200L/h</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2</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13</w:t>
                  </w:r>
                </w:p>
              </w:tc>
              <w:tc>
                <w:tcPr>
                  <w:tcW w:w="1500" w:type="dxa"/>
                  <w:shd w:val="clear" w:color="auto" w:fill="auto"/>
                  <w:vAlign w:val="center"/>
                </w:tcPr>
                <w:p>
                  <w:pPr>
                    <w:pStyle w:val="63"/>
                  </w:pPr>
                  <w:r>
                    <w:rPr>
                      <w:rFonts w:hint="eastAsia"/>
                    </w:rPr>
                    <w:t>PAC、NaOH、FeSO</w:t>
                  </w:r>
                  <w:r>
                    <w:rPr>
                      <w:rFonts w:hint="eastAsia"/>
                      <w:vertAlign w:val="subscript"/>
                    </w:rPr>
                    <w:t>4</w:t>
                  </w:r>
                  <w:r>
                    <w:rPr>
                      <w:rFonts w:hint="eastAsia"/>
                    </w:rPr>
                    <w:t>搅拌装置</w:t>
                  </w:r>
                </w:p>
              </w:tc>
              <w:tc>
                <w:tcPr>
                  <w:tcW w:w="3890" w:type="dxa"/>
                  <w:shd w:val="clear" w:color="auto" w:fill="auto"/>
                  <w:vAlign w:val="center"/>
                </w:tcPr>
                <w:p>
                  <w:pPr>
                    <w:pStyle w:val="63"/>
                  </w:pPr>
                  <w:r>
                    <w:rPr>
                      <w:rFonts w:hint="eastAsia"/>
                    </w:rPr>
                    <w:t>转速:37r/min,功率0.55kW,不锈钢材质</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4</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14</w:t>
                  </w:r>
                </w:p>
              </w:tc>
              <w:tc>
                <w:tcPr>
                  <w:tcW w:w="1500" w:type="dxa"/>
                  <w:shd w:val="clear" w:color="auto" w:fill="auto"/>
                  <w:vAlign w:val="center"/>
                </w:tcPr>
                <w:p>
                  <w:pPr>
                    <w:pStyle w:val="63"/>
                  </w:pPr>
                  <w:r>
                    <w:rPr>
                      <w:rFonts w:hint="eastAsia"/>
                    </w:rPr>
                    <w:t>轴流风机</w:t>
                  </w:r>
                </w:p>
              </w:tc>
              <w:tc>
                <w:tcPr>
                  <w:tcW w:w="3890" w:type="dxa"/>
                  <w:shd w:val="clear" w:color="auto" w:fill="auto"/>
                  <w:vAlign w:val="center"/>
                </w:tcPr>
                <w:p>
                  <w:pPr>
                    <w:pStyle w:val="63"/>
                  </w:pPr>
                  <w:r>
                    <w:rPr>
                      <w:rFonts w:hint="eastAsia"/>
                    </w:rPr>
                    <w:t>流量Q=2495m</w:t>
                  </w:r>
                  <w:r>
                    <w:rPr>
                      <w:rFonts w:hint="eastAsia"/>
                      <w:vertAlign w:val="superscript"/>
                    </w:rPr>
                    <w:t>3</w:t>
                  </w:r>
                  <w:r>
                    <w:rPr>
                      <w:rFonts w:hint="eastAsia"/>
                    </w:rPr>
                    <w:t>/h,H=165Pa,α=30%%D</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8</w:t>
                  </w:r>
                </w:p>
              </w:tc>
              <w:tc>
                <w:tcPr>
                  <w:tcW w:w="811" w:type="dxa"/>
                  <w:shd w:val="clear" w:color="auto" w:fill="auto"/>
                  <w:vAlign w:val="center"/>
                </w:tcPr>
                <w:p>
                  <w:pPr>
                    <w:pStyle w:val="63"/>
                  </w:pPr>
                  <w:r>
                    <w:rPr>
                      <w:rFonts w:hint="eastAsia"/>
                    </w:rPr>
                    <w:t>内嵌抽风型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rPr>
                      <w:b/>
                      <w:bCs/>
                    </w:rPr>
                  </w:pPr>
                  <w:r>
                    <w:rPr>
                      <w:rFonts w:hint="eastAsia"/>
                      <w:b/>
                      <w:bCs/>
                    </w:rPr>
                    <w:t>五</w:t>
                  </w:r>
                </w:p>
              </w:tc>
              <w:tc>
                <w:tcPr>
                  <w:tcW w:w="7443" w:type="dxa"/>
                  <w:gridSpan w:val="5"/>
                  <w:shd w:val="clear" w:color="auto" w:fill="auto"/>
                  <w:vAlign w:val="center"/>
                </w:tcPr>
                <w:p>
                  <w:pPr>
                    <w:pStyle w:val="63"/>
                    <w:rPr>
                      <w:b/>
                      <w:bCs/>
                    </w:rPr>
                  </w:pPr>
                  <w:r>
                    <w:rPr>
                      <w:rFonts w:hint="eastAsia"/>
                      <w:b/>
                      <w:bCs/>
                    </w:rPr>
                    <w:t>进水在线监测室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1</w:t>
                  </w:r>
                </w:p>
              </w:tc>
              <w:tc>
                <w:tcPr>
                  <w:tcW w:w="1500" w:type="dxa"/>
                  <w:shd w:val="clear" w:color="auto" w:fill="auto"/>
                  <w:vAlign w:val="center"/>
                </w:tcPr>
                <w:p>
                  <w:pPr>
                    <w:pStyle w:val="63"/>
                  </w:pPr>
                  <w:r>
                    <w:rPr>
                      <w:rFonts w:hint="eastAsia"/>
                    </w:rPr>
                    <w:t>轴流风机</w:t>
                  </w:r>
                </w:p>
              </w:tc>
              <w:tc>
                <w:tcPr>
                  <w:tcW w:w="3890" w:type="dxa"/>
                  <w:shd w:val="clear" w:color="auto" w:fill="auto"/>
                  <w:vAlign w:val="center"/>
                </w:tcPr>
                <w:p>
                  <w:pPr>
                    <w:pStyle w:val="63"/>
                  </w:pPr>
                  <w:r>
                    <w:rPr>
                      <w:rFonts w:hint="eastAsia"/>
                    </w:rPr>
                    <w:t>流量Q=2495m</w:t>
                  </w:r>
                  <w:r>
                    <w:rPr>
                      <w:rFonts w:hint="eastAsia"/>
                      <w:vertAlign w:val="superscript"/>
                    </w:rPr>
                    <w:t>3</w:t>
                  </w:r>
                  <w:r>
                    <w:rPr>
                      <w:rFonts w:hint="eastAsia"/>
                    </w:rPr>
                    <w:t>/h,H=165Pa,α=30%%</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rPr>
                      <w:b/>
                      <w:bCs/>
                    </w:rPr>
                  </w:pPr>
                  <w:r>
                    <w:rPr>
                      <w:rFonts w:hint="eastAsia"/>
                      <w:b/>
                      <w:bCs/>
                    </w:rPr>
                    <w:t>六</w:t>
                  </w:r>
                </w:p>
              </w:tc>
              <w:tc>
                <w:tcPr>
                  <w:tcW w:w="7443" w:type="dxa"/>
                  <w:gridSpan w:val="5"/>
                  <w:shd w:val="clear" w:color="auto" w:fill="auto"/>
                  <w:vAlign w:val="center"/>
                </w:tcPr>
                <w:p>
                  <w:pPr>
                    <w:pStyle w:val="63"/>
                    <w:rPr>
                      <w:b/>
                      <w:bCs/>
                    </w:rPr>
                  </w:pPr>
                  <w:r>
                    <w:rPr>
                      <w:rFonts w:hint="eastAsia"/>
                      <w:b/>
                      <w:bCs/>
                    </w:rPr>
                    <w:t>出水在线监测室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 w:type="dxa"/>
                  <w:shd w:val="clear" w:color="auto" w:fill="auto"/>
                  <w:vAlign w:val="center"/>
                </w:tcPr>
                <w:p>
                  <w:pPr>
                    <w:pStyle w:val="63"/>
                  </w:pPr>
                  <w:r>
                    <w:rPr>
                      <w:rFonts w:hint="eastAsia"/>
                    </w:rPr>
                    <w:t>2</w:t>
                  </w:r>
                </w:p>
              </w:tc>
              <w:tc>
                <w:tcPr>
                  <w:tcW w:w="1500" w:type="dxa"/>
                  <w:shd w:val="clear" w:color="auto" w:fill="auto"/>
                  <w:vAlign w:val="center"/>
                </w:tcPr>
                <w:p>
                  <w:pPr>
                    <w:pStyle w:val="63"/>
                  </w:pPr>
                  <w:r>
                    <w:rPr>
                      <w:rFonts w:hint="eastAsia"/>
                    </w:rPr>
                    <w:t>轴流风机</w:t>
                  </w:r>
                </w:p>
              </w:tc>
              <w:tc>
                <w:tcPr>
                  <w:tcW w:w="3890" w:type="dxa"/>
                  <w:shd w:val="clear" w:color="auto" w:fill="auto"/>
                  <w:vAlign w:val="center"/>
                </w:tcPr>
                <w:p>
                  <w:pPr>
                    <w:pStyle w:val="63"/>
                  </w:pPr>
                  <w:r>
                    <w:rPr>
                      <w:rFonts w:hint="eastAsia"/>
                    </w:rPr>
                    <w:t>流量Q=2495m</w:t>
                  </w:r>
                  <w:r>
                    <w:rPr>
                      <w:rFonts w:hint="eastAsia"/>
                      <w:vertAlign w:val="superscript"/>
                    </w:rPr>
                    <w:t>3</w:t>
                  </w:r>
                  <w:r>
                    <w:rPr>
                      <w:rFonts w:hint="eastAsia"/>
                    </w:rPr>
                    <w:t>/h,H=165Pa,α=30%%</w:t>
                  </w:r>
                </w:p>
              </w:tc>
              <w:tc>
                <w:tcPr>
                  <w:tcW w:w="746" w:type="dxa"/>
                  <w:shd w:val="clear" w:color="auto" w:fill="auto"/>
                  <w:vAlign w:val="center"/>
                </w:tcPr>
                <w:p>
                  <w:pPr>
                    <w:pStyle w:val="63"/>
                  </w:pPr>
                  <w:r>
                    <w:rPr>
                      <w:rFonts w:hint="eastAsia"/>
                    </w:rPr>
                    <w:t>台</w:t>
                  </w:r>
                </w:p>
              </w:tc>
              <w:tc>
                <w:tcPr>
                  <w:tcW w:w="496" w:type="dxa"/>
                  <w:shd w:val="clear" w:color="auto" w:fill="auto"/>
                  <w:vAlign w:val="center"/>
                </w:tcPr>
                <w:p>
                  <w:pPr>
                    <w:pStyle w:val="63"/>
                  </w:pPr>
                  <w:r>
                    <w:rPr>
                      <w:rFonts w:hint="eastAsia"/>
                    </w:rPr>
                    <w:t>1</w:t>
                  </w:r>
                </w:p>
              </w:tc>
              <w:tc>
                <w:tcPr>
                  <w:tcW w:w="811" w:type="dxa"/>
                  <w:shd w:val="clear" w:color="auto" w:fill="auto"/>
                  <w:vAlign w:val="center"/>
                </w:tcPr>
                <w:p>
                  <w:pPr>
                    <w:pStyle w:val="63"/>
                  </w:pPr>
                </w:p>
              </w:tc>
            </w:tr>
          </w:tbl>
          <w:p/>
          <w:p>
            <w:pPr>
              <w:pStyle w:val="5"/>
              <w:ind w:firstLine="480"/>
            </w:pPr>
            <w:r>
              <w:rPr>
                <w:rFonts w:hint="eastAsia"/>
              </w:rPr>
              <w:t>环保工程设备一览表见</w:t>
            </w:r>
            <w:r>
              <w:fldChar w:fldCharType="begin"/>
            </w:r>
            <w:r>
              <w:instrText xml:space="preserve"> </w:instrText>
            </w:r>
            <w:r>
              <w:rPr>
                <w:rFonts w:hint="eastAsia"/>
              </w:rPr>
              <w:instrText xml:space="preserve">REF _Ref169618840 \h</w:instrText>
            </w:r>
            <w:r>
              <w:instrText xml:space="preserve"> </w:instrText>
            </w:r>
            <w:r>
              <w:fldChar w:fldCharType="separate"/>
            </w:r>
            <w:r>
              <w:rPr>
                <w:rFonts w:hint="eastAsia"/>
              </w:rPr>
              <w:t xml:space="preserve">表 </w:t>
            </w:r>
            <w:r>
              <w:t>2.5</w:t>
            </w:r>
            <w:r>
              <w:noBreakHyphen/>
            </w:r>
            <w:r>
              <w:t>4</w:t>
            </w:r>
            <w:r>
              <w:fldChar w:fldCharType="end"/>
            </w:r>
            <w:r>
              <w:rPr>
                <w:rFonts w:hint="eastAsia"/>
              </w:rPr>
              <w:t>。</w:t>
            </w:r>
          </w:p>
          <w:p>
            <w:pPr>
              <w:pStyle w:val="14"/>
              <w:keepNext/>
            </w:pPr>
            <w:bookmarkStart w:id="19" w:name="_Ref169618840"/>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19"/>
            <w:r>
              <w:rPr>
                <w:rFonts w:hint="eastAsia"/>
              </w:rPr>
              <w:t xml:space="preserve">   环保工程设备一览表</w:t>
            </w:r>
          </w:p>
          <w:tbl>
            <w:tblPr>
              <w:tblStyle w:val="38"/>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508"/>
              <w:gridCol w:w="3518"/>
              <w:gridCol w:w="630"/>
              <w:gridCol w:w="741"/>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序号</w:t>
                  </w:r>
                </w:p>
              </w:tc>
              <w:tc>
                <w:tcPr>
                  <w:tcW w:w="1508" w:type="dxa"/>
                  <w:shd w:val="clear" w:color="auto" w:fill="auto"/>
                  <w:vAlign w:val="center"/>
                </w:tcPr>
                <w:p>
                  <w:pPr>
                    <w:pStyle w:val="63"/>
                  </w:pPr>
                  <w:r>
                    <w:rPr>
                      <w:rFonts w:hint="eastAsia"/>
                    </w:rPr>
                    <w:t>名称</w:t>
                  </w:r>
                </w:p>
              </w:tc>
              <w:tc>
                <w:tcPr>
                  <w:tcW w:w="3518" w:type="dxa"/>
                  <w:shd w:val="clear" w:color="auto" w:fill="auto"/>
                  <w:vAlign w:val="center"/>
                </w:tcPr>
                <w:p>
                  <w:pPr>
                    <w:pStyle w:val="63"/>
                  </w:pPr>
                  <w:r>
                    <w:rPr>
                      <w:rFonts w:hint="eastAsia"/>
                    </w:rPr>
                    <w:t>型</w:t>
                  </w:r>
                  <w:r>
                    <w:t xml:space="preserve">  </w:t>
                  </w:r>
                  <w:r>
                    <w:rPr>
                      <w:rFonts w:hint="eastAsia"/>
                    </w:rPr>
                    <w:t>号</w:t>
                  </w:r>
                  <w:r>
                    <w:t xml:space="preserve">  </w:t>
                  </w:r>
                  <w:r>
                    <w:rPr>
                      <w:rFonts w:hint="eastAsia"/>
                    </w:rPr>
                    <w:t>及</w:t>
                  </w:r>
                  <w:r>
                    <w:t xml:space="preserve">  </w:t>
                  </w:r>
                  <w:r>
                    <w:rPr>
                      <w:rFonts w:hint="eastAsia"/>
                    </w:rPr>
                    <w:t>规</w:t>
                  </w:r>
                  <w:r>
                    <w:t xml:space="preserve">  </w:t>
                  </w:r>
                  <w:r>
                    <w:rPr>
                      <w:rFonts w:hint="eastAsia"/>
                    </w:rPr>
                    <w:t>格</w:t>
                  </w:r>
                </w:p>
              </w:tc>
              <w:tc>
                <w:tcPr>
                  <w:tcW w:w="630" w:type="dxa"/>
                  <w:shd w:val="clear" w:color="auto" w:fill="auto"/>
                  <w:vAlign w:val="center"/>
                </w:tcPr>
                <w:p>
                  <w:pPr>
                    <w:pStyle w:val="63"/>
                  </w:pPr>
                  <w:r>
                    <w:rPr>
                      <w:rFonts w:hint="eastAsia"/>
                    </w:rPr>
                    <w:t>单位</w:t>
                  </w:r>
                </w:p>
              </w:tc>
              <w:tc>
                <w:tcPr>
                  <w:tcW w:w="741" w:type="dxa"/>
                  <w:shd w:val="clear" w:color="auto" w:fill="auto"/>
                  <w:vAlign w:val="center"/>
                </w:tcPr>
                <w:p>
                  <w:pPr>
                    <w:pStyle w:val="63"/>
                  </w:pPr>
                  <w:r>
                    <w:rPr>
                      <w:rFonts w:hint="eastAsia"/>
                    </w:rPr>
                    <w:t>数量</w:t>
                  </w:r>
                </w:p>
              </w:tc>
              <w:tc>
                <w:tcPr>
                  <w:tcW w:w="1038" w:type="dxa"/>
                  <w:shd w:val="clear" w:color="auto" w:fill="auto"/>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noWrap/>
                  <w:vAlign w:val="center"/>
                </w:tcPr>
                <w:p>
                  <w:pPr>
                    <w:pStyle w:val="63"/>
                    <w:rPr>
                      <w:b/>
                      <w:bCs/>
                    </w:rPr>
                  </w:pPr>
                  <w:r>
                    <w:rPr>
                      <w:rFonts w:hint="eastAsia"/>
                      <w:b/>
                      <w:bCs/>
                    </w:rPr>
                    <w:t>一</w:t>
                  </w:r>
                </w:p>
              </w:tc>
              <w:tc>
                <w:tcPr>
                  <w:tcW w:w="7435" w:type="dxa"/>
                  <w:gridSpan w:val="5"/>
                  <w:shd w:val="clear" w:color="auto" w:fill="auto"/>
                  <w:noWrap/>
                  <w:vAlign w:val="center"/>
                </w:tcPr>
                <w:p>
                  <w:pPr>
                    <w:pStyle w:val="63"/>
                    <w:rPr>
                      <w:b/>
                      <w:bCs/>
                    </w:rPr>
                  </w:pPr>
                  <w:r>
                    <w:rPr>
                      <w:rFonts w:hint="eastAsia"/>
                      <w:b/>
                      <w:bCs/>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1</w:t>
                  </w:r>
                </w:p>
              </w:tc>
              <w:tc>
                <w:tcPr>
                  <w:tcW w:w="1508" w:type="dxa"/>
                  <w:shd w:val="clear" w:color="auto" w:fill="auto"/>
                  <w:vAlign w:val="center"/>
                </w:tcPr>
                <w:p>
                  <w:pPr>
                    <w:pStyle w:val="63"/>
                  </w:pPr>
                  <w:r>
                    <w:rPr>
                      <w:rFonts w:hint="eastAsia"/>
                    </w:rPr>
                    <w:t>风机</w:t>
                  </w:r>
                </w:p>
              </w:tc>
              <w:tc>
                <w:tcPr>
                  <w:tcW w:w="3518" w:type="dxa"/>
                  <w:shd w:val="clear" w:color="auto" w:fill="auto"/>
                  <w:vAlign w:val="center"/>
                </w:tcPr>
                <w:p>
                  <w:pPr>
                    <w:pStyle w:val="63"/>
                  </w:pPr>
                  <w:r>
                    <w:rPr>
                      <w:rFonts w:hint="eastAsia"/>
                    </w:rPr>
                    <w:t>玻璃钢风机，变频，单台风量10000m</w:t>
                  </w:r>
                  <w:r>
                    <w:rPr>
                      <w:rFonts w:hint="eastAsia"/>
                      <w:vertAlign w:val="superscript"/>
                    </w:rPr>
                    <w:t>3</w:t>
                  </w:r>
                  <w:r>
                    <w:rPr>
                      <w:rFonts w:hint="eastAsia"/>
                    </w:rPr>
                    <w:t>/h</w:t>
                  </w:r>
                </w:p>
              </w:tc>
              <w:tc>
                <w:tcPr>
                  <w:tcW w:w="630" w:type="dxa"/>
                  <w:shd w:val="clear" w:color="auto" w:fill="auto"/>
                  <w:vAlign w:val="center"/>
                </w:tcPr>
                <w:p>
                  <w:pPr>
                    <w:pStyle w:val="63"/>
                  </w:pPr>
                  <w:r>
                    <w:t>台</w:t>
                  </w:r>
                </w:p>
              </w:tc>
              <w:tc>
                <w:tcPr>
                  <w:tcW w:w="741" w:type="dxa"/>
                  <w:shd w:val="clear" w:color="auto" w:fill="auto"/>
                  <w:vAlign w:val="center"/>
                </w:tcPr>
                <w:p>
                  <w:pPr>
                    <w:pStyle w:val="63"/>
                  </w:pPr>
                  <w:r>
                    <w:rPr>
                      <w:rFonts w:hint="eastAsia"/>
                    </w:rPr>
                    <w:t>2</w:t>
                  </w:r>
                </w:p>
              </w:tc>
              <w:tc>
                <w:tcPr>
                  <w:tcW w:w="1038"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2</w:t>
                  </w:r>
                </w:p>
              </w:tc>
              <w:tc>
                <w:tcPr>
                  <w:tcW w:w="1508" w:type="dxa"/>
                  <w:shd w:val="clear" w:color="auto" w:fill="auto"/>
                  <w:vAlign w:val="center"/>
                </w:tcPr>
                <w:p>
                  <w:pPr>
                    <w:pStyle w:val="63"/>
                  </w:pPr>
                  <w:r>
                    <w:rPr>
                      <w:rFonts w:hint="eastAsia"/>
                    </w:rPr>
                    <w:t>废气处理装置</w:t>
                  </w:r>
                </w:p>
              </w:tc>
              <w:tc>
                <w:tcPr>
                  <w:tcW w:w="3518" w:type="dxa"/>
                  <w:shd w:val="clear" w:color="auto" w:fill="auto"/>
                  <w:vAlign w:val="center"/>
                </w:tcPr>
                <w:p>
                  <w:pPr>
                    <w:pStyle w:val="63"/>
                  </w:pPr>
                  <w:r>
                    <w:rPr>
                      <w:rFonts w:hint="eastAsia"/>
                    </w:rPr>
                    <w:t>钢混，地上结构，包含除臭塔、喷淋系统、排气筒</w:t>
                  </w:r>
                </w:p>
              </w:tc>
              <w:tc>
                <w:tcPr>
                  <w:tcW w:w="630" w:type="dxa"/>
                  <w:shd w:val="clear" w:color="auto" w:fill="auto"/>
                </w:tcPr>
                <w:p>
                  <w:pPr>
                    <w:pStyle w:val="63"/>
                  </w:pPr>
                  <w:r>
                    <w:rPr>
                      <w:rFonts w:hint="eastAsia"/>
                    </w:rPr>
                    <w:t>套</w:t>
                  </w:r>
                </w:p>
              </w:tc>
              <w:tc>
                <w:tcPr>
                  <w:tcW w:w="741" w:type="dxa"/>
                  <w:shd w:val="clear" w:color="auto" w:fill="auto"/>
                  <w:vAlign w:val="center"/>
                </w:tcPr>
                <w:p>
                  <w:pPr>
                    <w:pStyle w:val="63"/>
                  </w:pPr>
                  <w:r>
                    <w:rPr>
                      <w:rFonts w:hint="eastAsia"/>
                    </w:rPr>
                    <w:t>1</w:t>
                  </w:r>
                </w:p>
              </w:tc>
              <w:tc>
                <w:tcPr>
                  <w:tcW w:w="1038"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3</w:t>
                  </w:r>
                </w:p>
              </w:tc>
              <w:tc>
                <w:tcPr>
                  <w:tcW w:w="1508" w:type="dxa"/>
                  <w:shd w:val="clear" w:color="auto" w:fill="auto"/>
                  <w:vAlign w:val="center"/>
                </w:tcPr>
                <w:p>
                  <w:pPr>
                    <w:pStyle w:val="63"/>
                  </w:pPr>
                  <w:r>
                    <w:rPr>
                      <w:rFonts w:hint="eastAsia"/>
                    </w:rPr>
                    <w:t>药剂池</w:t>
                  </w:r>
                </w:p>
              </w:tc>
              <w:tc>
                <w:tcPr>
                  <w:tcW w:w="3518" w:type="dxa"/>
                  <w:shd w:val="clear" w:color="auto" w:fill="auto"/>
                  <w:vAlign w:val="center"/>
                </w:tcPr>
                <w:p>
                  <w:pPr>
                    <w:pStyle w:val="63"/>
                  </w:pPr>
                  <w:r>
                    <w:rPr>
                      <w:rFonts w:hint="eastAsia"/>
                    </w:rPr>
                    <w:t>半地上钢混结构，尺寸6.6m</w:t>
                  </w:r>
                  <w:r>
                    <w:t>×</w:t>
                  </w:r>
                  <w:r>
                    <w:rPr>
                      <w:rFonts w:hint="eastAsia"/>
                    </w:rPr>
                    <w:t>1.5 m</w:t>
                  </w:r>
                  <w:r>
                    <w:t>×</w:t>
                  </w:r>
                  <w:r>
                    <w:rPr>
                      <w:rFonts w:hint="eastAsia"/>
                    </w:rPr>
                    <w:t>1.7</w:t>
                  </w:r>
                  <w:r>
                    <w:t>m</w:t>
                  </w:r>
                </w:p>
              </w:tc>
              <w:tc>
                <w:tcPr>
                  <w:tcW w:w="630" w:type="dxa"/>
                  <w:shd w:val="clear" w:color="auto" w:fill="auto"/>
                </w:tcPr>
                <w:p>
                  <w:pPr>
                    <w:pStyle w:val="63"/>
                  </w:pPr>
                  <w:r>
                    <w:rPr>
                      <w:rFonts w:hint="eastAsia"/>
                    </w:rPr>
                    <w:t>座</w:t>
                  </w:r>
                </w:p>
              </w:tc>
              <w:tc>
                <w:tcPr>
                  <w:tcW w:w="741" w:type="dxa"/>
                  <w:shd w:val="clear" w:color="auto" w:fill="auto"/>
                  <w:vAlign w:val="center"/>
                </w:tcPr>
                <w:p>
                  <w:pPr>
                    <w:pStyle w:val="63"/>
                  </w:pPr>
                  <w:r>
                    <w:rPr>
                      <w:rFonts w:hint="eastAsia"/>
                    </w:rPr>
                    <w:t>1</w:t>
                  </w:r>
                </w:p>
              </w:tc>
              <w:tc>
                <w:tcPr>
                  <w:tcW w:w="1038"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4</w:t>
                  </w:r>
                </w:p>
              </w:tc>
              <w:tc>
                <w:tcPr>
                  <w:tcW w:w="1508" w:type="dxa"/>
                  <w:shd w:val="clear" w:color="auto" w:fill="auto"/>
                  <w:vAlign w:val="center"/>
                </w:tcPr>
                <w:p>
                  <w:pPr>
                    <w:pStyle w:val="63"/>
                  </w:pPr>
                  <w:r>
                    <w:rPr>
                      <w:rFonts w:hint="eastAsia"/>
                    </w:rPr>
                    <w:t>循环水泵</w:t>
                  </w:r>
                </w:p>
              </w:tc>
              <w:tc>
                <w:tcPr>
                  <w:tcW w:w="3518" w:type="dxa"/>
                  <w:shd w:val="clear" w:color="auto" w:fill="auto"/>
                  <w:vAlign w:val="center"/>
                </w:tcPr>
                <w:p>
                  <w:pPr>
                    <w:pStyle w:val="63"/>
                  </w:pPr>
                  <w:r>
                    <w:rPr>
                      <w:rFonts w:hint="eastAsia"/>
                    </w:rPr>
                    <w:t>流量Q=20m</w:t>
                  </w:r>
                  <w:r>
                    <w:rPr>
                      <w:rFonts w:hint="eastAsia"/>
                      <w:vertAlign w:val="superscript"/>
                    </w:rPr>
                    <w:t>3</w:t>
                  </w:r>
                  <w:r>
                    <w:rPr>
                      <w:rFonts w:hint="eastAsia"/>
                    </w:rPr>
                    <w:t>/h，扬程30m</w:t>
                  </w:r>
                </w:p>
              </w:tc>
              <w:tc>
                <w:tcPr>
                  <w:tcW w:w="630" w:type="dxa"/>
                  <w:shd w:val="clear" w:color="auto" w:fill="auto"/>
                  <w:vAlign w:val="center"/>
                </w:tcPr>
                <w:p>
                  <w:pPr>
                    <w:pStyle w:val="63"/>
                  </w:pPr>
                  <w:r>
                    <w:rPr>
                      <w:rFonts w:hint="eastAsia"/>
                    </w:rPr>
                    <w:t>台</w:t>
                  </w:r>
                </w:p>
              </w:tc>
              <w:tc>
                <w:tcPr>
                  <w:tcW w:w="741" w:type="dxa"/>
                  <w:shd w:val="clear" w:color="auto" w:fill="auto"/>
                  <w:vAlign w:val="center"/>
                </w:tcPr>
                <w:p>
                  <w:pPr>
                    <w:pStyle w:val="63"/>
                  </w:pPr>
                  <w:r>
                    <w:rPr>
                      <w:rFonts w:hint="eastAsia"/>
                    </w:rPr>
                    <w:t>3</w:t>
                  </w:r>
                </w:p>
              </w:tc>
              <w:tc>
                <w:tcPr>
                  <w:tcW w:w="1038" w:type="dxa"/>
                  <w:shd w:val="clear" w:color="auto" w:fill="auto"/>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5</w:t>
                  </w:r>
                </w:p>
              </w:tc>
              <w:tc>
                <w:tcPr>
                  <w:tcW w:w="1508" w:type="dxa"/>
                  <w:shd w:val="clear" w:color="auto" w:fill="auto"/>
                  <w:vAlign w:val="center"/>
                </w:tcPr>
                <w:p>
                  <w:pPr>
                    <w:pStyle w:val="63"/>
                  </w:pPr>
                  <w:r>
                    <w:rPr>
                      <w:rFonts w:hint="eastAsia"/>
                    </w:rPr>
                    <w:t>温度传感器</w:t>
                  </w:r>
                </w:p>
              </w:tc>
              <w:tc>
                <w:tcPr>
                  <w:tcW w:w="3518" w:type="dxa"/>
                  <w:shd w:val="clear" w:color="auto" w:fill="auto"/>
                  <w:vAlign w:val="center"/>
                </w:tcPr>
                <w:p>
                  <w:pPr>
                    <w:pStyle w:val="63"/>
                  </w:pPr>
                  <w:r>
                    <w:rPr>
                      <w:rFonts w:hint="eastAsia"/>
                    </w:rPr>
                    <w:t>-5~50℃</w:t>
                  </w:r>
                </w:p>
              </w:tc>
              <w:tc>
                <w:tcPr>
                  <w:tcW w:w="630" w:type="dxa"/>
                  <w:shd w:val="clear" w:color="auto" w:fill="auto"/>
                  <w:vAlign w:val="center"/>
                </w:tcPr>
                <w:p>
                  <w:pPr>
                    <w:pStyle w:val="63"/>
                  </w:pPr>
                  <w:r>
                    <w:rPr>
                      <w:rFonts w:hint="eastAsia"/>
                    </w:rPr>
                    <w:t>套</w:t>
                  </w:r>
                </w:p>
              </w:tc>
              <w:tc>
                <w:tcPr>
                  <w:tcW w:w="741" w:type="dxa"/>
                  <w:shd w:val="clear" w:color="auto" w:fill="auto"/>
                  <w:vAlign w:val="center"/>
                </w:tcPr>
                <w:p>
                  <w:pPr>
                    <w:pStyle w:val="63"/>
                  </w:pPr>
                  <w:r>
                    <w:rPr>
                      <w:rFonts w:hint="eastAsia"/>
                    </w:rPr>
                    <w:t>1</w:t>
                  </w:r>
                </w:p>
              </w:tc>
              <w:tc>
                <w:tcPr>
                  <w:tcW w:w="1038"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rPr>
                      <w:b/>
                      <w:bCs/>
                    </w:rPr>
                  </w:pPr>
                  <w:r>
                    <w:rPr>
                      <w:rFonts w:hint="eastAsia"/>
                      <w:b/>
                      <w:bCs/>
                    </w:rPr>
                    <w:t>二</w:t>
                  </w:r>
                </w:p>
              </w:tc>
              <w:tc>
                <w:tcPr>
                  <w:tcW w:w="7435" w:type="dxa"/>
                  <w:gridSpan w:val="5"/>
                  <w:shd w:val="clear" w:color="auto" w:fill="auto"/>
                  <w:vAlign w:val="center"/>
                </w:tcPr>
                <w:p>
                  <w:pPr>
                    <w:pStyle w:val="63"/>
                    <w:rPr>
                      <w:b/>
                      <w:bCs/>
                    </w:rPr>
                  </w:pPr>
                  <w:r>
                    <w:rPr>
                      <w:rFonts w:hint="eastAsia"/>
                      <w:b/>
                      <w:bCs/>
                    </w:rPr>
                    <w:t>事故池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1</w:t>
                  </w:r>
                </w:p>
              </w:tc>
              <w:tc>
                <w:tcPr>
                  <w:tcW w:w="1508" w:type="dxa"/>
                  <w:shd w:val="clear" w:color="auto" w:fill="auto"/>
                  <w:vAlign w:val="center"/>
                </w:tcPr>
                <w:p>
                  <w:pPr>
                    <w:pStyle w:val="63"/>
                  </w:pPr>
                  <w:r>
                    <w:rPr>
                      <w:rFonts w:hint="eastAsia"/>
                    </w:rPr>
                    <w:t>潜水搅拌机</w:t>
                  </w:r>
                </w:p>
              </w:tc>
              <w:tc>
                <w:tcPr>
                  <w:tcW w:w="3518" w:type="dxa"/>
                  <w:shd w:val="clear" w:color="auto" w:fill="auto"/>
                  <w:vAlign w:val="center"/>
                </w:tcPr>
                <w:p>
                  <w:pPr>
                    <w:pStyle w:val="63"/>
                  </w:pPr>
                  <w:r>
                    <w:rPr>
                      <w:rFonts w:hint="eastAsia"/>
                    </w:rPr>
                    <w:t>φ=620,N=7.5kW,转速:480rpm</w:t>
                  </w:r>
                </w:p>
              </w:tc>
              <w:tc>
                <w:tcPr>
                  <w:tcW w:w="630" w:type="dxa"/>
                  <w:shd w:val="clear" w:color="auto" w:fill="auto"/>
                  <w:vAlign w:val="center"/>
                </w:tcPr>
                <w:p>
                  <w:pPr>
                    <w:pStyle w:val="63"/>
                  </w:pPr>
                  <w:r>
                    <w:rPr>
                      <w:rFonts w:hint="eastAsia"/>
                    </w:rPr>
                    <w:t>台</w:t>
                  </w:r>
                </w:p>
              </w:tc>
              <w:tc>
                <w:tcPr>
                  <w:tcW w:w="741" w:type="dxa"/>
                  <w:shd w:val="clear" w:color="auto" w:fill="auto"/>
                  <w:vAlign w:val="center"/>
                </w:tcPr>
                <w:p>
                  <w:pPr>
                    <w:pStyle w:val="63"/>
                  </w:pPr>
                  <w:r>
                    <w:rPr>
                      <w:rFonts w:hint="eastAsia"/>
                    </w:rPr>
                    <w:t>4</w:t>
                  </w:r>
                </w:p>
              </w:tc>
              <w:tc>
                <w:tcPr>
                  <w:tcW w:w="1038"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2</w:t>
                  </w:r>
                </w:p>
              </w:tc>
              <w:tc>
                <w:tcPr>
                  <w:tcW w:w="1508" w:type="dxa"/>
                  <w:shd w:val="clear" w:color="auto" w:fill="auto"/>
                  <w:vAlign w:val="center"/>
                </w:tcPr>
                <w:p>
                  <w:pPr>
                    <w:pStyle w:val="63"/>
                  </w:pPr>
                  <w:r>
                    <w:rPr>
                      <w:rFonts w:hint="eastAsia"/>
                    </w:rPr>
                    <w:t>污水提升泵</w:t>
                  </w:r>
                </w:p>
              </w:tc>
              <w:tc>
                <w:tcPr>
                  <w:tcW w:w="3518" w:type="dxa"/>
                  <w:shd w:val="clear" w:color="auto" w:fill="auto"/>
                  <w:vAlign w:val="center"/>
                </w:tcPr>
                <w:p>
                  <w:pPr>
                    <w:pStyle w:val="63"/>
                  </w:pPr>
                  <w:r>
                    <w:rPr>
                      <w:rFonts w:hint="eastAsia"/>
                    </w:rPr>
                    <w:t>Q=42m</w:t>
                  </w:r>
                  <w:r>
                    <w:rPr>
                      <w:rFonts w:hint="eastAsia"/>
                      <w:vertAlign w:val="superscript"/>
                    </w:rPr>
                    <w:t>3</w:t>
                  </w:r>
                  <w:r>
                    <w:rPr>
                      <w:rFonts w:hint="eastAsia"/>
                    </w:rPr>
                    <w:t>/h,H=13m,</w:t>
                  </w:r>
                </w:p>
              </w:tc>
              <w:tc>
                <w:tcPr>
                  <w:tcW w:w="630" w:type="dxa"/>
                  <w:shd w:val="clear" w:color="auto" w:fill="auto"/>
                  <w:vAlign w:val="center"/>
                </w:tcPr>
                <w:p>
                  <w:pPr>
                    <w:pStyle w:val="63"/>
                  </w:pPr>
                  <w:r>
                    <w:rPr>
                      <w:rFonts w:hint="eastAsia"/>
                    </w:rPr>
                    <w:t>台</w:t>
                  </w:r>
                </w:p>
              </w:tc>
              <w:tc>
                <w:tcPr>
                  <w:tcW w:w="741" w:type="dxa"/>
                  <w:shd w:val="clear" w:color="auto" w:fill="auto"/>
                  <w:vAlign w:val="center"/>
                </w:tcPr>
                <w:p>
                  <w:pPr>
                    <w:pStyle w:val="63"/>
                  </w:pPr>
                  <w:r>
                    <w:rPr>
                      <w:rFonts w:hint="eastAsia"/>
                    </w:rPr>
                    <w:t>2</w:t>
                  </w:r>
                </w:p>
              </w:tc>
              <w:tc>
                <w:tcPr>
                  <w:tcW w:w="1038" w:type="dxa"/>
                  <w:shd w:val="clear" w:color="auto" w:fill="auto"/>
                  <w:vAlign w:val="center"/>
                </w:tcPr>
                <w:p>
                  <w:pPr>
                    <w:pStyle w:val="63"/>
                  </w:pPr>
                  <w:r>
                    <w:rPr>
                      <w:rFonts w:hint="eastAsia"/>
                    </w:rPr>
                    <w:t>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3</w:t>
                  </w:r>
                </w:p>
              </w:tc>
              <w:tc>
                <w:tcPr>
                  <w:tcW w:w="1508" w:type="dxa"/>
                  <w:shd w:val="clear" w:color="auto" w:fill="auto"/>
                  <w:vAlign w:val="center"/>
                </w:tcPr>
                <w:p>
                  <w:pPr>
                    <w:pStyle w:val="63"/>
                  </w:pPr>
                  <w:r>
                    <w:rPr>
                      <w:rFonts w:hint="eastAsia"/>
                    </w:rPr>
                    <w:t>电动葫芦</w:t>
                  </w:r>
                </w:p>
              </w:tc>
              <w:tc>
                <w:tcPr>
                  <w:tcW w:w="3518" w:type="dxa"/>
                  <w:shd w:val="clear" w:color="auto" w:fill="auto"/>
                  <w:vAlign w:val="center"/>
                </w:tcPr>
                <w:p>
                  <w:pPr>
                    <w:pStyle w:val="63"/>
                  </w:pPr>
                  <w:r>
                    <w:rPr>
                      <w:rFonts w:hint="eastAsia"/>
                    </w:rPr>
                    <w:t>T=1.5t,H=10m,</w:t>
                  </w:r>
                </w:p>
              </w:tc>
              <w:tc>
                <w:tcPr>
                  <w:tcW w:w="630" w:type="dxa"/>
                  <w:shd w:val="clear" w:color="auto" w:fill="auto"/>
                  <w:vAlign w:val="center"/>
                </w:tcPr>
                <w:p>
                  <w:pPr>
                    <w:pStyle w:val="63"/>
                  </w:pPr>
                  <w:r>
                    <w:rPr>
                      <w:rFonts w:hint="eastAsia"/>
                    </w:rPr>
                    <w:t>台</w:t>
                  </w:r>
                </w:p>
              </w:tc>
              <w:tc>
                <w:tcPr>
                  <w:tcW w:w="741" w:type="dxa"/>
                  <w:shd w:val="clear" w:color="auto" w:fill="auto"/>
                  <w:vAlign w:val="center"/>
                </w:tcPr>
                <w:p>
                  <w:pPr>
                    <w:pStyle w:val="63"/>
                  </w:pPr>
                  <w:r>
                    <w:rPr>
                      <w:rFonts w:hint="eastAsia"/>
                    </w:rPr>
                    <w:t>1</w:t>
                  </w:r>
                </w:p>
              </w:tc>
              <w:tc>
                <w:tcPr>
                  <w:tcW w:w="1038" w:type="dxa"/>
                  <w:shd w:val="clear" w:color="auto" w:fill="auto"/>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rPr>
                      <w:b/>
                      <w:bCs/>
                    </w:rPr>
                  </w:pPr>
                  <w:r>
                    <w:rPr>
                      <w:rFonts w:hint="eastAsia"/>
                      <w:b/>
                      <w:bCs/>
                    </w:rPr>
                    <w:t>三</w:t>
                  </w:r>
                </w:p>
              </w:tc>
              <w:tc>
                <w:tcPr>
                  <w:tcW w:w="7435" w:type="dxa"/>
                  <w:gridSpan w:val="5"/>
                  <w:shd w:val="clear" w:color="auto" w:fill="auto"/>
                  <w:vAlign w:val="center"/>
                </w:tcPr>
                <w:p>
                  <w:pPr>
                    <w:pStyle w:val="63"/>
                    <w:rPr>
                      <w:b/>
                      <w:bCs/>
                    </w:rPr>
                  </w:pPr>
                  <w:r>
                    <w:rPr>
                      <w:rFonts w:hint="eastAsia"/>
                      <w:b/>
                      <w:bCs/>
                    </w:rPr>
                    <w:t>Feton氧化处理设施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1</w:t>
                  </w:r>
                </w:p>
              </w:tc>
              <w:tc>
                <w:tcPr>
                  <w:tcW w:w="1508" w:type="dxa"/>
                  <w:shd w:val="clear" w:color="auto" w:fill="auto"/>
                  <w:vAlign w:val="center"/>
                </w:tcPr>
                <w:p>
                  <w:pPr>
                    <w:pStyle w:val="63"/>
                  </w:pPr>
                  <w:r>
                    <w:rPr>
                      <w:rFonts w:hint="eastAsia"/>
                    </w:rPr>
                    <w:t>搅拌机</w:t>
                  </w:r>
                </w:p>
              </w:tc>
              <w:tc>
                <w:tcPr>
                  <w:tcW w:w="3518" w:type="dxa"/>
                  <w:shd w:val="clear" w:color="auto" w:fill="auto"/>
                  <w:vAlign w:val="center"/>
                </w:tcPr>
                <w:p>
                  <w:pPr>
                    <w:pStyle w:val="63"/>
                  </w:pPr>
                  <w:r>
                    <w:rPr>
                      <w:rFonts w:hint="eastAsia"/>
                    </w:rPr>
                    <w:t>转速60r/min,功率0.75kw</w:t>
                  </w:r>
                </w:p>
              </w:tc>
              <w:tc>
                <w:tcPr>
                  <w:tcW w:w="630" w:type="dxa"/>
                  <w:shd w:val="clear" w:color="auto" w:fill="auto"/>
                  <w:vAlign w:val="center"/>
                </w:tcPr>
                <w:p>
                  <w:pPr>
                    <w:pStyle w:val="63"/>
                  </w:pPr>
                  <w:r>
                    <w:rPr>
                      <w:rFonts w:hint="eastAsia"/>
                    </w:rPr>
                    <w:t>台</w:t>
                  </w:r>
                </w:p>
              </w:tc>
              <w:tc>
                <w:tcPr>
                  <w:tcW w:w="741" w:type="dxa"/>
                  <w:shd w:val="clear" w:color="auto" w:fill="auto"/>
                  <w:vAlign w:val="center"/>
                </w:tcPr>
                <w:p>
                  <w:pPr>
                    <w:pStyle w:val="63"/>
                  </w:pPr>
                  <w:r>
                    <w:rPr>
                      <w:rFonts w:hint="eastAsia"/>
                    </w:rPr>
                    <w:t>2</w:t>
                  </w:r>
                </w:p>
              </w:tc>
              <w:tc>
                <w:tcPr>
                  <w:tcW w:w="1038" w:type="dxa"/>
                  <w:shd w:val="clear" w:color="auto" w:fill="auto"/>
                  <w:vAlign w:val="center"/>
                </w:tcPr>
                <w:p>
                  <w:pPr>
                    <w:pStyle w:val="63"/>
                  </w:pPr>
                  <w:r>
                    <w:rPr>
                      <w:rFonts w:hint="eastAsia"/>
                    </w:rPr>
                    <w:t>不锈钢316L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2</w:t>
                  </w:r>
                </w:p>
              </w:tc>
              <w:tc>
                <w:tcPr>
                  <w:tcW w:w="1508" w:type="dxa"/>
                  <w:shd w:val="clear" w:color="auto" w:fill="auto"/>
                  <w:vAlign w:val="center"/>
                </w:tcPr>
                <w:p>
                  <w:pPr>
                    <w:pStyle w:val="63"/>
                  </w:pPr>
                  <w:r>
                    <w:rPr>
                      <w:rFonts w:hint="eastAsia"/>
                    </w:rPr>
                    <w:t>搅拌机</w:t>
                  </w:r>
                </w:p>
              </w:tc>
              <w:tc>
                <w:tcPr>
                  <w:tcW w:w="3518" w:type="dxa"/>
                  <w:shd w:val="clear" w:color="auto" w:fill="auto"/>
                  <w:vAlign w:val="center"/>
                </w:tcPr>
                <w:p>
                  <w:pPr>
                    <w:pStyle w:val="63"/>
                  </w:pPr>
                  <w:r>
                    <w:rPr>
                      <w:rFonts w:hint="eastAsia"/>
                    </w:rPr>
                    <w:t>转速8r/min,功率0.55kw</w:t>
                  </w:r>
                </w:p>
              </w:tc>
              <w:tc>
                <w:tcPr>
                  <w:tcW w:w="630" w:type="dxa"/>
                  <w:shd w:val="clear" w:color="auto" w:fill="auto"/>
                  <w:vAlign w:val="center"/>
                </w:tcPr>
                <w:p>
                  <w:pPr>
                    <w:pStyle w:val="63"/>
                  </w:pPr>
                  <w:r>
                    <w:rPr>
                      <w:rFonts w:hint="eastAsia"/>
                    </w:rPr>
                    <w:t>台</w:t>
                  </w:r>
                </w:p>
              </w:tc>
              <w:tc>
                <w:tcPr>
                  <w:tcW w:w="741" w:type="dxa"/>
                  <w:shd w:val="clear" w:color="auto" w:fill="auto"/>
                  <w:vAlign w:val="center"/>
                </w:tcPr>
                <w:p>
                  <w:pPr>
                    <w:pStyle w:val="63"/>
                  </w:pPr>
                  <w:r>
                    <w:rPr>
                      <w:rFonts w:hint="eastAsia"/>
                    </w:rPr>
                    <w:t>1</w:t>
                  </w:r>
                </w:p>
              </w:tc>
              <w:tc>
                <w:tcPr>
                  <w:tcW w:w="1038" w:type="dxa"/>
                  <w:shd w:val="clear" w:color="auto" w:fill="auto"/>
                  <w:vAlign w:val="center"/>
                </w:tcPr>
                <w:p>
                  <w:pPr>
                    <w:pStyle w:val="63"/>
                  </w:pPr>
                  <w:r>
                    <w:rPr>
                      <w:rFonts w:hint="eastAsia"/>
                    </w:rPr>
                    <w:t>不锈钢316L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3</w:t>
                  </w:r>
                </w:p>
              </w:tc>
              <w:tc>
                <w:tcPr>
                  <w:tcW w:w="1508" w:type="dxa"/>
                  <w:shd w:val="clear" w:color="auto" w:fill="auto"/>
                  <w:vAlign w:val="center"/>
                </w:tcPr>
                <w:p>
                  <w:pPr>
                    <w:pStyle w:val="63"/>
                  </w:pPr>
                  <w:r>
                    <w:rPr>
                      <w:rFonts w:hint="eastAsia"/>
                    </w:rPr>
                    <w:t>搅拌机</w:t>
                  </w:r>
                </w:p>
              </w:tc>
              <w:tc>
                <w:tcPr>
                  <w:tcW w:w="3518" w:type="dxa"/>
                  <w:shd w:val="clear" w:color="auto" w:fill="auto"/>
                  <w:vAlign w:val="center"/>
                </w:tcPr>
                <w:p>
                  <w:pPr>
                    <w:pStyle w:val="63"/>
                  </w:pPr>
                  <w:r>
                    <w:rPr>
                      <w:rFonts w:hint="eastAsia"/>
                    </w:rPr>
                    <w:t>转速103r/min,功率0.55kw</w:t>
                  </w:r>
                </w:p>
              </w:tc>
              <w:tc>
                <w:tcPr>
                  <w:tcW w:w="630" w:type="dxa"/>
                  <w:shd w:val="clear" w:color="auto" w:fill="auto"/>
                  <w:vAlign w:val="center"/>
                </w:tcPr>
                <w:p>
                  <w:pPr>
                    <w:pStyle w:val="63"/>
                  </w:pPr>
                  <w:r>
                    <w:rPr>
                      <w:rFonts w:hint="eastAsia"/>
                    </w:rPr>
                    <w:t>台</w:t>
                  </w:r>
                </w:p>
              </w:tc>
              <w:tc>
                <w:tcPr>
                  <w:tcW w:w="741" w:type="dxa"/>
                  <w:shd w:val="clear" w:color="auto" w:fill="auto"/>
                  <w:vAlign w:val="center"/>
                </w:tcPr>
                <w:p>
                  <w:pPr>
                    <w:pStyle w:val="63"/>
                  </w:pPr>
                  <w:r>
                    <w:rPr>
                      <w:rFonts w:hint="eastAsia"/>
                    </w:rPr>
                    <w:t>5</w:t>
                  </w:r>
                </w:p>
              </w:tc>
              <w:tc>
                <w:tcPr>
                  <w:tcW w:w="1038" w:type="dxa"/>
                  <w:shd w:val="clear" w:color="auto" w:fill="auto"/>
                  <w:vAlign w:val="center"/>
                </w:tcPr>
                <w:p>
                  <w:pPr>
                    <w:pStyle w:val="63"/>
                  </w:pPr>
                  <w:r>
                    <w:rPr>
                      <w:rFonts w:hint="eastAsia"/>
                    </w:rPr>
                    <w:t>不锈钢316L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4</w:t>
                  </w:r>
                </w:p>
              </w:tc>
              <w:tc>
                <w:tcPr>
                  <w:tcW w:w="1508" w:type="dxa"/>
                  <w:shd w:val="clear" w:color="auto" w:fill="auto"/>
                  <w:vAlign w:val="center"/>
                </w:tcPr>
                <w:p>
                  <w:pPr>
                    <w:pStyle w:val="63"/>
                  </w:pPr>
                  <w:r>
                    <w:rPr>
                      <w:rFonts w:hint="eastAsia"/>
                    </w:rPr>
                    <w:t>螺杆泵</w:t>
                  </w:r>
                </w:p>
              </w:tc>
              <w:tc>
                <w:tcPr>
                  <w:tcW w:w="3518" w:type="dxa"/>
                  <w:shd w:val="clear" w:color="auto" w:fill="auto"/>
                  <w:vAlign w:val="center"/>
                </w:tcPr>
                <w:p>
                  <w:pPr>
                    <w:pStyle w:val="63"/>
                  </w:pPr>
                  <w:r>
                    <w:rPr>
                      <w:rFonts w:hint="eastAsia"/>
                    </w:rPr>
                    <w:t>流量25m</w:t>
                  </w:r>
                  <w:r>
                    <w:rPr>
                      <w:rFonts w:hint="eastAsia"/>
                      <w:vertAlign w:val="superscript"/>
                    </w:rPr>
                    <w:t>3</w:t>
                  </w:r>
                  <w:r>
                    <w:rPr>
                      <w:rFonts w:hint="eastAsia"/>
                    </w:rPr>
                    <w:t>/h,功率5.5kw,</w:t>
                  </w:r>
                </w:p>
              </w:tc>
              <w:tc>
                <w:tcPr>
                  <w:tcW w:w="630" w:type="dxa"/>
                  <w:shd w:val="clear" w:color="auto" w:fill="auto"/>
                  <w:vAlign w:val="center"/>
                </w:tcPr>
                <w:p>
                  <w:pPr>
                    <w:pStyle w:val="63"/>
                  </w:pPr>
                  <w:r>
                    <w:rPr>
                      <w:rFonts w:hint="eastAsia"/>
                    </w:rPr>
                    <w:t>台</w:t>
                  </w:r>
                </w:p>
              </w:tc>
              <w:tc>
                <w:tcPr>
                  <w:tcW w:w="741" w:type="dxa"/>
                  <w:shd w:val="clear" w:color="auto" w:fill="auto"/>
                  <w:vAlign w:val="center"/>
                </w:tcPr>
                <w:p>
                  <w:pPr>
                    <w:pStyle w:val="63"/>
                  </w:pPr>
                  <w:r>
                    <w:rPr>
                      <w:rFonts w:hint="eastAsia"/>
                    </w:rPr>
                    <w:t>2</w:t>
                  </w:r>
                </w:p>
              </w:tc>
              <w:tc>
                <w:tcPr>
                  <w:tcW w:w="1038" w:type="dxa"/>
                  <w:shd w:val="clear" w:color="auto" w:fill="auto"/>
                  <w:vAlign w:val="center"/>
                </w:tcPr>
                <w:p>
                  <w:pPr>
                    <w:pStyle w:val="63"/>
                  </w:pPr>
                  <w:r>
                    <w:rPr>
                      <w:rFonts w:hint="eastAsia"/>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00" w:type="dxa"/>
                  <w:shd w:val="clear" w:color="auto" w:fill="auto"/>
                  <w:vAlign w:val="center"/>
                </w:tcPr>
                <w:p>
                  <w:pPr>
                    <w:pStyle w:val="63"/>
                  </w:pPr>
                  <w:r>
                    <w:rPr>
                      <w:rFonts w:hint="eastAsia"/>
                    </w:rPr>
                    <w:t>5</w:t>
                  </w:r>
                </w:p>
              </w:tc>
              <w:tc>
                <w:tcPr>
                  <w:tcW w:w="1508" w:type="dxa"/>
                  <w:shd w:val="clear" w:color="auto" w:fill="auto"/>
                  <w:vAlign w:val="center"/>
                </w:tcPr>
                <w:p>
                  <w:pPr>
                    <w:pStyle w:val="63"/>
                  </w:pPr>
                  <w:r>
                    <w:rPr>
                      <w:rFonts w:hint="eastAsia"/>
                    </w:rPr>
                    <w:t>污水提升泵</w:t>
                  </w:r>
                </w:p>
              </w:tc>
              <w:tc>
                <w:tcPr>
                  <w:tcW w:w="3518" w:type="dxa"/>
                  <w:shd w:val="clear" w:color="auto" w:fill="auto"/>
                  <w:vAlign w:val="center"/>
                </w:tcPr>
                <w:p>
                  <w:pPr>
                    <w:pStyle w:val="63"/>
                  </w:pPr>
                  <w:r>
                    <w:rPr>
                      <w:rFonts w:hint="eastAsia"/>
                    </w:rPr>
                    <w:t>流量21m</w:t>
                  </w:r>
                  <w:r>
                    <w:rPr>
                      <w:rFonts w:hint="eastAsia"/>
                      <w:vertAlign w:val="superscript"/>
                    </w:rPr>
                    <w:t>3</w:t>
                  </w:r>
                  <w:r>
                    <w:rPr>
                      <w:rFonts w:hint="eastAsia"/>
                    </w:rPr>
                    <w:t>/h,功率2.2kW,扬程15m</w:t>
                  </w:r>
                </w:p>
              </w:tc>
              <w:tc>
                <w:tcPr>
                  <w:tcW w:w="630" w:type="dxa"/>
                  <w:shd w:val="clear" w:color="auto" w:fill="auto"/>
                  <w:vAlign w:val="center"/>
                </w:tcPr>
                <w:p>
                  <w:pPr>
                    <w:pStyle w:val="63"/>
                  </w:pPr>
                  <w:r>
                    <w:rPr>
                      <w:rFonts w:hint="eastAsia"/>
                    </w:rPr>
                    <w:t>台</w:t>
                  </w:r>
                </w:p>
              </w:tc>
              <w:tc>
                <w:tcPr>
                  <w:tcW w:w="741" w:type="dxa"/>
                  <w:shd w:val="clear" w:color="auto" w:fill="auto"/>
                  <w:vAlign w:val="center"/>
                </w:tcPr>
                <w:p>
                  <w:pPr>
                    <w:pStyle w:val="63"/>
                  </w:pPr>
                  <w:r>
                    <w:rPr>
                      <w:rFonts w:hint="eastAsia"/>
                    </w:rPr>
                    <w:t>3</w:t>
                  </w:r>
                </w:p>
              </w:tc>
              <w:tc>
                <w:tcPr>
                  <w:tcW w:w="1038" w:type="dxa"/>
                  <w:shd w:val="clear" w:color="auto" w:fill="auto"/>
                  <w:vAlign w:val="center"/>
                </w:tcPr>
                <w:p>
                  <w:pPr>
                    <w:pStyle w:val="63"/>
                  </w:pPr>
                  <w:r>
                    <w:rPr>
                      <w:rFonts w:hint="eastAsia"/>
                    </w:rPr>
                    <w:t>2用1备</w:t>
                  </w:r>
                </w:p>
              </w:tc>
            </w:tr>
          </w:tbl>
          <w:p/>
          <w:p>
            <w:pPr>
              <w:pStyle w:val="5"/>
              <w:ind w:firstLine="480"/>
            </w:pPr>
            <w:r>
              <w:rPr>
                <w:rFonts w:hint="eastAsia"/>
              </w:rPr>
              <w:t>综上，项目使用设备不属于国家淘汰或限制使用的设备，使用的制冷剂满足国家要求，所以项目使用的设备和原材料满足国家相关政策要求。双氧水、硫酸、硫酸、氢氧化钠为气浮设备（预处理工艺）事故情况下供应急Feton设备使用，根据《芬顿氧化法废水处理工程技术规范》（HJ1095-2020）, 芬顿法可作为废水生化处理前的预处理工艺，芬顿试剂投加方式采用计量泵投加，投加系统按贮存、调制、输送、投加的功能进行设置，双氧水、药剂、硫酸等采用储罐分开贮存，所以项目芬顿工艺和设施、设备满足HJ1095-2020要求。</w:t>
            </w:r>
          </w:p>
          <w:p>
            <w:pPr>
              <w:pStyle w:val="4"/>
              <w:spacing w:before="120" w:after="120"/>
            </w:pPr>
            <w:r>
              <w:rPr>
                <w:rFonts w:hint="eastAsia"/>
              </w:rPr>
              <w:t>化验室实验内容</w:t>
            </w:r>
          </w:p>
          <w:p>
            <w:pPr>
              <w:pStyle w:val="5"/>
              <w:ind w:firstLine="480"/>
            </w:pPr>
            <w:r>
              <w:rPr>
                <w:rFonts w:hint="eastAsia"/>
              </w:rPr>
              <w:t>功能为对污水处理厂各处理设施水质进行化验，用以优化运行工艺，项目化验室实验内容见</w:t>
            </w:r>
            <w:r>
              <w:fldChar w:fldCharType="begin"/>
            </w:r>
            <w:r>
              <w:instrText xml:space="preserve"> </w:instrText>
            </w:r>
            <w:r>
              <w:rPr>
                <w:rFonts w:hint="eastAsia"/>
              </w:rPr>
              <w:instrText xml:space="preserve">REF _Ref169705544 \h</w:instrText>
            </w:r>
            <w:r>
              <w:instrText xml:space="preserve"> </w:instrText>
            </w:r>
            <w:r>
              <w:fldChar w:fldCharType="separate"/>
            </w:r>
            <w:r>
              <w:rPr>
                <w:rFonts w:hint="eastAsia"/>
              </w:rPr>
              <w:t xml:space="preserve">表 </w:t>
            </w:r>
            <w:r>
              <w:t>2.5</w:t>
            </w:r>
            <w:r>
              <w:noBreakHyphen/>
            </w:r>
            <w:r>
              <w:t>5</w:t>
            </w:r>
            <w:r>
              <w:fldChar w:fldCharType="end"/>
            </w:r>
            <w:r>
              <w:rPr>
                <w:rFonts w:hint="eastAsia"/>
              </w:rPr>
              <w:t>。</w:t>
            </w:r>
          </w:p>
          <w:p>
            <w:pPr>
              <w:pStyle w:val="14"/>
              <w:keepNext/>
            </w:pPr>
            <w:bookmarkStart w:id="20" w:name="_Ref169705544"/>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bookmarkEnd w:id="20"/>
            <w:r>
              <w:rPr>
                <w:rFonts w:hint="eastAsia"/>
              </w:rPr>
              <w:t xml:space="preserve">   项目化验室实验内容</w:t>
            </w:r>
          </w:p>
          <w:tbl>
            <w:tblPr>
              <w:tblStyle w:val="39"/>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4959"/>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3" w:type="dxa"/>
                  <w:vAlign w:val="center"/>
                </w:tcPr>
                <w:p>
                  <w:pPr>
                    <w:pStyle w:val="63"/>
                  </w:pPr>
                  <w:r>
                    <w:rPr>
                      <w:rFonts w:hint="eastAsia"/>
                    </w:rPr>
                    <w:t>化验项目</w:t>
                  </w:r>
                </w:p>
              </w:tc>
              <w:tc>
                <w:tcPr>
                  <w:tcW w:w="4959" w:type="dxa"/>
                  <w:vAlign w:val="center"/>
                </w:tcPr>
                <w:p>
                  <w:pPr>
                    <w:pStyle w:val="63"/>
                  </w:pPr>
                  <w:r>
                    <w:rPr>
                      <w:rFonts w:hint="eastAsia"/>
                    </w:rPr>
                    <w:t>检测方法</w:t>
                  </w:r>
                </w:p>
              </w:tc>
              <w:tc>
                <w:tcPr>
                  <w:tcW w:w="1163" w:type="dxa"/>
                  <w:vAlign w:val="center"/>
                </w:tcPr>
                <w:p>
                  <w:pPr>
                    <w:pStyle w:val="63"/>
                  </w:pPr>
                  <w:r>
                    <w:rPr>
                      <w:rFonts w:hint="eastAsia"/>
                    </w:rPr>
                    <w:t>化验频次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3" w:type="dxa"/>
                  <w:vAlign w:val="center"/>
                </w:tcPr>
                <w:p>
                  <w:pPr>
                    <w:pStyle w:val="63"/>
                  </w:pPr>
                  <w:r>
                    <w:rPr>
                      <w:rFonts w:hint="eastAsia"/>
                    </w:rPr>
                    <w:t>COD、SS、总氮、总磷、pH等</w:t>
                  </w:r>
                </w:p>
              </w:tc>
              <w:tc>
                <w:tcPr>
                  <w:tcW w:w="4959" w:type="dxa"/>
                  <w:vAlign w:val="center"/>
                </w:tcPr>
                <w:p>
                  <w:pPr>
                    <w:pStyle w:val="63"/>
                  </w:pPr>
                  <w:r>
                    <w:rPr>
                      <w:rFonts w:hint="eastAsia"/>
                    </w:rPr>
                    <w:t>采用多参数水质测定仪直接测定</w:t>
                  </w:r>
                </w:p>
              </w:tc>
              <w:tc>
                <w:tcPr>
                  <w:tcW w:w="1163" w:type="dxa"/>
                  <w:vMerge w:val="restart"/>
                  <w:vAlign w:val="center"/>
                </w:tcPr>
                <w:p>
                  <w:pPr>
                    <w:pStyle w:val="63"/>
                  </w:pPr>
                  <w:r>
                    <w:rPr>
                      <w:rFonts w:hint="eastAsia"/>
                    </w:rPr>
                    <w:t>1天1次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3" w:type="dxa"/>
                  <w:vAlign w:val="center"/>
                </w:tcPr>
                <w:p>
                  <w:pPr>
                    <w:pStyle w:val="63"/>
                  </w:pPr>
                  <w:r>
                    <w:rPr>
                      <w:rFonts w:hint="eastAsia"/>
                    </w:rPr>
                    <w:t>BOD</w:t>
                  </w:r>
                  <w:r>
                    <w:rPr>
                      <w:rFonts w:hint="eastAsia"/>
                      <w:vertAlign w:val="subscript"/>
                    </w:rPr>
                    <w:t>5</w:t>
                  </w:r>
                </w:p>
              </w:tc>
              <w:tc>
                <w:tcPr>
                  <w:tcW w:w="4959" w:type="dxa"/>
                  <w:vAlign w:val="center"/>
                </w:tcPr>
                <w:p>
                  <w:pPr>
                    <w:pStyle w:val="63"/>
                  </w:pPr>
                  <w:r>
                    <w:rPr>
                      <w:rFonts w:hint="eastAsia"/>
                    </w:rPr>
                    <w:t>采用《水质 五日生化需氧量（BOD</w:t>
                  </w:r>
                  <w:r>
                    <w:rPr>
                      <w:rFonts w:hint="eastAsia"/>
                      <w:vertAlign w:val="subscript"/>
                    </w:rPr>
                    <w:t>5</w:t>
                  </w:r>
                  <w:r>
                    <w:rPr>
                      <w:rFonts w:hint="eastAsia"/>
                    </w:rPr>
                    <w:t>）的测定 稀释与接种法》（</w:t>
                  </w:r>
                  <w:r>
                    <w:t>HJ 505—2009</w:t>
                  </w:r>
                  <w:r>
                    <w:rPr>
                      <w:rFonts w:hint="eastAsia"/>
                    </w:rPr>
                    <w:t>），器皿高压蒸汽灭菌器后，加入培养液和待测水样，于生化培养箱培养5天后，BOD测定仪测定</w:t>
                  </w:r>
                </w:p>
              </w:tc>
              <w:tc>
                <w:tcPr>
                  <w:tcW w:w="1163" w:type="dxa"/>
                  <w:vMerge w:val="continue"/>
                  <w:vAlign w:val="center"/>
                </w:tcPr>
                <w:p>
                  <w:pPr>
                    <w:pStyle w:val="63"/>
                  </w:pPr>
                </w:p>
              </w:tc>
            </w:tr>
          </w:tbl>
          <w:p/>
          <w:p>
            <w:pPr>
              <w:pStyle w:val="4"/>
              <w:spacing w:before="120" w:after="120"/>
            </w:pPr>
            <w:r>
              <w:rPr>
                <w:rFonts w:hint="eastAsia"/>
              </w:rPr>
              <w:t>原辅材料消耗</w:t>
            </w:r>
          </w:p>
          <w:p>
            <w:pPr>
              <w:pStyle w:val="5"/>
              <w:ind w:firstLine="480"/>
            </w:pPr>
            <w:r>
              <w:rPr>
                <w:rFonts w:hint="eastAsia"/>
              </w:rPr>
              <w:t>项目原辅材料消耗见</w:t>
            </w:r>
            <w:r>
              <w:fldChar w:fldCharType="begin"/>
            </w:r>
            <w:r>
              <w:instrText xml:space="preserve"> </w:instrText>
            </w:r>
            <w:r>
              <w:rPr>
                <w:rFonts w:hint="eastAsia"/>
              </w:rPr>
              <w:instrText xml:space="preserve">REF _Ref169619498 \h</w:instrText>
            </w:r>
            <w:r>
              <w:instrText xml:space="preserve"> </w:instrText>
            </w:r>
            <w:r>
              <w:fldChar w:fldCharType="separate"/>
            </w:r>
            <w:r>
              <w:rPr>
                <w:rFonts w:hint="eastAsia"/>
              </w:rPr>
              <w:t xml:space="preserve">表 </w:t>
            </w:r>
            <w:r>
              <w:t>2.5</w:t>
            </w:r>
            <w:r>
              <w:noBreakHyphen/>
            </w:r>
            <w:r>
              <w:t>6</w:t>
            </w:r>
            <w:r>
              <w:fldChar w:fldCharType="end"/>
            </w:r>
            <w:r>
              <w:rPr>
                <w:rFonts w:hint="eastAsia"/>
              </w:rPr>
              <w:t>。</w:t>
            </w:r>
          </w:p>
          <w:p>
            <w:pPr>
              <w:pStyle w:val="14"/>
              <w:keepNext/>
            </w:pPr>
            <w:bookmarkStart w:id="21" w:name="_Ref169619498"/>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bookmarkEnd w:id="21"/>
            <w:r>
              <w:rPr>
                <w:rFonts w:hint="eastAsia"/>
              </w:rPr>
              <w:t xml:space="preserve">   项目原辅材料消耗一览表</w:t>
            </w:r>
          </w:p>
          <w:tbl>
            <w:tblPr>
              <w:tblStyle w:val="39"/>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005"/>
              <w:gridCol w:w="1257"/>
              <w:gridCol w:w="1549"/>
              <w:gridCol w:w="984"/>
              <w:gridCol w:w="1133"/>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7" w:type="dxa"/>
                  <w:vAlign w:val="center"/>
                </w:tcPr>
                <w:p>
                  <w:pPr>
                    <w:pStyle w:val="63"/>
                  </w:pPr>
                  <w:r>
                    <w:rPr>
                      <w:rFonts w:hint="eastAsia"/>
                    </w:rPr>
                    <w:t>类别</w:t>
                  </w:r>
                </w:p>
              </w:tc>
              <w:tc>
                <w:tcPr>
                  <w:tcW w:w="1005" w:type="dxa"/>
                  <w:vAlign w:val="center"/>
                </w:tcPr>
                <w:p>
                  <w:pPr>
                    <w:pStyle w:val="63"/>
                  </w:pPr>
                  <w:r>
                    <w:rPr>
                      <w:rFonts w:hint="eastAsia"/>
                    </w:rPr>
                    <w:t>名称</w:t>
                  </w:r>
                </w:p>
              </w:tc>
              <w:tc>
                <w:tcPr>
                  <w:tcW w:w="1257" w:type="dxa"/>
                  <w:vAlign w:val="center"/>
                </w:tcPr>
                <w:p>
                  <w:pPr>
                    <w:pStyle w:val="63"/>
                  </w:pPr>
                  <w:r>
                    <w:rPr>
                      <w:rFonts w:hint="eastAsia"/>
                    </w:rPr>
                    <w:t>消耗量</w:t>
                  </w:r>
                </w:p>
              </w:tc>
              <w:tc>
                <w:tcPr>
                  <w:tcW w:w="1549" w:type="dxa"/>
                  <w:vAlign w:val="center"/>
                </w:tcPr>
                <w:p>
                  <w:pPr>
                    <w:pStyle w:val="63"/>
                  </w:pPr>
                  <w:r>
                    <w:rPr>
                      <w:rFonts w:hint="eastAsia"/>
                    </w:rPr>
                    <w:t>厂区最大贮存量</w:t>
                  </w:r>
                </w:p>
              </w:tc>
              <w:tc>
                <w:tcPr>
                  <w:tcW w:w="984" w:type="dxa"/>
                  <w:vAlign w:val="center"/>
                </w:tcPr>
                <w:p>
                  <w:pPr>
                    <w:pStyle w:val="63"/>
                  </w:pPr>
                  <w:r>
                    <w:rPr>
                      <w:rFonts w:hint="eastAsia"/>
                    </w:rPr>
                    <w:t>规格</w:t>
                  </w:r>
                </w:p>
              </w:tc>
              <w:tc>
                <w:tcPr>
                  <w:tcW w:w="1133" w:type="dxa"/>
                  <w:vAlign w:val="center"/>
                </w:tcPr>
                <w:p>
                  <w:pPr>
                    <w:pStyle w:val="63"/>
                  </w:pPr>
                  <w:r>
                    <w:rPr>
                      <w:rFonts w:hint="eastAsia"/>
                    </w:rPr>
                    <w:t>贮存位置</w:t>
                  </w:r>
                </w:p>
              </w:tc>
              <w:tc>
                <w:tcPr>
                  <w:tcW w:w="1130"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7" w:type="dxa"/>
                  <w:vMerge w:val="restart"/>
                  <w:vAlign w:val="center"/>
                </w:tcPr>
                <w:p>
                  <w:pPr>
                    <w:pStyle w:val="63"/>
                  </w:pPr>
                  <w:r>
                    <w:rPr>
                      <w:rFonts w:hint="eastAsia"/>
                    </w:rPr>
                    <w:t>全厂</w:t>
                  </w:r>
                </w:p>
              </w:tc>
              <w:tc>
                <w:tcPr>
                  <w:tcW w:w="1005" w:type="dxa"/>
                  <w:vAlign w:val="center"/>
                </w:tcPr>
                <w:p>
                  <w:pPr>
                    <w:pStyle w:val="63"/>
                  </w:pPr>
                  <w:r>
                    <w:rPr>
                      <w:rFonts w:hint="eastAsia"/>
                    </w:rPr>
                    <w:t>电</w:t>
                  </w:r>
                </w:p>
              </w:tc>
              <w:tc>
                <w:tcPr>
                  <w:tcW w:w="1257" w:type="dxa"/>
                  <w:vAlign w:val="center"/>
                </w:tcPr>
                <w:p>
                  <w:pPr>
                    <w:pStyle w:val="63"/>
                  </w:pPr>
                  <w:r>
                    <w:rPr>
                      <w:rFonts w:hint="eastAsia"/>
                    </w:rPr>
                    <w:t>168万度/年</w:t>
                  </w:r>
                </w:p>
              </w:tc>
              <w:tc>
                <w:tcPr>
                  <w:tcW w:w="1549" w:type="dxa"/>
                  <w:vAlign w:val="center"/>
                </w:tcPr>
                <w:p>
                  <w:pPr>
                    <w:pStyle w:val="63"/>
                  </w:pPr>
                  <w:r>
                    <w:rPr>
                      <w:rFonts w:hint="eastAsia"/>
                    </w:rPr>
                    <w:t>-</w:t>
                  </w:r>
                </w:p>
              </w:tc>
              <w:tc>
                <w:tcPr>
                  <w:tcW w:w="984" w:type="dxa"/>
                  <w:vAlign w:val="center"/>
                </w:tcPr>
                <w:p>
                  <w:pPr>
                    <w:pStyle w:val="63"/>
                  </w:pPr>
                  <w:r>
                    <w:rPr>
                      <w:rFonts w:hint="eastAsia"/>
                    </w:rPr>
                    <w:t>-</w:t>
                  </w:r>
                </w:p>
              </w:tc>
              <w:tc>
                <w:tcPr>
                  <w:tcW w:w="1133" w:type="dxa"/>
                  <w:vAlign w:val="center"/>
                </w:tcPr>
                <w:p>
                  <w:pPr>
                    <w:pStyle w:val="63"/>
                  </w:pPr>
                  <w:r>
                    <w:rPr>
                      <w:rFonts w:hint="eastAsia"/>
                    </w:rPr>
                    <w:t>-</w:t>
                  </w:r>
                </w:p>
              </w:tc>
              <w:tc>
                <w:tcPr>
                  <w:tcW w:w="1130" w:type="dxa"/>
                  <w:vAlign w:val="center"/>
                </w:tcPr>
                <w:p>
                  <w:pPr>
                    <w:pStyle w:val="63"/>
                  </w:pPr>
                  <w:r>
                    <w:rPr>
                      <w:rFonts w:hint="eastAsia"/>
                    </w:rPr>
                    <w:t>市政</w:t>
                  </w:r>
                  <w: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7" w:type="dxa"/>
                  <w:vMerge w:val="continue"/>
                  <w:vAlign w:val="center"/>
                </w:tcPr>
                <w:p>
                  <w:pPr>
                    <w:pStyle w:val="63"/>
                  </w:pPr>
                </w:p>
              </w:tc>
              <w:tc>
                <w:tcPr>
                  <w:tcW w:w="1005" w:type="dxa"/>
                  <w:vAlign w:val="center"/>
                </w:tcPr>
                <w:p>
                  <w:pPr>
                    <w:pStyle w:val="63"/>
                  </w:pPr>
                  <w:r>
                    <w:rPr>
                      <w:rFonts w:hint="eastAsia"/>
                    </w:rPr>
                    <w:t>自来水</w:t>
                  </w:r>
                </w:p>
              </w:tc>
              <w:tc>
                <w:tcPr>
                  <w:tcW w:w="1257" w:type="dxa"/>
                  <w:vAlign w:val="center"/>
                </w:tcPr>
                <w:p>
                  <w:pPr>
                    <w:pStyle w:val="63"/>
                  </w:pPr>
                  <w:r>
                    <w:rPr>
                      <w:rFonts w:hint="eastAsia"/>
                    </w:rPr>
                    <w:t>5013m</w:t>
                  </w:r>
                  <w:r>
                    <w:rPr>
                      <w:rFonts w:hint="eastAsia"/>
                      <w:vertAlign w:val="superscript"/>
                    </w:rPr>
                    <w:t>3</w:t>
                  </w:r>
                </w:p>
              </w:tc>
              <w:tc>
                <w:tcPr>
                  <w:tcW w:w="1549" w:type="dxa"/>
                  <w:vAlign w:val="center"/>
                </w:tcPr>
                <w:p>
                  <w:pPr>
                    <w:pStyle w:val="63"/>
                  </w:pPr>
                  <w:r>
                    <w:rPr>
                      <w:rFonts w:hint="eastAsia"/>
                    </w:rPr>
                    <w:t>-</w:t>
                  </w:r>
                </w:p>
              </w:tc>
              <w:tc>
                <w:tcPr>
                  <w:tcW w:w="984" w:type="dxa"/>
                  <w:vAlign w:val="center"/>
                </w:tcPr>
                <w:p>
                  <w:pPr>
                    <w:pStyle w:val="63"/>
                  </w:pPr>
                  <w:r>
                    <w:rPr>
                      <w:rFonts w:hint="eastAsia"/>
                    </w:rPr>
                    <w:t>-</w:t>
                  </w:r>
                </w:p>
              </w:tc>
              <w:tc>
                <w:tcPr>
                  <w:tcW w:w="1133" w:type="dxa"/>
                  <w:vAlign w:val="center"/>
                </w:tcPr>
                <w:p>
                  <w:pPr>
                    <w:pStyle w:val="63"/>
                  </w:pPr>
                  <w:r>
                    <w:rPr>
                      <w:rFonts w:hint="eastAsia"/>
                    </w:rPr>
                    <w:t>-</w:t>
                  </w:r>
                </w:p>
              </w:tc>
              <w:tc>
                <w:tcPr>
                  <w:tcW w:w="1130" w:type="dxa"/>
                  <w:vAlign w:val="center"/>
                </w:tcPr>
                <w:p>
                  <w:pPr>
                    <w:pStyle w:val="63"/>
                  </w:pPr>
                  <w:r>
                    <w:rPr>
                      <w:rFonts w:hint="eastAsia"/>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7" w:type="dxa"/>
                  <w:vMerge w:val="restart"/>
                  <w:vAlign w:val="center"/>
                </w:tcPr>
                <w:p>
                  <w:pPr>
                    <w:pStyle w:val="63"/>
                  </w:pPr>
                  <w:r>
                    <w:rPr>
                      <w:rFonts w:hint="eastAsia"/>
                    </w:rPr>
                    <w:t>水处理</w:t>
                  </w:r>
                </w:p>
              </w:tc>
              <w:tc>
                <w:tcPr>
                  <w:tcW w:w="1005" w:type="dxa"/>
                  <w:vAlign w:val="center"/>
                </w:tcPr>
                <w:p>
                  <w:pPr>
                    <w:pStyle w:val="63"/>
                  </w:pPr>
                  <w:r>
                    <w:rPr>
                      <w:rFonts w:hint="eastAsia"/>
                    </w:rPr>
                    <w:t>P</w:t>
                  </w:r>
                  <w:r>
                    <w:t>AC</w:t>
                  </w:r>
                </w:p>
              </w:tc>
              <w:tc>
                <w:tcPr>
                  <w:tcW w:w="1257" w:type="dxa"/>
                  <w:vAlign w:val="center"/>
                </w:tcPr>
                <w:p>
                  <w:pPr>
                    <w:pStyle w:val="63"/>
                  </w:pPr>
                  <w:r>
                    <w:rPr>
                      <w:rFonts w:hint="eastAsia"/>
                    </w:rPr>
                    <w:t>146t/a</w:t>
                  </w:r>
                </w:p>
              </w:tc>
              <w:tc>
                <w:tcPr>
                  <w:tcW w:w="1549" w:type="dxa"/>
                  <w:vAlign w:val="center"/>
                </w:tcPr>
                <w:p>
                  <w:pPr>
                    <w:pStyle w:val="63"/>
                  </w:pPr>
                  <w:r>
                    <w:rPr>
                      <w:rFonts w:hint="eastAsia"/>
                    </w:rPr>
                    <w:t>5t</w:t>
                  </w:r>
                </w:p>
              </w:tc>
              <w:tc>
                <w:tcPr>
                  <w:tcW w:w="984" w:type="dxa"/>
                  <w:vAlign w:val="center"/>
                </w:tcPr>
                <w:p>
                  <w:pPr>
                    <w:pStyle w:val="63"/>
                  </w:pPr>
                  <w:r>
                    <w:rPr>
                      <w:rFonts w:hint="eastAsia"/>
                    </w:rPr>
                    <w:t>2</w:t>
                  </w:r>
                  <w:r>
                    <w:t>5</w:t>
                  </w:r>
                  <w:r>
                    <w:rPr>
                      <w:rFonts w:hint="eastAsia"/>
                    </w:rPr>
                    <w:t>kg</w:t>
                  </w:r>
                  <w:r>
                    <w:t>/</w:t>
                  </w:r>
                  <w:r>
                    <w:rPr>
                      <w:rFonts w:hint="eastAsia"/>
                    </w:rPr>
                    <w:t>袋</w:t>
                  </w:r>
                </w:p>
              </w:tc>
              <w:tc>
                <w:tcPr>
                  <w:tcW w:w="1133" w:type="dxa"/>
                  <w:vAlign w:val="center"/>
                </w:tcPr>
                <w:p>
                  <w:pPr>
                    <w:pStyle w:val="63"/>
                  </w:pPr>
                  <w:r>
                    <w:rPr>
                      <w:rFonts w:hint="eastAsia"/>
                    </w:rPr>
                    <w:t>配药间</w:t>
                  </w:r>
                </w:p>
              </w:tc>
              <w:tc>
                <w:tcPr>
                  <w:tcW w:w="1130" w:type="dxa"/>
                  <w:vMerge w:val="restart"/>
                  <w:vAlign w:val="center"/>
                </w:tcPr>
                <w:p>
                  <w:pPr>
                    <w:pStyle w:val="63"/>
                  </w:pPr>
                  <w:r>
                    <w:rPr>
                      <w:rFonts w:hint="eastAsia"/>
                    </w:rPr>
                    <w:t>混凝剂、污泥脱水调理剂，外购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7" w:type="dxa"/>
                  <w:vMerge w:val="continue"/>
                  <w:vAlign w:val="center"/>
                </w:tcPr>
                <w:p>
                  <w:pPr>
                    <w:pStyle w:val="63"/>
                  </w:pPr>
                </w:p>
              </w:tc>
              <w:tc>
                <w:tcPr>
                  <w:tcW w:w="1005" w:type="dxa"/>
                  <w:vAlign w:val="center"/>
                </w:tcPr>
                <w:p>
                  <w:pPr>
                    <w:pStyle w:val="63"/>
                  </w:pPr>
                  <w:r>
                    <w:t>PAM</w:t>
                  </w:r>
                </w:p>
              </w:tc>
              <w:tc>
                <w:tcPr>
                  <w:tcW w:w="1257" w:type="dxa"/>
                  <w:vAlign w:val="center"/>
                </w:tcPr>
                <w:p>
                  <w:pPr>
                    <w:pStyle w:val="63"/>
                  </w:pPr>
                  <w:r>
                    <w:rPr>
                      <w:rFonts w:hint="eastAsia"/>
                    </w:rPr>
                    <w:t>21 t/a</w:t>
                  </w:r>
                </w:p>
              </w:tc>
              <w:tc>
                <w:tcPr>
                  <w:tcW w:w="1549" w:type="dxa"/>
                  <w:vAlign w:val="center"/>
                </w:tcPr>
                <w:p>
                  <w:pPr>
                    <w:pStyle w:val="63"/>
                  </w:pPr>
                  <w:r>
                    <w:rPr>
                      <w:rFonts w:hint="eastAsia"/>
                    </w:rPr>
                    <w:t>5 t</w:t>
                  </w:r>
                </w:p>
              </w:tc>
              <w:tc>
                <w:tcPr>
                  <w:tcW w:w="984" w:type="dxa"/>
                  <w:vAlign w:val="center"/>
                </w:tcPr>
                <w:p>
                  <w:pPr>
                    <w:pStyle w:val="63"/>
                  </w:pPr>
                  <w:r>
                    <w:rPr>
                      <w:rFonts w:hint="eastAsia"/>
                    </w:rPr>
                    <w:t>2</w:t>
                  </w:r>
                  <w:r>
                    <w:t>5</w:t>
                  </w:r>
                  <w:r>
                    <w:rPr>
                      <w:rFonts w:hint="eastAsia"/>
                    </w:rPr>
                    <w:t>kg</w:t>
                  </w:r>
                  <w:r>
                    <w:t>/</w:t>
                  </w:r>
                  <w:r>
                    <w:rPr>
                      <w:rFonts w:hint="eastAsia"/>
                    </w:rPr>
                    <w:t>袋</w:t>
                  </w:r>
                </w:p>
              </w:tc>
              <w:tc>
                <w:tcPr>
                  <w:tcW w:w="1133" w:type="dxa"/>
                  <w:vAlign w:val="center"/>
                </w:tcPr>
                <w:p>
                  <w:pPr>
                    <w:pStyle w:val="63"/>
                  </w:pPr>
                  <w:r>
                    <w:rPr>
                      <w:rFonts w:hint="eastAsia"/>
                    </w:rPr>
                    <w:t>配药间</w:t>
                  </w:r>
                </w:p>
              </w:tc>
              <w:tc>
                <w:tcPr>
                  <w:tcW w:w="1130"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7" w:type="dxa"/>
                  <w:vMerge w:val="continue"/>
                  <w:vAlign w:val="center"/>
                </w:tcPr>
                <w:p>
                  <w:pPr>
                    <w:pStyle w:val="63"/>
                  </w:pPr>
                </w:p>
              </w:tc>
              <w:tc>
                <w:tcPr>
                  <w:tcW w:w="1005" w:type="dxa"/>
                  <w:vAlign w:val="center"/>
                </w:tcPr>
                <w:p>
                  <w:pPr>
                    <w:pStyle w:val="63"/>
                  </w:pPr>
                  <w:r>
                    <w:rPr>
                      <w:rFonts w:hint="eastAsia"/>
                    </w:rPr>
                    <w:t>机油</w:t>
                  </w:r>
                </w:p>
              </w:tc>
              <w:tc>
                <w:tcPr>
                  <w:tcW w:w="1257" w:type="dxa"/>
                  <w:vAlign w:val="center"/>
                </w:tcPr>
                <w:p>
                  <w:pPr>
                    <w:pStyle w:val="63"/>
                  </w:pPr>
                  <w:r>
                    <w:rPr>
                      <w:rFonts w:hint="eastAsia"/>
                    </w:rPr>
                    <w:t>0.3 t/a</w:t>
                  </w:r>
                </w:p>
              </w:tc>
              <w:tc>
                <w:tcPr>
                  <w:tcW w:w="1549" w:type="dxa"/>
                  <w:vAlign w:val="center"/>
                </w:tcPr>
                <w:p>
                  <w:pPr>
                    <w:pStyle w:val="63"/>
                  </w:pPr>
                  <w:r>
                    <w:rPr>
                      <w:rFonts w:hint="eastAsia"/>
                    </w:rPr>
                    <w:t>0.3t</w:t>
                  </w:r>
                </w:p>
              </w:tc>
              <w:tc>
                <w:tcPr>
                  <w:tcW w:w="984" w:type="dxa"/>
                  <w:vAlign w:val="center"/>
                </w:tcPr>
                <w:p>
                  <w:pPr>
                    <w:pStyle w:val="63"/>
                  </w:pPr>
                  <w:r>
                    <w:rPr>
                      <w:rFonts w:hint="eastAsia"/>
                    </w:rPr>
                    <w:t>-</w:t>
                  </w:r>
                </w:p>
              </w:tc>
              <w:tc>
                <w:tcPr>
                  <w:tcW w:w="1133" w:type="dxa"/>
                  <w:vAlign w:val="center"/>
                </w:tcPr>
                <w:p>
                  <w:pPr>
                    <w:pStyle w:val="63"/>
                  </w:pPr>
                  <w:r>
                    <w:rPr>
                      <w:rFonts w:hint="eastAsia"/>
                    </w:rPr>
                    <w:t>维修车间</w:t>
                  </w:r>
                </w:p>
              </w:tc>
              <w:tc>
                <w:tcPr>
                  <w:tcW w:w="1130" w:type="dxa"/>
                  <w:vAlign w:val="center"/>
                </w:tcPr>
                <w:p>
                  <w:pPr>
                    <w:pStyle w:val="63"/>
                  </w:pPr>
                  <w:r>
                    <w:rPr>
                      <w:rFonts w:hint="eastAsia"/>
                    </w:rPr>
                    <w:t>外购，设备维修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7" w:type="dxa"/>
                  <w:vMerge w:val="continue"/>
                  <w:vAlign w:val="center"/>
                </w:tcPr>
                <w:p>
                  <w:pPr>
                    <w:pStyle w:val="63"/>
                  </w:pPr>
                </w:p>
              </w:tc>
              <w:tc>
                <w:tcPr>
                  <w:tcW w:w="1005" w:type="dxa"/>
                  <w:vAlign w:val="center"/>
                </w:tcPr>
                <w:p>
                  <w:pPr>
                    <w:pStyle w:val="63"/>
                  </w:pPr>
                  <w:r>
                    <w:rPr>
                      <w:rFonts w:hint="eastAsia"/>
                    </w:rPr>
                    <w:t>柴油</w:t>
                  </w:r>
                </w:p>
              </w:tc>
              <w:tc>
                <w:tcPr>
                  <w:tcW w:w="1257" w:type="dxa"/>
                  <w:vAlign w:val="center"/>
                </w:tcPr>
                <w:p>
                  <w:pPr>
                    <w:pStyle w:val="63"/>
                  </w:pPr>
                  <w:r>
                    <w:rPr>
                      <w:rFonts w:hint="eastAsia"/>
                    </w:rPr>
                    <w:t>0.85t/a</w:t>
                  </w:r>
                </w:p>
              </w:tc>
              <w:tc>
                <w:tcPr>
                  <w:tcW w:w="1549" w:type="dxa"/>
                  <w:vAlign w:val="center"/>
                </w:tcPr>
                <w:p>
                  <w:pPr>
                    <w:pStyle w:val="63"/>
                  </w:pPr>
                  <w:r>
                    <w:rPr>
                      <w:rFonts w:hint="eastAsia"/>
                    </w:rPr>
                    <w:t>0.85t/a</w:t>
                  </w:r>
                </w:p>
              </w:tc>
              <w:tc>
                <w:tcPr>
                  <w:tcW w:w="984" w:type="dxa"/>
                  <w:vAlign w:val="center"/>
                </w:tcPr>
                <w:p>
                  <w:pPr>
                    <w:pStyle w:val="63"/>
                  </w:pPr>
                  <w:r>
                    <w:rPr>
                      <w:rFonts w:hint="eastAsia"/>
                    </w:rPr>
                    <w:t>-</w:t>
                  </w:r>
                </w:p>
              </w:tc>
              <w:tc>
                <w:tcPr>
                  <w:tcW w:w="1133" w:type="dxa"/>
                  <w:vAlign w:val="center"/>
                </w:tcPr>
                <w:p>
                  <w:pPr>
                    <w:pStyle w:val="63"/>
                  </w:pPr>
                  <w:r>
                    <w:rPr>
                      <w:rFonts w:hint="eastAsia"/>
                    </w:rPr>
                    <w:t>发电车间</w:t>
                  </w:r>
                </w:p>
              </w:tc>
              <w:tc>
                <w:tcPr>
                  <w:tcW w:w="1130" w:type="dxa"/>
                  <w:vAlign w:val="center"/>
                </w:tcPr>
                <w:p>
                  <w:pPr>
                    <w:pStyle w:val="63"/>
                  </w:pPr>
                  <w:r>
                    <w:rPr>
                      <w:rFonts w:hint="eastAsia"/>
                    </w:rPr>
                    <w:t>外购，应急发电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7" w:type="dxa"/>
                  <w:vMerge w:val="continue"/>
                  <w:vAlign w:val="center"/>
                </w:tcPr>
                <w:p>
                  <w:pPr>
                    <w:pStyle w:val="63"/>
                  </w:pPr>
                </w:p>
              </w:tc>
              <w:tc>
                <w:tcPr>
                  <w:tcW w:w="1005" w:type="dxa"/>
                  <w:vAlign w:val="center"/>
                </w:tcPr>
                <w:p>
                  <w:pPr>
                    <w:pStyle w:val="63"/>
                  </w:pPr>
                  <w:r>
                    <w:rPr>
                      <w:rFonts w:hint="eastAsia"/>
                    </w:rPr>
                    <w:t>30%硫酸</w:t>
                  </w:r>
                </w:p>
              </w:tc>
              <w:tc>
                <w:tcPr>
                  <w:tcW w:w="1257" w:type="dxa"/>
                  <w:vAlign w:val="center"/>
                </w:tcPr>
                <w:p>
                  <w:pPr>
                    <w:pStyle w:val="63"/>
                  </w:pPr>
                  <w:r>
                    <w:rPr>
                      <w:rFonts w:hint="eastAsia"/>
                    </w:rPr>
                    <w:t>0.6 t/a</w:t>
                  </w:r>
                </w:p>
              </w:tc>
              <w:tc>
                <w:tcPr>
                  <w:tcW w:w="1549" w:type="dxa"/>
                  <w:vAlign w:val="center"/>
                </w:tcPr>
                <w:p>
                  <w:pPr>
                    <w:pStyle w:val="63"/>
                  </w:pPr>
                  <w:r>
                    <w:rPr>
                      <w:rFonts w:hint="eastAsia"/>
                    </w:rPr>
                    <w:t>0.6t</w:t>
                  </w:r>
                </w:p>
              </w:tc>
              <w:tc>
                <w:tcPr>
                  <w:tcW w:w="984" w:type="dxa"/>
                  <w:vAlign w:val="center"/>
                </w:tcPr>
                <w:p>
                  <w:pPr>
                    <w:pStyle w:val="63"/>
                  </w:pPr>
                  <w:r>
                    <w:rPr>
                      <w:rFonts w:hint="eastAsia"/>
                    </w:rPr>
                    <w:t>液体，专用储罐贮存</w:t>
                  </w:r>
                </w:p>
              </w:tc>
              <w:tc>
                <w:tcPr>
                  <w:tcW w:w="1133" w:type="dxa"/>
                  <w:vAlign w:val="center"/>
                </w:tcPr>
                <w:p>
                  <w:pPr>
                    <w:pStyle w:val="63"/>
                  </w:pPr>
                  <w:r>
                    <w:rPr>
                      <w:rFonts w:hint="eastAsia"/>
                    </w:rPr>
                    <w:t>配药间</w:t>
                  </w:r>
                </w:p>
              </w:tc>
              <w:tc>
                <w:tcPr>
                  <w:tcW w:w="1130" w:type="dxa"/>
                  <w:vMerge w:val="restart"/>
                  <w:vAlign w:val="center"/>
                </w:tcPr>
                <w:p>
                  <w:pPr>
                    <w:pStyle w:val="63"/>
                  </w:pPr>
                  <w:r>
                    <w:rPr>
                      <w:rFonts w:hint="eastAsia"/>
                    </w:rPr>
                    <w:t>Feton应急池使用，外购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7" w:type="dxa"/>
                  <w:vMerge w:val="continue"/>
                  <w:vAlign w:val="center"/>
                </w:tcPr>
                <w:p>
                  <w:pPr>
                    <w:pStyle w:val="63"/>
                  </w:pPr>
                </w:p>
              </w:tc>
              <w:tc>
                <w:tcPr>
                  <w:tcW w:w="1005" w:type="dxa"/>
                  <w:vAlign w:val="center"/>
                </w:tcPr>
                <w:p>
                  <w:pPr>
                    <w:pStyle w:val="63"/>
                  </w:pPr>
                  <w:r>
                    <w:rPr>
                      <w:rFonts w:hint="eastAsia"/>
                    </w:rPr>
                    <w:t>NaOH</w:t>
                  </w:r>
                </w:p>
              </w:tc>
              <w:tc>
                <w:tcPr>
                  <w:tcW w:w="1257" w:type="dxa"/>
                  <w:vAlign w:val="center"/>
                </w:tcPr>
                <w:p>
                  <w:pPr>
                    <w:pStyle w:val="63"/>
                  </w:pPr>
                  <w:r>
                    <w:rPr>
                      <w:rFonts w:hint="eastAsia"/>
                    </w:rPr>
                    <w:t>0.13 t/a</w:t>
                  </w:r>
                </w:p>
              </w:tc>
              <w:tc>
                <w:tcPr>
                  <w:tcW w:w="1549" w:type="dxa"/>
                  <w:vAlign w:val="center"/>
                </w:tcPr>
                <w:p>
                  <w:pPr>
                    <w:pStyle w:val="63"/>
                  </w:pPr>
                  <w:r>
                    <w:rPr>
                      <w:rFonts w:hint="eastAsia"/>
                    </w:rPr>
                    <w:t>0.13t</w:t>
                  </w:r>
                </w:p>
              </w:tc>
              <w:tc>
                <w:tcPr>
                  <w:tcW w:w="984" w:type="dxa"/>
                  <w:vAlign w:val="center"/>
                </w:tcPr>
                <w:p>
                  <w:pPr>
                    <w:pStyle w:val="63"/>
                  </w:pPr>
                  <w:r>
                    <w:rPr>
                      <w:rFonts w:hint="eastAsia"/>
                    </w:rPr>
                    <w:t>2</w:t>
                  </w:r>
                  <w:r>
                    <w:t>5</w:t>
                  </w:r>
                  <w:r>
                    <w:rPr>
                      <w:rFonts w:hint="eastAsia"/>
                    </w:rPr>
                    <w:t>kg</w:t>
                  </w:r>
                  <w:r>
                    <w:t>/</w:t>
                  </w:r>
                  <w:r>
                    <w:rPr>
                      <w:rFonts w:hint="eastAsia"/>
                    </w:rPr>
                    <w:t>袋</w:t>
                  </w:r>
                </w:p>
              </w:tc>
              <w:tc>
                <w:tcPr>
                  <w:tcW w:w="1133" w:type="dxa"/>
                  <w:vAlign w:val="center"/>
                </w:tcPr>
                <w:p>
                  <w:pPr>
                    <w:pStyle w:val="63"/>
                  </w:pPr>
                  <w:r>
                    <w:rPr>
                      <w:rFonts w:hint="eastAsia"/>
                    </w:rPr>
                    <w:t>配药间</w:t>
                  </w:r>
                </w:p>
              </w:tc>
              <w:tc>
                <w:tcPr>
                  <w:tcW w:w="1130"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7" w:type="dxa"/>
                  <w:vMerge w:val="continue"/>
                  <w:vAlign w:val="center"/>
                </w:tcPr>
                <w:p>
                  <w:pPr>
                    <w:pStyle w:val="63"/>
                  </w:pPr>
                </w:p>
              </w:tc>
              <w:tc>
                <w:tcPr>
                  <w:tcW w:w="1005" w:type="dxa"/>
                  <w:vAlign w:val="center"/>
                </w:tcPr>
                <w:p>
                  <w:pPr>
                    <w:pStyle w:val="63"/>
                  </w:pPr>
                  <w:r>
                    <w:rPr>
                      <w:rFonts w:hint="eastAsia"/>
                    </w:rPr>
                    <w:t>FeSO</w:t>
                  </w:r>
                  <w:r>
                    <w:rPr>
                      <w:rFonts w:hint="eastAsia"/>
                      <w:vertAlign w:val="subscript"/>
                    </w:rPr>
                    <w:t>4</w:t>
                  </w:r>
                </w:p>
              </w:tc>
              <w:tc>
                <w:tcPr>
                  <w:tcW w:w="1257" w:type="dxa"/>
                  <w:vAlign w:val="center"/>
                </w:tcPr>
                <w:p>
                  <w:pPr>
                    <w:pStyle w:val="63"/>
                  </w:pPr>
                  <w:r>
                    <w:rPr>
                      <w:rFonts w:hint="eastAsia"/>
                    </w:rPr>
                    <w:t>15 t/a</w:t>
                  </w:r>
                </w:p>
              </w:tc>
              <w:tc>
                <w:tcPr>
                  <w:tcW w:w="1549" w:type="dxa"/>
                  <w:vAlign w:val="center"/>
                </w:tcPr>
                <w:p>
                  <w:pPr>
                    <w:pStyle w:val="63"/>
                  </w:pPr>
                  <w:r>
                    <w:rPr>
                      <w:rFonts w:hint="eastAsia"/>
                    </w:rPr>
                    <w:t>2t</w:t>
                  </w:r>
                </w:p>
              </w:tc>
              <w:tc>
                <w:tcPr>
                  <w:tcW w:w="984" w:type="dxa"/>
                  <w:vAlign w:val="center"/>
                </w:tcPr>
                <w:p>
                  <w:pPr>
                    <w:pStyle w:val="63"/>
                  </w:pPr>
                  <w:r>
                    <w:rPr>
                      <w:rFonts w:hint="eastAsia"/>
                    </w:rPr>
                    <w:t>50kg</w:t>
                  </w:r>
                  <w:r>
                    <w:t>/</w:t>
                  </w:r>
                  <w:r>
                    <w:rPr>
                      <w:rFonts w:hint="eastAsia"/>
                    </w:rPr>
                    <w:t>袋</w:t>
                  </w:r>
                </w:p>
              </w:tc>
              <w:tc>
                <w:tcPr>
                  <w:tcW w:w="1133" w:type="dxa"/>
                  <w:vAlign w:val="center"/>
                </w:tcPr>
                <w:p>
                  <w:pPr>
                    <w:pStyle w:val="63"/>
                  </w:pPr>
                  <w:r>
                    <w:rPr>
                      <w:rFonts w:hint="eastAsia"/>
                    </w:rPr>
                    <w:t>配药间</w:t>
                  </w:r>
                </w:p>
              </w:tc>
              <w:tc>
                <w:tcPr>
                  <w:tcW w:w="1130"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7" w:type="dxa"/>
                  <w:vMerge w:val="continue"/>
                  <w:vAlign w:val="center"/>
                </w:tcPr>
                <w:p>
                  <w:pPr>
                    <w:pStyle w:val="63"/>
                  </w:pPr>
                </w:p>
              </w:tc>
              <w:tc>
                <w:tcPr>
                  <w:tcW w:w="1005" w:type="dxa"/>
                  <w:vAlign w:val="center"/>
                </w:tcPr>
                <w:p>
                  <w:pPr>
                    <w:pStyle w:val="63"/>
                  </w:pPr>
                  <w:r>
                    <w:rPr>
                      <w:rFonts w:hint="eastAsia"/>
                    </w:rPr>
                    <w:t>双氧水</w:t>
                  </w:r>
                </w:p>
              </w:tc>
              <w:tc>
                <w:tcPr>
                  <w:tcW w:w="1257" w:type="dxa"/>
                  <w:vAlign w:val="center"/>
                </w:tcPr>
                <w:p>
                  <w:pPr>
                    <w:pStyle w:val="63"/>
                  </w:pPr>
                  <w:r>
                    <w:rPr>
                      <w:rFonts w:hint="eastAsia"/>
                    </w:rPr>
                    <w:t>8 t/a</w:t>
                  </w:r>
                </w:p>
              </w:tc>
              <w:tc>
                <w:tcPr>
                  <w:tcW w:w="1549" w:type="dxa"/>
                  <w:vAlign w:val="center"/>
                </w:tcPr>
                <w:p>
                  <w:pPr>
                    <w:pStyle w:val="63"/>
                  </w:pPr>
                  <w:r>
                    <w:rPr>
                      <w:rFonts w:hint="eastAsia"/>
                    </w:rPr>
                    <w:t>8t</w:t>
                  </w:r>
                </w:p>
              </w:tc>
              <w:tc>
                <w:tcPr>
                  <w:tcW w:w="984" w:type="dxa"/>
                  <w:vAlign w:val="center"/>
                </w:tcPr>
                <w:p>
                  <w:pPr>
                    <w:pStyle w:val="63"/>
                  </w:pPr>
                  <w:r>
                    <w:rPr>
                      <w:rFonts w:hint="eastAsia"/>
                    </w:rPr>
                    <w:t>液体，专用储罐贮存</w:t>
                  </w:r>
                </w:p>
              </w:tc>
              <w:tc>
                <w:tcPr>
                  <w:tcW w:w="1133" w:type="dxa"/>
                  <w:vAlign w:val="center"/>
                </w:tcPr>
                <w:p>
                  <w:pPr>
                    <w:pStyle w:val="63"/>
                  </w:pPr>
                  <w:r>
                    <w:rPr>
                      <w:rFonts w:hint="eastAsia"/>
                    </w:rPr>
                    <w:t>配药间</w:t>
                  </w:r>
                </w:p>
              </w:tc>
              <w:tc>
                <w:tcPr>
                  <w:tcW w:w="1130"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7" w:type="dxa"/>
                  <w:vMerge w:val="restart"/>
                  <w:vAlign w:val="center"/>
                </w:tcPr>
                <w:p>
                  <w:pPr>
                    <w:pStyle w:val="63"/>
                  </w:pPr>
                  <w:r>
                    <w:rPr>
                      <w:rFonts w:hint="eastAsia"/>
                    </w:rPr>
                    <w:t>化验室</w:t>
                  </w:r>
                </w:p>
              </w:tc>
              <w:tc>
                <w:tcPr>
                  <w:tcW w:w="1005" w:type="dxa"/>
                  <w:vAlign w:val="center"/>
                </w:tcPr>
                <w:p>
                  <w:pPr>
                    <w:pStyle w:val="63"/>
                  </w:pPr>
                  <w:r>
                    <w:rPr>
                      <w:rFonts w:hint="eastAsia"/>
                    </w:rPr>
                    <w:t>葡萄糖</w:t>
                  </w:r>
                </w:p>
              </w:tc>
              <w:tc>
                <w:tcPr>
                  <w:tcW w:w="1257" w:type="dxa"/>
                  <w:vAlign w:val="center"/>
                </w:tcPr>
                <w:p>
                  <w:pPr>
                    <w:pStyle w:val="63"/>
                  </w:pPr>
                  <w:r>
                    <w:rPr>
                      <w:rFonts w:hint="eastAsia"/>
                    </w:rPr>
                    <w:t>500g固体</w:t>
                  </w:r>
                </w:p>
              </w:tc>
              <w:tc>
                <w:tcPr>
                  <w:tcW w:w="1549" w:type="dxa"/>
                  <w:vAlign w:val="center"/>
                </w:tcPr>
                <w:p>
                  <w:pPr>
                    <w:pStyle w:val="63"/>
                  </w:pPr>
                  <w:r>
                    <w:rPr>
                      <w:rFonts w:hint="eastAsia"/>
                    </w:rPr>
                    <w:t>500g</w:t>
                  </w:r>
                </w:p>
              </w:tc>
              <w:tc>
                <w:tcPr>
                  <w:tcW w:w="984" w:type="dxa"/>
                  <w:vAlign w:val="center"/>
                </w:tcPr>
                <w:p>
                  <w:pPr>
                    <w:pStyle w:val="63"/>
                  </w:pPr>
                  <w:r>
                    <w:rPr>
                      <w:rFonts w:hint="eastAsia"/>
                    </w:rPr>
                    <w:t>500g/瓶</w:t>
                  </w:r>
                </w:p>
              </w:tc>
              <w:tc>
                <w:tcPr>
                  <w:tcW w:w="1133" w:type="dxa"/>
                  <w:vAlign w:val="center"/>
                </w:tcPr>
                <w:p>
                  <w:pPr>
                    <w:pStyle w:val="63"/>
                  </w:pPr>
                  <w:r>
                    <w:rPr>
                      <w:rFonts w:hint="eastAsia"/>
                    </w:rPr>
                    <w:t>化验室药品柜</w:t>
                  </w:r>
                </w:p>
              </w:tc>
              <w:tc>
                <w:tcPr>
                  <w:tcW w:w="1130" w:type="dxa"/>
                  <w:vAlign w:val="center"/>
                </w:tcPr>
                <w:p>
                  <w:pPr>
                    <w:pStyle w:val="63"/>
                  </w:pPr>
                  <w:r>
                    <w:rPr>
                      <w:rFonts w:hint="eastAsi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7" w:type="dxa"/>
                  <w:vMerge w:val="continue"/>
                  <w:vAlign w:val="center"/>
                </w:tcPr>
                <w:p>
                  <w:pPr>
                    <w:pStyle w:val="63"/>
                  </w:pPr>
                </w:p>
              </w:tc>
              <w:tc>
                <w:tcPr>
                  <w:tcW w:w="1005" w:type="dxa"/>
                  <w:vAlign w:val="center"/>
                </w:tcPr>
                <w:p>
                  <w:pPr>
                    <w:pStyle w:val="63"/>
                  </w:pPr>
                  <w:r>
                    <w:rPr>
                      <w:rFonts w:hint="eastAsia"/>
                    </w:rPr>
                    <w:t>谷氨酸</w:t>
                  </w:r>
                </w:p>
              </w:tc>
              <w:tc>
                <w:tcPr>
                  <w:tcW w:w="1257" w:type="dxa"/>
                  <w:vAlign w:val="center"/>
                </w:tcPr>
                <w:p>
                  <w:pPr>
                    <w:pStyle w:val="63"/>
                  </w:pPr>
                  <w:r>
                    <w:rPr>
                      <w:rFonts w:hint="eastAsia"/>
                    </w:rPr>
                    <w:t>500g固体</w:t>
                  </w:r>
                </w:p>
              </w:tc>
              <w:tc>
                <w:tcPr>
                  <w:tcW w:w="1549" w:type="dxa"/>
                  <w:vAlign w:val="center"/>
                </w:tcPr>
                <w:p>
                  <w:pPr>
                    <w:pStyle w:val="63"/>
                  </w:pPr>
                  <w:r>
                    <w:rPr>
                      <w:rFonts w:hint="eastAsia"/>
                    </w:rPr>
                    <w:t>500g</w:t>
                  </w:r>
                </w:p>
              </w:tc>
              <w:tc>
                <w:tcPr>
                  <w:tcW w:w="984" w:type="dxa"/>
                  <w:vAlign w:val="center"/>
                </w:tcPr>
                <w:p>
                  <w:pPr>
                    <w:pStyle w:val="63"/>
                  </w:pPr>
                  <w:r>
                    <w:rPr>
                      <w:rFonts w:hint="eastAsia"/>
                    </w:rPr>
                    <w:t>500g/瓶</w:t>
                  </w:r>
                </w:p>
              </w:tc>
              <w:tc>
                <w:tcPr>
                  <w:tcW w:w="1133" w:type="dxa"/>
                  <w:vAlign w:val="center"/>
                </w:tcPr>
                <w:p>
                  <w:pPr>
                    <w:pStyle w:val="63"/>
                  </w:pPr>
                  <w:r>
                    <w:rPr>
                      <w:rFonts w:hint="eastAsia"/>
                    </w:rPr>
                    <w:t>化验室药品柜</w:t>
                  </w:r>
                </w:p>
              </w:tc>
              <w:tc>
                <w:tcPr>
                  <w:tcW w:w="1130" w:type="dxa"/>
                  <w:vAlign w:val="center"/>
                </w:tcPr>
                <w:p>
                  <w:pPr>
                    <w:pStyle w:val="63"/>
                  </w:pPr>
                  <w:r>
                    <w:rPr>
                      <w:rFonts w:hint="eastAsia"/>
                    </w:rPr>
                    <w:t>外购</w:t>
                  </w:r>
                </w:p>
              </w:tc>
            </w:tr>
          </w:tbl>
          <w:p/>
          <w:p>
            <w:pPr>
              <w:pStyle w:val="5"/>
              <w:ind w:firstLine="480"/>
            </w:pPr>
            <w:r>
              <w:rPr>
                <w:rFonts w:hint="eastAsia"/>
              </w:rPr>
              <w:t>原辅材料物理化学性质见</w:t>
            </w:r>
            <w:r>
              <w:fldChar w:fldCharType="begin"/>
            </w:r>
            <w:r>
              <w:instrText xml:space="preserve"> </w:instrText>
            </w:r>
            <w:r>
              <w:rPr>
                <w:rFonts w:hint="eastAsia"/>
              </w:rPr>
              <w:instrText xml:space="preserve">REF _Ref143070722 \h</w:instrText>
            </w:r>
            <w:r>
              <w:instrText xml:space="preserve"> </w:instrText>
            </w:r>
            <w:r>
              <w:fldChar w:fldCharType="separate"/>
            </w:r>
            <w:r>
              <w:rPr>
                <w:rFonts w:hint="eastAsia"/>
              </w:rPr>
              <w:t xml:space="preserve">表 </w:t>
            </w:r>
            <w:r>
              <w:t>2.5</w:t>
            </w:r>
            <w:r>
              <w:noBreakHyphen/>
            </w:r>
            <w:r>
              <w:t>7</w:t>
            </w:r>
            <w:r>
              <w:fldChar w:fldCharType="end"/>
            </w:r>
            <w:r>
              <w:rPr>
                <w:rFonts w:hint="eastAsia"/>
              </w:rPr>
              <w:t>。</w:t>
            </w:r>
          </w:p>
          <w:p>
            <w:pPr>
              <w:pStyle w:val="14"/>
              <w:keepNext/>
            </w:pPr>
            <w:bookmarkStart w:id="22" w:name="_Ref143070722"/>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7</w:t>
            </w:r>
            <w:r>
              <w:fldChar w:fldCharType="end"/>
            </w:r>
            <w:bookmarkEnd w:id="22"/>
            <w:r>
              <w:t xml:space="preserve">   </w:t>
            </w:r>
            <w:r>
              <w:rPr>
                <w:rFonts w:hint="eastAsia"/>
              </w:rPr>
              <w:t>原辅材料物理化学性质</w:t>
            </w:r>
          </w:p>
          <w:tbl>
            <w:tblPr>
              <w:tblStyle w:val="39"/>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878"/>
              <w:gridCol w:w="6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42" w:type="dxa"/>
                  <w:vAlign w:val="center"/>
                </w:tcPr>
                <w:p>
                  <w:pPr>
                    <w:pStyle w:val="63"/>
                  </w:pPr>
                  <w:r>
                    <w:rPr>
                      <w:rFonts w:hint="eastAsia"/>
                    </w:rPr>
                    <w:t>名称</w:t>
                  </w:r>
                </w:p>
              </w:tc>
              <w:tc>
                <w:tcPr>
                  <w:tcW w:w="878" w:type="dxa"/>
                  <w:vAlign w:val="center"/>
                </w:tcPr>
                <w:p>
                  <w:pPr>
                    <w:pStyle w:val="63"/>
                  </w:pPr>
                  <w:r>
                    <w:rPr>
                      <w:rFonts w:hint="eastAsia"/>
                    </w:rPr>
                    <w:t>C</w:t>
                  </w:r>
                  <w:r>
                    <w:t>AS</w:t>
                  </w:r>
                </w:p>
              </w:tc>
              <w:tc>
                <w:tcPr>
                  <w:tcW w:w="6215" w:type="dxa"/>
                  <w:vAlign w:val="center"/>
                </w:tcPr>
                <w:p>
                  <w:pPr>
                    <w:pStyle w:val="63"/>
                  </w:pPr>
                  <w:r>
                    <w:rPr>
                      <w:rFonts w:hint="eastAsia"/>
                    </w:rPr>
                    <w:t>物理化学性质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5" w:type="dxa"/>
                  <w:gridSpan w:val="3"/>
                  <w:vAlign w:val="center"/>
                </w:tcPr>
                <w:p>
                  <w:pPr>
                    <w:pStyle w:val="63"/>
                    <w:rPr>
                      <w:b/>
                      <w:bCs/>
                    </w:rPr>
                  </w:pPr>
                  <w:r>
                    <w:rPr>
                      <w:rFonts w:hint="eastAsia"/>
                      <w:b/>
                      <w:bCs/>
                    </w:rPr>
                    <w:t>一、水处理工序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Align w:val="center"/>
                </w:tcPr>
                <w:p>
                  <w:pPr>
                    <w:pStyle w:val="63"/>
                  </w:pPr>
                  <w:r>
                    <w:rPr>
                      <w:rFonts w:hint="eastAsia"/>
                    </w:rPr>
                    <w:t>P</w:t>
                  </w:r>
                  <w:r>
                    <w:t>AC</w:t>
                  </w:r>
                </w:p>
              </w:tc>
              <w:tc>
                <w:tcPr>
                  <w:tcW w:w="878" w:type="dxa"/>
                  <w:vAlign w:val="center"/>
                </w:tcPr>
                <w:p>
                  <w:pPr>
                    <w:pStyle w:val="63"/>
                  </w:pPr>
                  <w:r>
                    <w:t>1327-41-9</w:t>
                  </w:r>
                </w:p>
              </w:tc>
              <w:tc>
                <w:tcPr>
                  <w:tcW w:w="6215" w:type="dxa"/>
                  <w:vAlign w:val="center"/>
                </w:tcPr>
                <w:p>
                  <w:pPr>
                    <w:pStyle w:val="63"/>
                  </w:pPr>
                  <w:r>
                    <w:rPr>
                      <w:rFonts w:hint="eastAsia"/>
                    </w:rPr>
                    <w:t xml:space="preserve">聚合氯化铝，固体颗粒，沸点75 </w:t>
                  </w:r>
                  <w:r>
                    <w:t>–</w:t>
                  </w:r>
                  <w:r>
                    <w:rPr>
                      <w:rFonts w:hint="eastAsia"/>
                    </w:rPr>
                    <w:t xml:space="preserve"> 175℃，相对密度(水以1计) 1.36 g/cm³，水溶性&gt; 1000g /L。GHS危险性类别：金属腐蚀物 类别 1，严重眼损伤 / 眼刺激 类别 1，用水雾、干粉、泡沫或二氧化碳灭火剂灭火。生态毒性：鱼类急性毒性试验:LC</w:t>
                  </w:r>
                  <w:r>
                    <w:rPr>
                      <w:rFonts w:hint="eastAsia"/>
                      <w:vertAlign w:val="subscript"/>
                    </w:rPr>
                    <w:t>50</w:t>
                  </w:r>
                  <w:r>
                    <w:rPr>
                      <w:rFonts w:hint="eastAsia"/>
                    </w:rPr>
                    <w:t xml:space="preserve"> </w:t>
                  </w:r>
                  <w:r>
                    <w:t>=</w:t>
                  </w:r>
                  <w:r>
                    <w:rPr>
                      <w:rFonts w:hint="eastAsia"/>
                    </w:rPr>
                    <w:t xml:space="preserve"> 85.9 mg/L - 96 h. 藻类生长抑制试验: EC</w:t>
                  </w:r>
                  <w:r>
                    <w:rPr>
                      <w:rFonts w:hint="eastAsia"/>
                      <w:vertAlign w:val="subscript"/>
                    </w:rPr>
                    <w:t>50</w:t>
                  </w:r>
                  <w:r>
                    <w:t>=</w:t>
                  </w:r>
                  <w:r>
                    <w:rPr>
                      <w:rFonts w:hint="eastAsia"/>
                    </w:rPr>
                    <w:t>14 mg/L - 72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Align w:val="center"/>
                </w:tcPr>
                <w:p>
                  <w:pPr>
                    <w:pStyle w:val="63"/>
                  </w:pPr>
                  <w:r>
                    <w:rPr>
                      <w:rFonts w:hint="eastAsia"/>
                    </w:rPr>
                    <w:t>双氧水</w:t>
                  </w:r>
                </w:p>
              </w:tc>
              <w:tc>
                <w:tcPr>
                  <w:tcW w:w="878" w:type="dxa"/>
                  <w:vAlign w:val="center"/>
                </w:tcPr>
                <w:p>
                  <w:pPr>
                    <w:pStyle w:val="63"/>
                  </w:pPr>
                  <w:r>
                    <w:t>7722-84-1</w:t>
                  </w:r>
                </w:p>
              </w:tc>
              <w:tc>
                <w:tcPr>
                  <w:tcW w:w="6215" w:type="dxa"/>
                  <w:vAlign w:val="center"/>
                </w:tcPr>
                <w:p>
                  <w:pPr>
                    <w:pStyle w:val="63"/>
                  </w:pPr>
                  <w:r>
                    <w:rPr>
                      <w:rFonts w:hint="eastAsia"/>
                    </w:rPr>
                    <w:t>液体，稳定，溶于水、醇等，不溶于苯、石油醚。禁配物易燃或可燃物、强还原剂、铜、铁、铁盐、锌、活性金属粉末。危险性类别第5.1类氧化剂。急性毒性；</w:t>
                  </w:r>
                  <w:r>
                    <w:t>LD</w:t>
                  </w:r>
                  <w:r>
                    <w:rPr>
                      <w:vertAlign w:val="subscript"/>
                    </w:rPr>
                    <w:t>50</w:t>
                  </w:r>
                  <w:r>
                    <w:t>（大鼠食入 50%H</w:t>
                  </w:r>
                  <w:r>
                    <w:rPr>
                      <w:vertAlign w:val="subscript"/>
                    </w:rPr>
                    <w:t>2</w:t>
                  </w:r>
                  <w:r>
                    <w:t>O</w:t>
                  </w:r>
                  <w:r>
                    <w:rPr>
                      <w:vertAlign w:val="subscript"/>
                    </w:rPr>
                    <w:t>2</w:t>
                  </w:r>
                  <w:r>
                    <w:t>）＞225mg/Kg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Align w:val="center"/>
                </w:tcPr>
                <w:p>
                  <w:pPr>
                    <w:pStyle w:val="63"/>
                  </w:pPr>
                  <w:r>
                    <w:t>PAM</w:t>
                  </w:r>
                </w:p>
              </w:tc>
              <w:tc>
                <w:tcPr>
                  <w:tcW w:w="878" w:type="dxa"/>
                  <w:vAlign w:val="center"/>
                </w:tcPr>
                <w:p>
                  <w:pPr>
                    <w:pStyle w:val="63"/>
                  </w:pPr>
                  <w:r>
                    <w:t>9003-05-8</w:t>
                  </w:r>
                </w:p>
              </w:tc>
              <w:tc>
                <w:tcPr>
                  <w:tcW w:w="6215" w:type="dxa"/>
                  <w:vAlign w:val="center"/>
                </w:tcPr>
                <w:p>
                  <w:pPr>
                    <w:pStyle w:val="63"/>
                  </w:pPr>
                  <w:r>
                    <w:rPr>
                      <w:rFonts w:hint="eastAsia"/>
                    </w:rPr>
                    <w:t>聚丙烯酰胺，白色粉末或者小颗粒状物，密度为1.302g/cm</w:t>
                  </w:r>
                  <w:r>
                    <w:rPr>
                      <w:rFonts w:hint="eastAsia"/>
                      <w:vertAlign w:val="superscript"/>
                    </w:rPr>
                    <w:t>3</w:t>
                  </w:r>
                  <w:r>
                    <w:rPr>
                      <w:rFonts w:hint="eastAsia"/>
                    </w:rPr>
                    <w:t>（23℃），玻璃化温度为153℃，软化温度210℃，急性毒性L</w:t>
                  </w:r>
                  <w:r>
                    <w:t>D</w:t>
                  </w:r>
                  <w:r>
                    <w:rPr>
                      <w:rFonts w:hint="eastAsia"/>
                      <w:vertAlign w:val="subscript"/>
                    </w:rPr>
                    <w:t>50</w:t>
                  </w:r>
                  <w:r>
                    <w:rPr>
                      <w:rFonts w:hint="eastAsia"/>
                    </w:rPr>
                    <w:t xml:space="preserve"> （腹腔注射 - 鼠）</w:t>
                  </w:r>
                  <w:r>
                    <w:t>=3600</w:t>
                  </w:r>
                  <w:r>
                    <w:rPr>
                      <w:rFonts w:hint="eastAsia"/>
                    </w:rPr>
                    <w:t>mg</w:t>
                  </w:r>
                  <w:r>
                    <w:t>/</w:t>
                  </w:r>
                  <w:r>
                    <w:rPr>
                      <w:rFonts w:hint="eastAsia"/>
                    </w:rPr>
                    <w:t>kg，</w:t>
                  </w:r>
                  <w:r>
                    <w:t>LD</w:t>
                  </w:r>
                  <w:r>
                    <w:rPr>
                      <w:vertAlign w:val="subscript"/>
                    </w:rPr>
                    <w:t>50</w:t>
                  </w:r>
                  <w:r>
                    <w:rPr>
                      <w:rFonts w:hint="eastAsia"/>
                    </w:rPr>
                    <w:t>（口服-鼠）=</w:t>
                  </w:r>
                  <w:r>
                    <w:t>1000</w:t>
                  </w:r>
                  <w:r>
                    <w:rPr>
                      <w:rFonts w:hint="eastAsia"/>
                    </w:rPr>
                    <w:t>m</w:t>
                  </w:r>
                  <w:r>
                    <w:t>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Align w:val="center"/>
                </w:tcPr>
                <w:p>
                  <w:pPr>
                    <w:pStyle w:val="63"/>
                  </w:pPr>
                  <w:r>
                    <w:rPr>
                      <w:rFonts w:hint="eastAsia"/>
                    </w:rPr>
                    <w:t>机油</w:t>
                  </w:r>
                </w:p>
              </w:tc>
              <w:tc>
                <w:tcPr>
                  <w:tcW w:w="878" w:type="dxa"/>
                  <w:vAlign w:val="center"/>
                </w:tcPr>
                <w:p>
                  <w:pPr>
                    <w:pStyle w:val="63"/>
                  </w:pPr>
                  <w:r>
                    <w:rPr>
                      <w:rFonts w:hint="eastAsia"/>
                    </w:rPr>
                    <w:t>-</w:t>
                  </w:r>
                </w:p>
              </w:tc>
              <w:tc>
                <w:tcPr>
                  <w:tcW w:w="6215" w:type="dxa"/>
                  <w:vAlign w:val="center"/>
                </w:tcPr>
                <w:p>
                  <w:pPr>
                    <w:pStyle w:val="63"/>
                  </w:pPr>
                  <w:r>
                    <w:rPr>
                      <w:rFonts w:hint="eastAsia"/>
                    </w:rPr>
                    <w:t>矿物油和添加剂组成的混合物，可燃烧，采用泡沫、干化学粉末、二氧化碳灭火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Align w:val="center"/>
                </w:tcPr>
                <w:p>
                  <w:pPr>
                    <w:pStyle w:val="63"/>
                  </w:pPr>
                  <w:r>
                    <w:rPr>
                      <w:rFonts w:hint="eastAsia"/>
                    </w:rPr>
                    <w:t>柴油</w:t>
                  </w:r>
                </w:p>
              </w:tc>
              <w:tc>
                <w:tcPr>
                  <w:tcW w:w="878" w:type="dxa"/>
                  <w:vAlign w:val="center"/>
                </w:tcPr>
                <w:p>
                  <w:pPr>
                    <w:pStyle w:val="63"/>
                  </w:pPr>
                  <w:r>
                    <w:rPr>
                      <w:rFonts w:hint="eastAsia"/>
                    </w:rPr>
                    <w:t>-</w:t>
                  </w:r>
                </w:p>
              </w:tc>
              <w:tc>
                <w:tcPr>
                  <w:tcW w:w="6215" w:type="dxa"/>
                  <w:vAlign w:val="center"/>
                </w:tcPr>
                <w:p>
                  <w:pPr>
                    <w:pStyle w:val="63"/>
                  </w:pPr>
                  <w:r>
                    <w:rPr>
                      <w:rFonts w:hint="eastAsia"/>
                    </w:rPr>
                    <w:t>粘性棕色液体，沸点282~338℃，闪点38℃，用作柴油机燃料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Align w:val="center"/>
                </w:tcPr>
                <w:p>
                  <w:pPr>
                    <w:pStyle w:val="63"/>
                  </w:pPr>
                  <w:r>
                    <w:rPr>
                      <w:rFonts w:hint="eastAsia"/>
                    </w:rPr>
                    <w:t>30%稀硫酸</w:t>
                  </w:r>
                </w:p>
              </w:tc>
              <w:tc>
                <w:tcPr>
                  <w:tcW w:w="878" w:type="dxa"/>
                  <w:vAlign w:val="center"/>
                </w:tcPr>
                <w:p>
                  <w:pPr>
                    <w:pStyle w:val="63"/>
                  </w:pPr>
                  <w:r>
                    <w:t>7664-93-9</w:t>
                  </w:r>
                </w:p>
              </w:tc>
              <w:tc>
                <w:tcPr>
                  <w:tcW w:w="6215" w:type="dxa"/>
                  <w:vAlign w:val="center"/>
                </w:tcPr>
                <w:p>
                  <w:pPr>
                    <w:pStyle w:val="63"/>
                  </w:pPr>
                  <w:r>
                    <w:rPr>
                      <w:rFonts w:hint="eastAsia"/>
                    </w:rPr>
                    <w:t>无色透明油状液体，熔点10.5℃，沸点330℃，相对蒸汽密度（空气=1）3.4，与水混溶，相对密度（水=1）1.83，稳定，禁配物碱类、碱金属、水、强还原剂、易燃或可燃物，LD50=2140mg/kg（大鼠经口），危险性类别第8.1类酸性腐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Align w:val="center"/>
                </w:tcPr>
                <w:p>
                  <w:pPr>
                    <w:pStyle w:val="63"/>
                  </w:pPr>
                  <w:r>
                    <w:rPr>
                      <w:rFonts w:hint="eastAsia"/>
                    </w:rPr>
                    <w:t>NaOH</w:t>
                  </w:r>
                </w:p>
              </w:tc>
              <w:tc>
                <w:tcPr>
                  <w:tcW w:w="878" w:type="dxa"/>
                  <w:vAlign w:val="center"/>
                </w:tcPr>
                <w:p>
                  <w:pPr>
                    <w:pStyle w:val="63"/>
                  </w:pPr>
                  <w:r>
                    <w:t>1310-73-2</w:t>
                  </w:r>
                </w:p>
              </w:tc>
              <w:tc>
                <w:tcPr>
                  <w:tcW w:w="6215" w:type="dxa"/>
                  <w:vAlign w:val="center"/>
                </w:tcPr>
                <w:p>
                  <w:pPr>
                    <w:pStyle w:val="63"/>
                  </w:pPr>
                  <w:r>
                    <w:rPr>
                      <w:rFonts w:hint="eastAsia"/>
                    </w:rPr>
                    <w:t>白色不透明固体，易潮解，熔点318.4℃，沸点1390℃，不燃，易溶于水、乙醇、甘油，不溶于丙酮，相对密度（水=1）2.12，禁配物强酸、易燃或可燃物、二氧化碳、过氧化物、水。危险性类别第8.2类碱性腐蚀品，有强烈刺激和腐蚀性。粉尘刺激眼和呼吸道，腐蚀鼻中隔；皮肤和眼直接接触可引起灼伤；误服可造成消化道灼伤，粘膜糜烂、出血和休克。危险类别皮肤腐蚀/刺激 类别1A，急性毒性经口</w:t>
                  </w:r>
                  <w:r>
                    <w:t>: LD</w:t>
                  </w:r>
                  <w:r>
                    <w:rPr>
                      <w:vertAlign w:val="subscript"/>
                    </w:rPr>
                    <w:t>50</w:t>
                  </w:r>
                  <w:r>
                    <w:t xml:space="preserve"> - 325 mg/kg</w:t>
                  </w:r>
                  <w:r>
                    <w:rPr>
                      <w:rFonts w:hint="eastAsia"/>
                    </w:rPr>
                    <w:t>（兔）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42" w:type="dxa"/>
                  <w:vAlign w:val="center"/>
                </w:tcPr>
                <w:p>
                  <w:pPr>
                    <w:pStyle w:val="63"/>
                  </w:pPr>
                  <w:r>
                    <w:rPr>
                      <w:rFonts w:hint="eastAsia"/>
                    </w:rPr>
                    <w:t>FeSO</w:t>
                  </w:r>
                  <w:r>
                    <w:rPr>
                      <w:rFonts w:hint="eastAsia"/>
                      <w:vertAlign w:val="subscript"/>
                    </w:rPr>
                    <w:t>4</w:t>
                  </w:r>
                </w:p>
              </w:tc>
              <w:tc>
                <w:tcPr>
                  <w:tcW w:w="878" w:type="dxa"/>
                  <w:vAlign w:val="center"/>
                </w:tcPr>
                <w:p>
                  <w:pPr>
                    <w:pStyle w:val="63"/>
                  </w:pPr>
                  <w:r>
                    <w:t>7782-63-0</w:t>
                  </w:r>
                </w:p>
              </w:tc>
              <w:tc>
                <w:tcPr>
                  <w:tcW w:w="6215" w:type="dxa"/>
                  <w:vAlign w:val="center"/>
                </w:tcPr>
                <w:p>
                  <w:pPr>
                    <w:pStyle w:val="63"/>
                  </w:pPr>
                  <w:r>
                    <w:rPr>
                      <w:rFonts w:hint="eastAsia"/>
                    </w:rPr>
                    <w:t>固体，白色，溶于水、甘油，不溶于乙醇，相对密度1.897，浅蓝绿色晶体，避免光照，禁配物</w:t>
                  </w:r>
                  <w:r>
                    <w:rPr>
                      <w:rFonts w:ascii="Tahoma" w:hAnsi="Tahoma" w:cs="Tahoma"/>
                      <w:szCs w:val="21"/>
                    </w:rPr>
                    <w:t>强氧化剂、潮湿空气、强碱。</w:t>
                  </w:r>
                  <w:r>
                    <w:rPr>
                      <w:rFonts w:hint="eastAsia"/>
                    </w:rPr>
                    <w:t>吸入、摄入或经皮肤吸收后对身体有害。对眼睛、皮肤和粘膜有刺激作用。误服约5g能引起虚弱、腹痛、恶心、呕吐、便血、肺及肝受损、休克、昏迷等，严重者可致死。急性毒性LD</w:t>
                  </w:r>
                  <w:r>
                    <w:rPr>
                      <w:rFonts w:hint="eastAsia"/>
                      <w:vertAlign w:val="subscript"/>
                    </w:rPr>
                    <w:t>50</w:t>
                  </w:r>
                  <w:r>
                    <w:rPr>
                      <w:rFonts w:hint="eastAsia"/>
                    </w:rPr>
                    <w:t>=1520mg/kg（小鼠经口），急性经口毒性</w:t>
                  </w:r>
                  <w:r>
                    <w:t xml:space="preserve"> 类别 4</w:t>
                  </w:r>
                  <w:r>
                    <w:rPr>
                      <w:rFonts w:hint="eastAsia"/>
                    </w:rPr>
                    <w:t>，皮肤腐蚀</w:t>
                  </w:r>
                  <w:r>
                    <w:t xml:space="preserve"> / 刺激 类别 2</w:t>
                  </w:r>
                  <w:r>
                    <w:rPr>
                      <w:rFonts w:hint="eastAsia"/>
                    </w:rPr>
                    <w:t>，严重眼损伤</w:t>
                  </w:r>
                  <w:r>
                    <w:t xml:space="preserve"> / 眼刺激 类别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5" w:type="dxa"/>
                  <w:gridSpan w:val="3"/>
                  <w:vAlign w:val="center"/>
                </w:tcPr>
                <w:p>
                  <w:pPr>
                    <w:pStyle w:val="63"/>
                    <w:rPr>
                      <w:b/>
                      <w:bCs/>
                    </w:rPr>
                  </w:pPr>
                  <w:r>
                    <w:rPr>
                      <w:rFonts w:hint="eastAsia"/>
                      <w:b/>
                      <w:bCs/>
                    </w:rPr>
                    <w:t>二、化验室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Align w:val="center"/>
                </w:tcPr>
                <w:p>
                  <w:pPr>
                    <w:pStyle w:val="63"/>
                  </w:pPr>
                  <w:r>
                    <w:rPr>
                      <w:rFonts w:hint="eastAsia"/>
                    </w:rPr>
                    <w:t>葡萄糖</w:t>
                  </w:r>
                </w:p>
              </w:tc>
              <w:tc>
                <w:tcPr>
                  <w:tcW w:w="878" w:type="dxa"/>
                  <w:vAlign w:val="center"/>
                </w:tcPr>
                <w:p>
                  <w:pPr>
                    <w:pStyle w:val="63"/>
                  </w:pPr>
                  <w:r>
                    <w:rPr>
                      <w:rFonts w:hint="eastAsia"/>
                    </w:rPr>
                    <w:t>58367-01-4</w:t>
                  </w:r>
                </w:p>
              </w:tc>
              <w:tc>
                <w:tcPr>
                  <w:tcW w:w="6215" w:type="dxa"/>
                  <w:vAlign w:val="center"/>
                </w:tcPr>
                <w:p>
                  <w:pPr>
                    <w:pStyle w:val="63"/>
                  </w:pPr>
                  <w:r>
                    <w:rPr>
                      <w:rFonts w:hint="eastAsia"/>
                    </w:rPr>
                    <w:t>无色结晶或白色结晶性或颗粒性粉末；单糖，无臭，味甜，有吸湿性，易溶于水，熔点146℃，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Align w:val="center"/>
                </w:tcPr>
                <w:p>
                  <w:pPr>
                    <w:pStyle w:val="63"/>
                  </w:pPr>
                  <w:r>
                    <w:rPr>
                      <w:rFonts w:hint="eastAsia"/>
                    </w:rPr>
                    <w:t>谷氨酸</w:t>
                  </w:r>
                </w:p>
              </w:tc>
              <w:tc>
                <w:tcPr>
                  <w:tcW w:w="878" w:type="dxa"/>
                  <w:vAlign w:val="center"/>
                </w:tcPr>
                <w:p>
                  <w:pPr>
                    <w:pStyle w:val="63"/>
                  </w:pPr>
                  <w:r>
                    <w:rPr>
                      <w:rFonts w:hint="eastAsia"/>
                    </w:rPr>
                    <w:t>56-86-0</w:t>
                  </w:r>
                </w:p>
              </w:tc>
              <w:tc>
                <w:tcPr>
                  <w:tcW w:w="6215" w:type="dxa"/>
                  <w:vAlign w:val="center"/>
                </w:tcPr>
                <w:p>
                  <w:pPr>
                    <w:pStyle w:val="63"/>
                  </w:pPr>
                  <w:r>
                    <w:rPr>
                      <w:rFonts w:hint="eastAsia"/>
                    </w:rPr>
                    <w:t>白色结晶或结晶性粉末。在热水中溶解，在水中微溶，在乙醇、丙酮或乙醚中不溶，在稀盐酸或1mol/L氢氧化钠溶液中易溶，相对密度1.54（水=1），急性毒性：经口</w:t>
                  </w:r>
                  <w:r>
                    <w:t>: LD</w:t>
                  </w:r>
                  <w:r>
                    <w:rPr>
                      <w:vertAlign w:val="subscript"/>
                    </w:rPr>
                    <w:t xml:space="preserve">50 </w:t>
                  </w:r>
                  <w:r>
                    <w:t xml:space="preserve">– </w:t>
                  </w:r>
                  <w:r>
                    <w:rPr>
                      <w:rFonts w:hint="eastAsia"/>
                    </w:rPr>
                    <w:t>兔</w:t>
                  </w:r>
                  <w:r>
                    <w:t xml:space="preserve"> - &gt; 5110 mg/kg bw.</w:t>
                  </w:r>
                  <w:r>
                    <w:rPr>
                      <w:rFonts w:hint="eastAsia"/>
                    </w:rPr>
                    <w:t>经皮</w:t>
                  </w:r>
                  <w:r>
                    <w:t>: LD</w:t>
                  </w:r>
                  <w:r>
                    <w:rPr>
                      <w:vertAlign w:val="subscript"/>
                    </w:rPr>
                    <w:t>50</w:t>
                  </w:r>
                  <w:r>
                    <w:t xml:space="preserve"> -</w:t>
                  </w:r>
                  <w:r>
                    <w:rPr>
                      <w:rFonts w:hint="eastAsia"/>
                    </w:rPr>
                    <w:t>鼠</w:t>
                  </w:r>
                  <w:r>
                    <w:t>- &gt; 2000 mg/kg bw</w:t>
                  </w:r>
                </w:p>
              </w:tc>
            </w:tr>
          </w:tbl>
          <w:p/>
          <w:p>
            <w:pPr>
              <w:pStyle w:val="4"/>
              <w:spacing w:before="120" w:after="120"/>
            </w:pPr>
            <w:r>
              <w:rPr>
                <w:rFonts w:hint="eastAsia"/>
              </w:rPr>
              <w:t>劳动定员和工作制度</w:t>
            </w:r>
          </w:p>
          <w:p>
            <w:pPr>
              <w:pStyle w:val="5"/>
              <w:ind w:firstLine="480"/>
            </w:pPr>
            <w:r>
              <w:rPr>
                <w:rFonts w:hint="eastAsia"/>
              </w:rPr>
              <w:t>劳动定员，每年三班24小时连续运行，年运行365天。</w:t>
            </w:r>
          </w:p>
          <w:p>
            <w:pPr>
              <w:pStyle w:val="4"/>
              <w:spacing w:before="120" w:after="120"/>
            </w:pPr>
            <w:r>
              <w:rPr>
                <w:rFonts w:hint="eastAsia"/>
              </w:rPr>
              <w:t>施工组织</w:t>
            </w:r>
          </w:p>
          <w:p>
            <w:pPr>
              <w:pStyle w:val="5"/>
              <w:numPr>
                <w:ilvl w:val="0"/>
                <w:numId w:val="3"/>
              </w:numPr>
              <w:ind w:firstLineChars="0"/>
            </w:pPr>
            <w:r>
              <w:rPr>
                <w:rFonts w:hint="eastAsia"/>
              </w:rPr>
              <w:t>施工工期</w:t>
            </w:r>
          </w:p>
          <w:p>
            <w:pPr>
              <w:pStyle w:val="5"/>
              <w:ind w:left="480" w:firstLine="0" w:firstLineChars="0"/>
            </w:pPr>
            <w:r>
              <w:rPr>
                <w:rFonts w:hint="eastAsia"/>
              </w:rPr>
              <w:t>项目施工工期12个月，施工人员30人。</w:t>
            </w:r>
          </w:p>
          <w:p>
            <w:pPr>
              <w:pStyle w:val="5"/>
              <w:numPr>
                <w:ilvl w:val="0"/>
                <w:numId w:val="3"/>
              </w:numPr>
              <w:ind w:firstLineChars="0"/>
            </w:pPr>
            <w:r>
              <w:rPr>
                <w:rFonts w:hint="eastAsia"/>
              </w:rPr>
              <w:t>施工营地</w:t>
            </w:r>
          </w:p>
          <w:p>
            <w:pPr>
              <w:pStyle w:val="5"/>
              <w:ind w:firstLine="480"/>
            </w:pPr>
            <w:r>
              <w:rPr>
                <w:rFonts w:hint="eastAsia"/>
              </w:rPr>
              <w:t>项目施工期在用地红线范围内设置施工营地1处，占地约800m</w:t>
            </w:r>
            <w:r>
              <w:rPr>
                <w:rFonts w:hint="eastAsia"/>
                <w:vertAlign w:val="superscript"/>
              </w:rPr>
              <w:t>2</w:t>
            </w:r>
            <w:r>
              <w:rPr>
                <w:rFonts w:hint="eastAsia"/>
              </w:rPr>
              <w:t>，用于项目管理、材料临时堆存和施工机械临时停放，餐食通过外委单位送至施工区域，施工人员不在营地居住。</w:t>
            </w:r>
          </w:p>
          <w:p>
            <w:pPr>
              <w:pStyle w:val="5"/>
              <w:numPr>
                <w:ilvl w:val="0"/>
                <w:numId w:val="3"/>
              </w:numPr>
              <w:ind w:firstLineChars="0"/>
            </w:pPr>
            <w:r>
              <w:rPr>
                <w:rFonts w:hint="eastAsia"/>
              </w:rPr>
              <w:t>土石方</w:t>
            </w:r>
          </w:p>
          <w:p>
            <w:pPr>
              <w:pStyle w:val="5"/>
              <w:ind w:firstLine="480"/>
            </w:pPr>
            <w:r>
              <w:rPr>
                <w:rFonts w:hint="eastAsia"/>
              </w:rPr>
              <w:t>项目场地现已平场，项目土石方见</w:t>
            </w:r>
            <w:r>
              <w:fldChar w:fldCharType="begin"/>
            </w:r>
            <w:r>
              <w:instrText xml:space="preserve"> </w:instrText>
            </w:r>
            <w:r>
              <w:rPr>
                <w:rFonts w:hint="eastAsia"/>
              </w:rPr>
              <w:instrText xml:space="preserve">REF _Ref171352087 \h</w:instrText>
            </w:r>
            <w:r>
              <w:instrText xml:space="preserve"> </w:instrText>
            </w:r>
            <w:r>
              <w:fldChar w:fldCharType="separate"/>
            </w:r>
            <w:r>
              <w:t>表 2.5</w:t>
            </w:r>
            <w:r>
              <w:noBreakHyphen/>
            </w:r>
            <w:r>
              <w:t>8</w:t>
            </w:r>
            <w:r>
              <w:fldChar w:fldCharType="end"/>
            </w:r>
            <w:r>
              <w:rPr>
                <w:rFonts w:hint="eastAsia"/>
              </w:rPr>
              <w:t>。项目挖方30215.21</w:t>
            </w:r>
            <w:r>
              <w:t xml:space="preserve"> m</w:t>
            </w:r>
            <w:r>
              <w:rPr>
                <w:vertAlign w:val="superscript"/>
              </w:rPr>
              <w:t>3</w:t>
            </w:r>
            <w:r>
              <w:rPr>
                <w:rFonts w:hint="eastAsia"/>
              </w:rPr>
              <w:t>、填方</w:t>
            </w:r>
            <w:r>
              <w:t>24562.23 m</w:t>
            </w:r>
            <w:r>
              <w:rPr>
                <w:vertAlign w:val="superscript"/>
              </w:rPr>
              <w:t>3</w:t>
            </w:r>
            <w:r>
              <w:rPr>
                <w:rFonts w:hint="eastAsia"/>
              </w:rPr>
              <w:t>，无借方，弃方5652.98</w:t>
            </w:r>
            <w:r>
              <w:t xml:space="preserve"> m</w:t>
            </w:r>
            <w:r>
              <w:rPr>
                <w:vertAlign w:val="superscript"/>
              </w:rPr>
              <w:t>3</w:t>
            </w:r>
            <w:r>
              <w:rPr>
                <w:rFonts w:hint="eastAsia"/>
              </w:rPr>
              <w:t>，送集聚区填方利用。</w:t>
            </w:r>
          </w:p>
          <w:p>
            <w:pPr>
              <w:pStyle w:val="14"/>
              <w:keepNext/>
            </w:pPr>
            <w:bookmarkStart w:id="23" w:name="_Ref171352087"/>
            <w:r>
              <w:t xml:space="preserve">表 </w:t>
            </w:r>
            <w:r>
              <w:fldChar w:fldCharType="begin"/>
            </w:r>
            <w:r>
              <w:instrText xml:space="preserve"> STYLEREF 2 \s </w:instrText>
            </w:r>
            <w:r>
              <w:fldChar w:fldCharType="separate"/>
            </w:r>
            <w:r>
              <w:t>2.5</w:t>
            </w:r>
            <w:r>
              <w:fldChar w:fldCharType="end"/>
            </w:r>
            <w:r>
              <w:noBreakHyphen/>
            </w:r>
            <w:r>
              <w:fldChar w:fldCharType="begin"/>
            </w:r>
            <w:r>
              <w:instrText xml:space="preserve"> SEQ 表 \* ARABIC \s 2 </w:instrText>
            </w:r>
            <w:r>
              <w:fldChar w:fldCharType="separate"/>
            </w:r>
            <w:r>
              <w:t>8</w:t>
            </w:r>
            <w:r>
              <w:fldChar w:fldCharType="end"/>
            </w:r>
            <w:bookmarkEnd w:id="23"/>
            <w:r>
              <w:rPr>
                <w:rFonts w:hint="eastAsia"/>
              </w:rPr>
              <w:t xml:space="preserve">   项目土石方量  </w:t>
            </w:r>
            <w:r>
              <w:t>m</w:t>
            </w:r>
            <w:r>
              <w:rPr>
                <w:vertAlign w:val="superscript"/>
              </w:rPr>
              <w:t>3</w:t>
            </w:r>
          </w:p>
          <w:tbl>
            <w:tblPr>
              <w:tblStyle w:val="39"/>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52"/>
              <w:gridCol w:w="1152"/>
              <w:gridCol w:w="730"/>
              <w:gridCol w:w="1032"/>
              <w:gridCol w:w="3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0" w:type="dxa"/>
                </w:tcPr>
                <w:p>
                  <w:pPr>
                    <w:pStyle w:val="63"/>
                  </w:pPr>
                  <w:r>
                    <w:rPr>
                      <w:rFonts w:hint="eastAsia"/>
                    </w:rPr>
                    <w:t>项目</w:t>
                  </w:r>
                </w:p>
              </w:tc>
              <w:tc>
                <w:tcPr>
                  <w:tcW w:w="1152" w:type="dxa"/>
                </w:tcPr>
                <w:p>
                  <w:pPr>
                    <w:pStyle w:val="63"/>
                  </w:pPr>
                  <w:r>
                    <w:rPr>
                      <w:rFonts w:hint="eastAsia"/>
                    </w:rPr>
                    <w:t>挖方</w:t>
                  </w:r>
                </w:p>
              </w:tc>
              <w:tc>
                <w:tcPr>
                  <w:tcW w:w="1152" w:type="dxa"/>
                </w:tcPr>
                <w:p>
                  <w:pPr>
                    <w:pStyle w:val="63"/>
                  </w:pPr>
                  <w:r>
                    <w:rPr>
                      <w:rFonts w:hint="eastAsia"/>
                    </w:rPr>
                    <w:t>填方</w:t>
                  </w:r>
                </w:p>
              </w:tc>
              <w:tc>
                <w:tcPr>
                  <w:tcW w:w="730" w:type="dxa"/>
                </w:tcPr>
                <w:p>
                  <w:pPr>
                    <w:pStyle w:val="63"/>
                  </w:pPr>
                  <w:r>
                    <w:rPr>
                      <w:rFonts w:hint="eastAsia"/>
                    </w:rPr>
                    <w:t>借方</w:t>
                  </w:r>
                </w:p>
              </w:tc>
              <w:tc>
                <w:tcPr>
                  <w:tcW w:w="1032" w:type="dxa"/>
                </w:tcPr>
                <w:p>
                  <w:pPr>
                    <w:pStyle w:val="63"/>
                  </w:pPr>
                  <w:r>
                    <w:rPr>
                      <w:rFonts w:hint="eastAsia"/>
                    </w:rPr>
                    <w:t>弃方</w:t>
                  </w:r>
                </w:p>
              </w:tc>
              <w:tc>
                <w:tcPr>
                  <w:tcW w:w="3139" w:type="dxa"/>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0" w:type="dxa"/>
                </w:tcPr>
                <w:p>
                  <w:pPr>
                    <w:pStyle w:val="63"/>
                  </w:pPr>
                  <w:r>
                    <w:rPr>
                      <w:rFonts w:hint="eastAsia"/>
                    </w:rPr>
                    <w:t>体积</w:t>
                  </w:r>
                </w:p>
              </w:tc>
              <w:tc>
                <w:tcPr>
                  <w:tcW w:w="1152" w:type="dxa"/>
                </w:tcPr>
                <w:p>
                  <w:pPr>
                    <w:pStyle w:val="63"/>
                  </w:pPr>
                  <w:r>
                    <w:t>30215.21</w:t>
                  </w:r>
                </w:p>
              </w:tc>
              <w:tc>
                <w:tcPr>
                  <w:tcW w:w="1152" w:type="dxa"/>
                </w:tcPr>
                <w:p>
                  <w:pPr>
                    <w:pStyle w:val="63"/>
                  </w:pPr>
                  <w:r>
                    <w:t>24562.23</w:t>
                  </w:r>
                </w:p>
              </w:tc>
              <w:tc>
                <w:tcPr>
                  <w:tcW w:w="730" w:type="dxa"/>
                </w:tcPr>
                <w:p>
                  <w:pPr>
                    <w:pStyle w:val="63"/>
                  </w:pPr>
                  <w:r>
                    <w:t>0</w:t>
                  </w:r>
                </w:p>
              </w:tc>
              <w:tc>
                <w:tcPr>
                  <w:tcW w:w="1032" w:type="dxa"/>
                </w:tcPr>
                <w:p>
                  <w:pPr>
                    <w:pStyle w:val="63"/>
                  </w:pPr>
                  <w:r>
                    <w:t>5652.98</w:t>
                  </w:r>
                </w:p>
              </w:tc>
              <w:tc>
                <w:tcPr>
                  <w:tcW w:w="3139" w:type="dxa"/>
                </w:tcPr>
                <w:p>
                  <w:pPr>
                    <w:pStyle w:val="63"/>
                  </w:pPr>
                  <w:r>
                    <w:rPr>
                      <w:rFonts w:hint="eastAsia"/>
                    </w:rPr>
                    <w:t>集聚区内填方利用</w:t>
                  </w:r>
                </w:p>
              </w:tc>
            </w:tr>
          </w:tbl>
          <w:p>
            <w:pPr>
              <w:pStyle w:val="63"/>
            </w:pPr>
          </w:p>
          <w:p>
            <w:pPr>
              <w:pStyle w:val="4"/>
              <w:spacing w:before="120" w:after="120"/>
            </w:pPr>
            <w:r>
              <w:rPr>
                <w:rFonts w:hint="eastAsia"/>
              </w:rPr>
              <w:t>总平面布置</w:t>
            </w:r>
          </w:p>
          <w:p>
            <w:pPr>
              <w:pStyle w:val="5"/>
              <w:ind w:firstLine="480"/>
            </w:pPr>
            <w:r>
              <w:rPr>
                <w:rFonts w:hint="eastAsia"/>
              </w:rPr>
              <w:t>污水处理厂进水位于厂区西侧，出水口位于厂区东北侧，厂区大门位于东侧，厂区内道路沿构筑物分布，可方便到达各处理构筑物。东北侧及西北侧为预处理单元，西南侧为二级处理单元，中部从北往南依次为综合楼、储药及加药室、污泥脱水机房、鼓风机房、发电机房及维修间、除臭系统，西南侧为深度处理单元及出水渠。处理构筑物紧凑、合理，竖向设计上充分利用地形，排水通畅、降低能耗, 污水和污泥处理构筑物分别布置，生产管理建筑物和处理构筑物保持一定距离，并处于厂区上风向。所以项目总平面布置合理。</w:t>
            </w:r>
          </w:p>
          <w:p>
            <w:pPr>
              <w:pStyle w:val="3"/>
              <w:spacing w:before="120" w:after="120"/>
            </w:pPr>
            <w:bookmarkStart w:id="24" w:name="_Toc172739655"/>
            <w:r>
              <w:rPr>
                <w:rFonts w:hint="eastAsia"/>
              </w:rPr>
              <w:t>清洁生产</w:t>
            </w:r>
            <w:bookmarkEnd w:id="24"/>
            <w:r>
              <w:rPr>
                <w:rFonts w:hint="eastAsia"/>
              </w:rPr>
              <w:t>和甲烷排放</w:t>
            </w:r>
          </w:p>
          <w:p>
            <w:pPr>
              <w:pStyle w:val="5"/>
              <w:ind w:firstLine="480"/>
            </w:pPr>
            <w:r>
              <w:rPr>
                <w:rFonts w:hint="eastAsia"/>
              </w:rPr>
              <w:t>项目用电168万度/年，年处理污水量365万m</w:t>
            </w:r>
            <w:r>
              <w:rPr>
                <w:rFonts w:hint="eastAsia"/>
                <w:vertAlign w:val="superscript"/>
              </w:rPr>
              <w:t>3</w:t>
            </w:r>
            <w:r>
              <w:rPr>
                <w:rFonts w:hint="eastAsia"/>
              </w:rPr>
              <w:t>/a，单位污水电耗0.461度/m</w:t>
            </w:r>
            <w:r>
              <w:rPr>
                <w:rFonts w:hint="eastAsia"/>
                <w:vertAlign w:val="superscript"/>
              </w:rPr>
              <w:t>3</w:t>
            </w:r>
            <w:r>
              <w:rPr>
                <w:rFonts w:hint="eastAsia"/>
              </w:rPr>
              <w:t>，项目处理规模10000m</w:t>
            </w:r>
            <w:r>
              <w:rPr>
                <w:rFonts w:hint="eastAsia"/>
                <w:vertAlign w:val="superscript"/>
              </w:rPr>
              <w:t>3</w:t>
            </w:r>
            <w:r>
              <w:rPr>
                <w:rFonts w:hint="eastAsia"/>
              </w:rPr>
              <w:t>/d，处理工艺为AAO。参照《城镇污水处理能源消耗限额》（DB11/T 1118-2022），1万m</w:t>
            </w:r>
            <w:r>
              <w:rPr>
                <w:rFonts w:hint="eastAsia"/>
                <w:vertAlign w:val="superscript"/>
              </w:rPr>
              <w:t>3</w:t>
            </w:r>
            <w:r>
              <w:rPr>
                <w:rFonts w:hint="eastAsia"/>
              </w:rPr>
              <w:t>/d~5万m</w:t>
            </w:r>
            <w:r>
              <w:rPr>
                <w:rFonts w:hint="eastAsia"/>
                <w:vertAlign w:val="superscript"/>
              </w:rPr>
              <w:t>3</w:t>
            </w:r>
            <w:r>
              <w:rPr>
                <w:rFonts w:hint="eastAsia"/>
              </w:rPr>
              <w:t>/d先进值为≤0.538度/m</w:t>
            </w:r>
            <w:r>
              <w:rPr>
                <w:rFonts w:hint="eastAsia"/>
                <w:vertAlign w:val="superscript"/>
              </w:rPr>
              <w:t>3</w:t>
            </w:r>
            <w:r>
              <w:rPr>
                <w:rFonts w:hint="eastAsia"/>
              </w:rPr>
              <w:t>，所以项目电耗满足先进值要求。</w:t>
            </w:r>
          </w:p>
          <w:p>
            <w:pPr>
              <w:pStyle w:val="5"/>
              <w:ind w:firstLine="480"/>
            </w:pPr>
            <w:r>
              <w:rPr>
                <w:rFonts w:hint="eastAsia"/>
              </w:rPr>
              <w:t>折标准煤系数0.1229kgce（KW·h），项目用电折算为消耗标准煤为206.5tce/a，单位污水处理综合能耗0.0566 kgce/m</w:t>
            </w:r>
            <w:r>
              <w:rPr>
                <w:rFonts w:hint="eastAsia"/>
                <w:vertAlign w:val="superscript"/>
              </w:rPr>
              <w:t>3</w:t>
            </w:r>
            <w:r>
              <w:rPr>
                <w:rFonts w:hint="eastAsia"/>
              </w:rPr>
              <w:t>，参照《城镇污水处理能源消耗限额》（DB11/T 1118-2022），1万m</w:t>
            </w:r>
            <w:r>
              <w:rPr>
                <w:rFonts w:hint="eastAsia"/>
                <w:vertAlign w:val="superscript"/>
              </w:rPr>
              <w:t>3</w:t>
            </w:r>
            <w:r>
              <w:rPr>
                <w:rFonts w:hint="eastAsia"/>
              </w:rPr>
              <w:t>/d~5万m</w:t>
            </w:r>
            <w:r>
              <w:rPr>
                <w:rFonts w:hint="eastAsia"/>
                <w:vertAlign w:val="superscript"/>
              </w:rPr>
              <w:t>3</w:t>
            </w:r>
            <w:r>
              <w:rPr>
                <w:rFonts w:hint="eastAsia"/>
              </w:rPr>
              <w:t>/d先进值为≤0.073 kgce/m</w:t>
            </w:r>
            <w:r>
              <w:rPr>
                <w:rFonts w:hint="eastAsia"/>
                <w:vertAlign w:val="superscript"/>
              </w:rPr>
              <w:t>3</w:t>
            </w:r>
            <w:r>
              <w:rPr>
                <w:rFonts w:hint="eastAsia"/>
              </w:rPr>
              <w:t>，所以项目综合能耗满足先进值要求。</w:t>
            </w:r>
          </w:p>
          <w:p>
            <w:pPr>
              <w:pStyle w:val="5"/>
              <w:ind w:firstLine="480"/>
            </w:pPr>
            <w:r>
              <w:rPr>
                <w:rFonts w:hint="eastAsia"/>
              </w:rPr>
              <w:t>项目工艺采用二级处理+深度处理工艺，采用自动控制系统，加药采用计量泵，配套污泥脱水工艺，采用非加药消毒工艺（紫外消毒），对产臭构筑物进行加盖并收集废气，收集废气通过生物除臭处理后达标排放。综合电耗、能耗满足先进值要求，一般工业固体废物和危险废物按要求进行处置。项目应用高效节能设备和技术，加强设备维护管理，及时修复管道漏水、漏气等问题，保证废水达标排放。</w:t>
            </w:r>
          </w:p>
          <w:p>
            <w:pPr>
              <w:pStyle w:val="5"/>
              <w:ind w:firstLine="480"/>
            </w:pPr>
            <w:r>
              <w:rPr>
                <w:rFonts w:hint="eastAsia"/>
              </w:rPr>
              <w:t>根据《关于加强重点行业建设项目环境影响评价中甲烷管控的通知》（征求意见）（环办便函（2024）221号）要求进行本项目甲烷排放预测，参照《污水处理厂低碳运行评价技术规范》（T/CAEPI 49-2022）预测项目甲烷排放量。</w:t>
            </w:r>
          </w:p>
          <w:p>
            <w:pPr>
              <w:pStyle w:val="5"/>
              <w:ind w:firstLine="480"/>
            </w:pPr>
            <w:r>
              <w:rPr>
                <w:rFonts w:hint="eastAsia"/>
              </w:rPr>
              <w:t>污水处理过程</w:t>
            </w:r>
            <w:r>
              <w:t>CH</w:t>
            </w:r>
            <w:r>
              <w:rPr>
                <w:vertAlign w:val="subscript"/>
              </w:rPr>
              <w:t>4</w:t>
            </w:r>
            <w:r>
              <w:t>直接排放主要发生在初沉池以及生物处理等单元存在的厌氧过程中，</w:t>
            </w:r>
            <w:r>
              <w:rPr>
                <w:rFonts w:hint="eastAsia"/>
              </w:rPr>
              <w:t>产生量按下式计算，</w:t>
            </w:r>
          </w:p>
          <w:p>
            <w:pPr>
              <w:pStyle w:val="63"/>
            </w:pPr>
            <w:r>
              <w:drawing>
                <wp:inline distT="0" distB="0" distL="0" distR="0">
                  <wp:extent cx="4789805" cy="1493520"/>
                  <wp:effectExtent l="0" t="0" r="0" b="0"/>
                  <wp:docPr id="965847605"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47605" name="图片 1" descr="文本&#10;&#10;描述已自动生成"/>
                          <pic:cNvPicPr>
                            <a:picLocks noChangeAspect="1"/>
                          </pic:cNvPicPr>
                        </pic:nvPicPr>
                        <pic:blipFill>
                          <a:blip r:embed="rId10"/>
                          <a:stretch>
                            <a:fillRect/>
                          </a:stretch>
                        </pic:blipFill>
                        <pic:spPr>
                          <a:xfrm>
                            <a:off x="0" y="0"/>
                            <a:ext cx="4792452" cy="1494230"/>
                          </a:xfrm>
                          <a:prstGeom prst="rect">
                            <a:avLst/>
                          </a:prstGeom>
                        </pic:spPr>
                      </pic:pic>
                    </a:graphicData>
                  </a:graphic>
                </wp:inline>
              </w:drawing>
            </w:r>
          </w:p>
          <w:p>
            <w:pPr>
              <w:pStyle w:val="63"/>
            </w:pPr>
            <w:r>
              <w:drawing>
                <wp:inline distT="0" distB="0" distL="0" distR="0">
                  <wp:extent cx="5434965" cy="2954655"/>
                  <wp:effectExtent l="0" t="0" r="0" b="0"/>
                  <wp:docPr id="148703710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37101" name="图片 1" descr="文本&#10;&#10;描述已自动生成"/>
                          <pic:cNvPicPr>
                            <a:picLocks noChangeAspect="1"/>
                          </pic:cNvPicPr>
                        </pic:nvPicPr>
                        <pic:blipFill>
                          <a:blip r:embed="rId11"/>
                          <a:stretch>
                            <a:fillRect/>
                          </a:stretch>
                        </pic:blipFill>
                        <pic:spPr>
                          <a:xfrm>
                            <a:off x="0" y="0"/>
                            <a:ext cx="5435025" cy="2954741"/>
                          </a:xfrm>
                          <a:prstGeom prst="rect">
                            <a:avLst/>
                          </a:prstGeom>
                        </pic:spPr>
                      </pic:pic>
                    </a:graphicData>
                  </a:graphic>
                </wp:inline>
              </w:drawing>
            </w:r>
          </w:p>
          <w:p>
            <w:pPr>
              <w:pStyle w:val="5"/>
              <w:ind w:firstLine="480"/>
            </w:pPr>
            <w:r>
              <w:rPr>
                <w:rFonts w:hint="eastAsia"/>
              </w:rPr>
              <w:t>计算参数取值见</w:t>
            </w:r>
            <w:r>
              <w:fldChar w:fldCharType="begin"/>
            </w:r>
            <w:r>
              <w:instrText xml:space="preserve"> </w:instrText>
            </w:r>
            <w:r>
              <w:rPr>
                <w:rFonts w:hint="eastAsia"/>
              </w:rPr>
              <w:instrText xml:space="preserve">REF _Ref175581519 \h</w:instrText>
            </w:r>
            <w:r>
              <w:instrText xml:space="preserve"> </w:instrText>
            </w:r>
            <w:r>
              <w:fldChar w:fldCharType="separate"/>
            </w:r>
            <w:r>
              <w:rPr>
                <w:rFonts w:hint="eastAsia"/>
              </w:rPr>
              <w:t xml:space="preserve">表 </w:t>
            </w:r>
            <w:r>
              <w:t>2.6</w:t>
            </w:r>
            <w:r>
              <w:noBreakHyphen/>
            </w:r>
            <w:r>
              <w:t>1</w:t>
            </w:r>
            <w:r>
              <w:fldChar w:fldCharType="end"/>
            </w:r>
            <w:r>
              <w:rPr>
                <w:rFonts w:hint="eastAsia"/>
              </w:rPr>
              <w:t>。</w:t>
            </w:r>
          </w:p>
          <w:p>
            <w:pPr>
              <w:pStyle w:val="14"/>
              <w:keepNext/>
            </w:pPr>
            <w:bookmarkStart w:id="25" w:name="_Ref175581519"/>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25"/>
            <w:r>
              <w:rPr>
                <w:rFonts w:hint="eastAsia"/>
              </w:rPr>
              <w:t xml:space="preserve">   计算参数取值一览表</w:t>
            </w:r>
          </w:p>
          <w:tbl>
            <w:tblPr>
              <w:tblStyle w:val="39"/>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85"/>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Pr>
                <w:p>
                  <w:pPr>
                    <w:pStyle w:val="63"/>
                  </w:pPr>
                  <w:r>
                    <w:rPr>
                      <w:rFonts w:hint="eastAsia"/>
                    </w:rPr>
                    <w:t>参数名称</w:t>
                  </w:r>
                </w:p>
              </w:tc>
              <w:tc>
                <w:tcPr>
                  <w:tcW w:w="1985" w:type="dxa"/>
                </w:tcPr>
                <w:p>
                  <w:pPr>
                    <w:pStyle w:val="63"/>
                  </w:pPr>
                  <w:r>
                    <w:rPr>
                      <w:rFonts w:hint="eastAsia"/>
                    </w:rPr>
                    <w:t>取值</w:t>
                  </w:r>
                </w:p>
              </w:tc>
              <w:tc>
                <w:tcPr>
                  <w:tcW w:w="1984" w:type="dxa"/>
                </w:tcPr>
                <w:p>
                  <w:pPr>
                    <w:pStyle w:val="63"/>
                  </w:pPr>
                  <w:r>
                    <w:rPr>
                      <w:rFonts w:hint="eastAsia"/>
                    </w:rPr>
                    <w:t>参数名称</w:t>
                  </w:r>
                </w:p>
              </w:tc>
              <w:tc>
                <w:tcPr>
                  <w:tcW w:w="1984" w:type="dxa"/>
                </w:tcPr>
                <w:p>
                  <w:pPr>
                    <w:pStyle w:val="63"/>
                  </w:pPr>
                  <w:r>
                    <w:rPr>
                      <w:rFonts w:hint="eastAsia"/>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Pr>
                <w:p>
                  <w:pPr>
                    <w:pStyle w:val="63"/>
                  </w:pPr>
                  <w:r>
                    <w:rPr>
                      <w:rFonts w:hint="eastAsia"/>
                    </w:rPr>
                    <w:t>Qra</w:t>
                  </w:r>
                </w:p>
              </w:tc>
              <w:tc>
                <w:tcPr>
                  <w:tcW w:w="1985" w:type="dxa"/>
                </w:tcPr>
                <w:p>
                  <w:pPr>
                    <w:pStyle w:val="63"/>
                  </w:pPr>
                  <w:r>
                    <w:rPr>
                      <w:rFonts w:hint="eastAsia"/>
                    </w:rPr>
                    <w:t>10000</w:t>
                  </w:r>
                </w:p>
              </w:tc>
              <w:tc>
                <w:tcPr>
                  <w:tcW w:w="1984" w:type="dxa"/>
                </w:tcPr>
                <w:p>
                  <w:pPr>
                    <w:pStyle w:val="63"/>
                  </w:pPr>
                  <w:r>
                    <w:rPr>
                      <w:rFonts w:hint="eastAsia"/>
                    </w:rPr>
                    <w:t>ps</w:t>
                  </w:r>
                </w:p>
              </w:tc>
              <w:tc>
                <w:tcPr>
                  <w:tcW w:w="1984" w:type="dxa"/>
                </w:tcPr>
                <w:p>
                  <w:pPr>
                    <w:pStyle w:val="63"/>
                  </w:pPr>
                  <w:r>
                    <w:rPr>
                      <w:rFonts w:hint="eastAsi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Pr>
                <w:p>
                  <w:pPr>
                    <w:pStyle w:val="63"/>
                  </w:pPr>
                  <w:r>
                    <w:rPr>
                      <w:rFonts w:hint="eastAsia"/>
                    </w:rPr>
                    <w:t>CODra</w:t>
                  </w:r>
                </w:p>
              </w:tc>
              <w:tc>
                <w:tcPr>
                  <w:tcW w:w="1985" w:type="dxa"/>
                </w:tcPr>
                <w:p>
                  <w:pPr>
                    <w:pStyle w:val="63"/>
                  </w:pPr>
                  <w:r>
                    <w:rPr>
                      <w:rFonts w:hint="eastAsia"/>
                    </w:rPr>
                    <w:t>500</w:t>
                  </w:r>
                </w:p>
              </w:tc>
              <w:tc>
                <w:tcPr>
                  <w:tcW w:w="1984" w:type="dxa"/>
                </w:tcPr>
                <w:p>
                  <w:pPr>
                    <w:pStyle w:val="63"/>
                  </w:pPr>
                  <w:r>
                    <w:rPr>
                      <w:rFonts w:hint="eastAsia"/>
                    </w:rPr>
                    <w:t>Bo</w:t>
                  </w:r>
                </w:p>
              </w:tc>
              <w:tc>
                <w:tcPr>
                  <w:tcW w:w="1984" w:type="dxa"/>
                </w:tcPr>
                <w:p>
                  <w:pPr>
                    <w:pStyle w:val="63"/>
                  </w:pPr>
                  <w:r>
                    <w:rPr>
                      <w:rFonts w:hint="eastAsia"/>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Pr>
                <w:p>
                  <w:pPr>
                    <w:pStyle w:val="63"/>
                  </w:pPr>
                  <w:r>
                    <w:rPr>
                      <w:rFonts w:hint="eastAsia"/>
                    </w:rPr>
                    <w:t>CODea</w:t>
                  </w:r>
                </w:p>
              </w:tc>
              <w:tc>
                <w:tcPr>
                  <w:tcW w:w="1985" w:type="dxa"/>
                </w:tcPr>
                <w:p>
                  <w:pPr>
                    <w:pStyle w:val="63"/>
                  </w:pPr>
                  <w:r>
                    <w:rPr>
                      <w:rFonts w:hint="eastAsia"/>
                    </w:rPr>
                    <w:t>50</w:t>
                  </w:r>
                </w:p>
              </w:tc>
              <w:tc>
                <w:tcPr>
                  <w:tcW w:w="1984" w:type="dxa"/>
                </w:tcPr>
                <w:p>
                  <w:pPr>
                    <w:pStyle w:val="63"/>
                  </w:pPr>
                  <w:r>
                    <w:rPr>
                      <w:rFonts w:hint="eastAsia"/>
                    </w:rPr>
                    <w:t>MCF</w:t>
                  </w:r>
                </w:p>
              </w:tc>
              <w:tc>
                <w:tcPr>
                  <w:tcW w:w="1984" w:type="dxa"/>
                </w:tcPr>
                <w:p>
                  <w:pPr>
                    <w:pStyle w:val="63"/>
                  </w:pPr>
                  <w:r>
                    <w:rPr>
                      <w:rFonts w:hint="eastAsia"/>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Pr>
                <w:p>
                  <w:pPr>
                    <w:pStyle w:val="63"/>
                  </w:pPr>
                  <w:r>
                    <w:rPr>
                      <w:rFonts w:hint="eastAsia"/>
                    </w:rPr>
                    <w:t>SG</w:t>
                  </w:r>
                </w:p>
              </w:tc>
              <w:tc>
                <w:tcPr>
                  <w:tcW w:w="1985" w:type="dxa"/>
                </w:tcPr>
                <w:p>
                  <w:pPr>
                    <w:pStyle w:val="63"/>
                  </w:pPr>
                  <w:r>
                    <w:rPr>
                      <w:rFonts w:hint="eastAsia"/>
                    </w:rPr>
                    <w:t>3400</w:t>
                  </w:r>
                </w:p>
              </w:tc>
              <w:tc>
                <w:tcPr>
                  <w:tcW w:w="1984" w:type="dxa"/>
                </w:tcPr>
                <w:p>
                  <w:pPr>
                    <w:pStyle w:val="63"/>
                  </w:pPr>
                  <w:r>
                    <w:rPr>
                      <w:rFonts w:hint="eastAsia"/>
                    </w:rPr>
                    <w:t>R</w:t>
                  </w:r>
                  <w:r>
                    <w:rPr>
                      <w:rFonts w:hint="eastAsia"/>
                      <w:vertAlign w:val="subscript"/>
                    </w:rPr>
                    <w:t>CH4</w:t>
                  </w:r>
                </w:p>
              </w:tc>
              <w:tc>
                <w:tcPr>
                  <w:tcW w:w="1984" w:type="dxa"/>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5" w:type="dxa"/>
                </w:tcPr>
                <w:p>
                  <w:pPr>
                    <w:pStyle w:val="63"/>
                  </w:pPr>
                  <w:r>
                    <w:rPr>
                      <w:rFonts w:hint="eastAsia"/>
                    </w:rPr>
                    <w:t>Pv</w:t>
                  </w:r>
                </w:p>
              </w:tc>
              <w:tc>
                <w:tcPr>
                  <w:tcW w:w="1985" w:type="dxa"/>
                </w:tcPr>
                <w:p>
                  <w:pPr>
                    <w:pStyle w:val="63"/>
                  </w:pPr>
                  <w:r>
                    <w:rPr>
                      <w:rFonts w:hint="eastAsia"/>
                    </w:rPr>
                    <w:t>40%</w:t>
                  </w:r>
                </w:p>
              </w:tc>
              <w:tc>
                <w:tcPr>
                  <w:tcW w:w="1984" w:type="dxa"/>
                </w:tcPr>
                <w:p>
                  <w:pPr>
                    <w:pStyle w:val="63"/>
                  </w:pPr>
                </w:p>
              </w:tc>
              <w:tc>
                <w:tcPr>
                  <w:tcW w:w="1984" w:type="dxa"/>
                </w:tcPr>
                <w:p>
                  <w:pPr>
                    <w:pStyle w:val="63"/>
                  </w:pPr>
                </w:p>
              </w:tc>
            </w:tr>
          </w:tbl>
          <w:p>
            <w:pPr>
              <w:pStyle w:val="63"/>
            </w:pPr>
          </w:p>
          <w:p>
            <w:pPr>
              <w:pStyle w:val="5"/>
              <w:ind w:firstLine="480"/>
            </w:pPr>
            <w:r>
              <w:rPr>
                <w:rFonts w:hint="eastAsia"/>
              </w:rPr>
              <w:t>根据计算，项目日甲烷产生量1.93kg/d，年产生705kg/a。项目对污水处理设施进行加盖收集产生的臭气，产生臭气通过生物除臭处理后有组织排放。生物除臭原理是进行</w:t>
            </w:r>
            <w:r>
              <w:t>入微生物体内的臭气成分在其自身的代谢过程中作为能源和营养物质被分解，经生物化学反应最终转化为无害的化合物</w:t>
            </w:r>
            <w:r>
              <w:rPr>
                <w:rFonts w:hint="eastAsia"/>
              </w:rPr>
              <w:t>，除臭微生物具有专一性，本评价按微生物对甲烷去除效率为0考虑，所以本项目甲烷年排放量为705kg/a。</w:t>
            </w:r>
          </w:p>
          <w:p>
            <w:pPr>
              <w:pStyle w:val="5"/>
              <w:ind w:firstLine="480"/>
            </w:pPr>
            <w:r>
              <w:rPr>
                <w:rFonts w:hint="eastAsia"/>
              </w:rPr>
              <w:t>项目甲烷排放按照《城镇污水处理厂污染物排放标准》（GB18918-2002）表4二级标准执行，自行监测按照《排污单位自行监测技术指南</w:t>
            </w:r>
            <w:r>
              <w:t xml:space="preserve"> 水处理》（HJ 1083-2020）要求</w:t>
            </w:r>
            <w:r>
              <w:rPr>
                <w:rFonts w:hint="eastAsia"/>
              </w:rPr>
              <w:t>执行。本项目根据进水水质和出水要求，选用合理的污水处理工艺，设置前处理工艺，减轻生化处理段处理负荷，同时加强工艺自动化控制程度，确保污水处理设施高效运行，减少甲烷产生。</w:t>
            </w:r>
          </w:p>
          <w:p>
            <w:pPr>
              <w:pStyle w:val="5"/>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823" w:type="dxa"/>
            <w:vAlign w:val="center"/>
          </w:tcPr>
          <w:p>
            <w:pPr>
              <w:pStyle w:val="33"/>
              <w:adjustRightInd w:val="0"/>
              <w:snapToGrid w:val="0"/>
              <w:spacing w:before="0" w:beforeAutospacing="0" w:after="0" w:afterAutospacing="0"/>
              <w:jc w:val="center"/>
              <w:rPr>
                <w:rFonts w:hint="eastAsia" w:cs="宋体"/>
                <w:sz w:val="21"/>
                <w:szCs w:val="21"/>
              </w:rPr>
            </w:pPr>
            <w:r>
              <w:rPr>
                <w:rFonts w:hint="eastAsia" w:cs="宋体"/>
                <w:sz w:val="21"/>
                <w:szCs w:val="21"/>
              </w:rPr>
              <w:t>工艺流程和产排污环节</w:t>
            </w:r>
          </w:p>
        </w:tc>
        <w:tc>
          <w:tcPr>
            <w:tcW w:w="8161" w:type="dxa"/>
          </w:tcPr>
          <w:p>
            <w:pPr>
              <w:pStyle w:val="3"/>
              <w:spacing w:before="120" w:after="120"/>
            </w:pPr>
            <w:r>
              <w:rPr>
                <w:rFonts w:hint="eastAsia"/>
              </w:rPr>
              <w:t>工艺流程和产排污环节</w:t>
            </w:r>
          </w:p>
          <w:p>
            <w:pPr>
              <w:pStyle w:val="4"/>
              <w:spacing w:before="120" w:after="120"/>
            </w:pPr>
            <w:r>
              <w:rPr>
                <w:rFonts w:hint="eastAsia"/>
              </w:rPr>
              <w:t>施工期</w:t>
            </w:r>
          </w:p>
          <w:p>
            <w:pPr>
              <w:pStyle w:val="6"/>
              <w:spacing w:before="120" w:after="120"/>
              <w:ind w:firstLine="480"/>
            </w:pPr>
            <w:r>
              <w:rPr>
                <w:rFonts w:hint="eastAsia"/>
              </w:rPr>
              <w:t>工艺流程及产排污环节</w:t>
            </w:r>
          </w:p>
          <w:p>
            <w:pPr>
              <w:pStyle w:val="5"/>
              <w:ind w:firstLine="480"/>
            </w:pPr>
            <w:r>
              <w:rPr>
                <w:rFonts w:hint="eastAsia"/>
              </w:rPr>
              <w:t>项目施工期工艺流程及排污环节见</w:t>
            </w:r>
            <w:r>
              <w:fldChar w:fldCharType="begin"/>
            </w:r>
            <w:r>
              <w:instrText xml:space="preserve"> </w:instrText>
            </w:r>
            <w:r>
              <w:rPr>
                <w:rFonts w:hint="eastAsia"/>
              </w:rPr>
              <w:instrText xml:space="preserve">REF _Ref169701011 \h</w:instrText>
            </w:r>
            <w:r>
              <w:instrText xml:space="preserve"> </w:instrText>
            </w:r>
            <w:r>
              <w:fldChar w:fldCharType="separate"/>
            </w:r>
            <w:r>
              <w:rPr>
                <w:rFonts w:hint="eastAsia"/>
              </w:rPr>
              <w:t xml:space="preserve">图 </w:t>
            </w:r>
            <w:r>
              <w:t>2.7</w:t>
            </w:r>
            <w:r>
              <w:noBreakHyphen/>
            </w:r>
            <w:r>
              <w:t>1</w:t>
            </w:r>
            <w:r>
              <w:fldChar w:fldCharType="end"/>
            </w:r>
            <w:r>
              <w:rPr>
                <w:rFonts w:hint="eastAsia"/>
              </w:rPr>
              <w:t>。</w:t>
            </w:r>
          </w:p>
          <w:p>
            <w:pPr>
              <w:pStyle w:val="63"/>
              <w:keepNext/>
            </w:pPr>
            <w:r>
              <w:rPr>
                <w:rFonts w:hint="eastAsia"/>
              </w:rPr>
              <w:drawing>
                <wp:inline distT="0" distB="0" distL="0" distR="0">
                  <wp:extent cx="4554220" cy="965200"/>
                  <wp:effectExtent l="0" t="0" r="0" b="6350"/>
                  <wp:docPr id="2094104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04973"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54747" cy="965408"/>
                          </a:xfrm>
                          <a:prstGeom prst="rect">
                            <a:avLst/>
                          </a:prstGeom>
                          <a:noFill/>
                          <a:ln>
                            <a:noFill/>
                          </a:ln>
                        </pic:spPr>
                      </pic:pic>
                    </a:graphicData>
                  </a:graphic>
                </wp:inline>
              </w:drawing>
            </w:r>
          </w:p>
          <w:p>
            <w:pPr>
              <w:pStyle w:val="14"/>
            </w:pPr>
            <w:bookmarkStart w:id="26" w:name="_Ref169701011"/>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bookmarkEnd w:id="26"/>
            <w:r>
              <w:rPr>
                <w:rFonts w:hint="eastAsia"/>
              </w:rPr>
              <w:t xml:space="preserve">   施工期工艺流程及排污环节</w:t>
            </w:r>
          </w:p>
          <w:p>
            <w:pPr>
              <w:pStyle w:val="6"/>
              <w:spacing w:before="120" w:after="120"/>
              <w:ind w:firstLine="480"/>
            </w:pPr>
            <w:r>
              <w:rPr>
                <w:rFonts w:hint="eastAsia"/>
              </w:rPr>
              <w:t>废水</w:t>
            </w:r>
          </w:p>
          <w:p>
            <w:pPr>
              <w:pStyle w:val="5"/>
              <w:ind w:firstLine="480"/>
            </w:pPr>
            <w:r>
              <w:rPr>
                <w:rFonts w:hint="eastAsia"/>
              </w:rPr>
              <w:t>工程施工期的水污染源主要有施工人员生活污水、冲洗废水。</w:t>
            </w:r>
          </w:p>
          <w:p>
            <w:pPr>
              <w:pStyle w:val="5"/>
              <w:numPr>
                <w:ilvl w:val="0"/>
                <w:numId w:val="4"/>
              </w:numPr>
              <w:ind w:firstLineChars="0"/>
            </w:pPr>
            <w:r>
              <w:rPr>
                <w:rFonts w:hint="eastAsia"/>
              </w:rPr>
              <w:t>生活污水</w:t>
            </w:r>
          </w:p>
          <w:p>
            <w:pPr>
              <w:pStyle w:val="5"/>
              <w:ind w:firstLine="480"/>
            </w:pPr>
            <w:r>
              <w:rPr>
                <w:rFonts w:hint="eastAsia"/>
              </w:rPr>
              <w:t>工程施工人员约30人，不在施工场地住宿，生活用水量按50L/d•人计算，生活污水产生系数0.8，则生活污水产生量为1.2m</w:t>
            </w:r>
            <w:r>
              <w:rPr>
                <w:rFonts w:hint="eastAsia"/>
                <w:vertAlign w:val="superscript"/>
              </w:rPr>
              <w:t>3</w:t>
            </w:r>
            <w:r>
              <w:rPr>
                <w:rFonts w:hint="eastAsia"/>
              </w:rPr>
              <w:t>/d。生活污水的主要污染因子为COD、BOD</w:t>
            </w:r>
            <w:r>
              <w:rPr>
                <w:rFonts w:hint="eastAsia"/>
                <w:vertAlign w:val="subscript"/>
              </w:rPr>
              <w:t>5</w:t>
            </w:r>
            <w:r>
              <w:rPr>
                <w:rFonts w:hint="eastAsia"/>
              </w:rPr>
              <w:t>、NH</w:t>
            </w:r>
            <w:r>
              <w:rPr>
                <w:rFonts w:hint="eastAsia"/>
                <w:vertAlign w:val="subscript"/>
              </w:rPr>
              <w:t>3</w:t>
            </w:r>
            <w:r>
              <w:rPr>
                <w:rFonts w:hint="eastAsia"/>
              </w:rPr>
              <w:t>-N、SS，浓度分别为COD 400mg/L、BOD</w:t>
            </w:r>
            <w:r>
              <w:rPr>
                <w:rFonts w:hint="eastAsia"/>
                <w:vertAlign w:val="subscript"/>
              </w:rPr>
              <w:t>5</w:t>
            </w:r>
            <w:r>
              <w:rPr>
                <w:rFonts w:hint="eastAsia"/>
              </w:rPr>
              <w:t xml:space="preserve"> 200mg/L、NH</w:t>
            </w:r>
            <w:r>
              <w:rPr>
                <w:rFonts w:hint="eastAsia"/>
                <w:vertAlign w:val="subscript"/>
              </w:rPr>
              <w:t>3</w:t>
            </w:r>
            <w:r>
              <w:rPr>
                <w:rFonts w:hint="eastAsia"/>
              </w:rPr>
              <w:t>-N 35mg/L、SS 220mg/L，产生量分别为COD 0.48kg/d、BOD</w:t>
            </w:r>
            <w:r>
              <w:rPr>
                <w:rFonts w:hint="eastAsia"/>
                <w:vertAlign w:val="subscript"/>
              </w:rPr>
              <w:t>5</w:t>
            </w:r>
            <w:r>
              <w:rPr>
                <w:rFonts w:hint="eastAsia"/>
              </w:rPr>
              <w:t xml:space="preserve"> 0.24kg/d、NH</w:t>
            </w:r>
            <w:r>
              <w:rPr>
                <w:rFonts w:hint="eastAsia"/>
                <w:vertAlign w:val="subscript"/>
              </w:rPr>
              <w:t>3</w:t>
            </w:r>
            <w:r>
              <w:rPr>
                <w:rFonts w:hint="eastAsia"/>
              </w:rPr>
              <w:t>-N 0.042kg/d、SS 0.27kg/d。生活污水通过施工营地内设置的化粪池收集后用于周围果园做肥料利用。</w:t>
            </w:r>
          </w:p>
          <w:p>
            <w:pPr>
              <w:pStyle w:val="5"/>
              <w:numPr>
                <w:ilvl w:val="0"/>
                <w:numId w:val="4"/>
              </w:numPr>
              <w:ind w:firstLineChars="0"/>
            </w:pPr>
            <w:r>
              <w:rPr>
                <w:rFonts w:hint="eastAsia"/>
              </w:rPr>
              <w:t>冲洗废水</w:t>
            </w:r>
          </w:p>
          <w:p>
            <w:pPr>
              <w:pStyle w:val="5"/>
              <w:ind w:firstLine="480"/>
            </w:pPr>
            <w:r>
              <w:rPr>
                <w:rFonts w:hint="eastAsia"/>
              </w:rPr>
              <w:t>冲洗废水主要包括场地冲洗废水和车辆冲洗废水。其中场地冲洗废水中含有大量泥沙，悬浮物浓度较高，一般在1000~2000mg/L，产生量约2m</w:t>
            </w:r>
            <w:r>
              <w:rPr>
                <w:rFonts w:hint="eastAsia"/>
                <w:vertAlign w:val="superscript"/>
              </w:rPr>
              <w:t>3</w:t>
            </w:r>
            <w:r>
              <w:rPr>
                <w:rFonts w:hint="eastAsia"/>
              </w:rPr>
              <w:t>/d；施工场地周边设置边沟收集漫溢的冲洗废水，收集废水通过沉淀池处理后回用于场地喷洒降尘，不外排。车辆冲洗废水中含有悬浮物和少量石油类，SS浓度约为2000~3000mg/L，石油类浓度约为15~20mg/L，废水产生量约为1m</w:t>
            </w:r>
            <w:r>
              <w:rPr>
                <w:rFonts w:hint="eastAsia"/>
                <w:vertAlign w:val="superscript"/>
              </w:rPr>
              <w:t>3</w:t>
            </w:r>
            <w:r>
              <w:rPr>
                <w:rFonts w:hint="eastAsia"/>
              </w:rPr>
              <w:t>/d，车辆冲洗施工营地进出口新建冲洗点，冲洗废水经隔油、沉淀处理后循环使用，不外排。</w:t>
            </w:r>
          </w:p>
          <w:p>
            <w:pPr>
              <w:pStyle w:val="5"/>
              <w:ind w:firstLine="480"/>
            </w:pPr>
            <w:r>
              <w:rPr>
                <w:rFonts w:hint="eastAsia"/>
              </w:rPr>
              <w:t>（3）混凝土养护废水</w:t>
            </w:r>
          </w:p>
          <w:p>
            <w:pPr>
              <w:pStyle w:val="5"/>
              <w:ind w:firstLine="480"/>
            </w:pPr>
            <w:r>
              <w:rPr>
                <w:rFonts w:hint="eastAsia"/>
              </w:rPr>
              <w:t>混凝土养护废水中悬浮物浓度较高，一般在1000~2000mg/L，产生量约0.5m</w:t>
            </w:r>
            <w:r>
              <w:rPr>
                <w:rFonts w:hint="eastAsia"/>
                <w:vertAlign w:val="superscript"/>
              </w:rPr>
              <w:t>3</w:t>
            </w:r>
            <w:r>
              <w:rPr>
                <w:rFonts w:hint="eastAsia"/>
              </w:rPr>
              <w:t>/d；施工场地周边设置边沟收集，收集废水通过施工现场设置沉淀池处理后回用于场地喷洒降尘，不外排。</w:t>
            </w:r>
          </w:p>
          <w:p>
            <w:pPr>
              <w:pStyle w:val="6"/>
              <w:spacing w:before="120" w:after="120"/>
              <w:ind w:firstLine="480"/>
            </w:pPr>
            <w:r>
              <w:rPr>
                <w:rFonts w:hint="eastAsia"/>
              </w:rPr>
              <w:t>废气</w:t>
            </w:r>
          </w:p>
          <w:p>
            <w:pPr>
              <w:pStyle w:val="5"/>
              <w:ind w:firstLine="480"/>
            </w:pPr>
            <w:r>
              <w:rPr>
                <w:rFonts w:hint="eastAsia"/>
              </w:rPr>
              <w:t>施工期空气污染源主要包括施工扬尘、机械车辆尾气。</w:t>
            </w:r>
          </w:p>
          <w:p>
            <w:pPr>
              <w:pStyle w:val="5"/>
              <w:ind w:firstLine="480"/>
            </w:pPr>
            <w:r>
              <w:rPr>
                <w:rFonts w:hint="eastAsia"/>
              </w:rPr>
              <w:t>（1）施工扬尘</w:t>
            </w:r>
          </w:p>
          <w:p>
            <w:pPr>
              <w:pStyle w:val="5"/>
              <w:ind w:firstLine="480"/>
            </w:pPr>
            <w:r>
              <w:rPr>
                <w:rFonts w:hint="eastAsia"/>
              </w:rPr>
              <w:t>施工期由于粉状建材装卸、混凝土施工和建筑材料运输等施工活动，将产生大量的粉尘、扬尘，使施工作业区附近空气中颗粒物浓度升高。在正常风速下，施工活动现场近地面TSP浓度在1.5~30mg/m</w:t>
            </w:r>
            <w:r>
              <w:rPr>
                <w:rFonts w:hint="eastAsia"/>
                <w:vertAlign w:val="superscript"/>
              </w:rPr>
              <w:t>3</w:t>
            </w:r>
            <w:r>
              <w:rPr>
                <w:rFonts w:hint="eastAsia"/>
              </w:rPr>
              <w:t>。</w:t>
            </w:r>
          </w:p>
          <w:p>
            <w:pPr>
              <w:pStyle w:val="5"/>
              <w:ind w:firstLine="480"/>
            </w:pPr>
            <w:r>
              <w:t>本工程运输车辆以载重汽车为主，通过不同表面清洁程度的路面时，不同行驶速度情况下产生的扬尘</w:t>
            </w:r>
            <w:r>
              <w:rPr>
                <w:rStyle w:val="60"/>
              </w:rPr>
              <w:t>量见</w:t>
            </w:r>
            <w:r>
              <w:rPr>
                <w:rStyle w:val="60"/>
              </w:rPr>
              <w:fldChar w:fldCharType="begin"/>
            </w:r>
            <w:r>
              <w:rPr>
                <w:rStyle w:val="60"/>
              </w:rPr>
              <w:instrText xml:space="preserve"> REF _Ref31624836 \h  \* MERGEFORMAT </w:instrText>
            </w:r>
            <w:r>
              <w:rPr>
                <w:rStyle w:val="60"/>
              </w:rPr>
              <w:fldChar w:fldCharType="separate"/>
            </w:r>
            <w:r>
              <w:rPr>
                <w:rStyle w:val="60"/>
                <w:rFonts w:hint="eastAsia"/>
              </w:rPr>
              <w:t xml:space="preserve">表 </w:t>
            </w:r>
            <w:r>
              <w:rPr>
                <w:rStyle w:val="60"/>
              </w:rPr>
              <w:t>2.7</w:t>
            </w:r>
            <w:r>
              <w:rPr>
                <w:rStyle w:val="60"/>
              </w:rPr>
              <w:noBreakHyphen/>
            </w:r>
            <w:r>
              <w:rPr>
                <w:rStyle w:val="60"/>
              </w:rPr>
              <w:t>1</w:t>
            </w:r>
            <w:r>
              <w:rPr>
                <w:rStyle w:val="60"/>
              </w:rPr>
              <w:fldChar w:fldCharType="end"/>
            </w:r>
            <w:r>
              <w:rPr>
                <w:rStyle w:val="60"/>
              </w:rPr>
              <w:t>。</w:t>
            </w:r>
          </w:p>
          <w:p>
            <w:pPr>
              <w:pStyle w:val="14"/>
              <w:keepNext/>
            </w:pPr>
            <w:bookmarkStart w:id="27" w:name="_Ref31624836"/>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27"/>
            <w:r>
              <w:rPr>
                <w:rFonts w:hint="eastAsia"/>
              </w:rPr>
              <w:t xml:space="preserve">   不同车速和地面清洁程度时的汽车扬尘  kg/km•辆</w:t>
            </w:r>
          </w:p>
          <w:tbl>
            <w:tblPr>
              <w:tblStyle w:val="38"/>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044"/>
              <w:gridCol w:w="943"/>
              <w:gridCol w:w="943"/>
              <w:gridCol w:w="886"/>
              <w:gridCol w:w="1165"/>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3" w:type="dxa"/>
                  <w:tcBorders>
                    <w:tl2br w:val="single" w:color="auto" w:sz="4" w:space="0"/>
                  </w:tcBorders>
                  <w:vAlign w:val="center"/>
                </w:tcPr>
                <w:p>
                  <w:pPr>
                    <w:pStyle w:val="63"/>
                    <w:jc w:val="right"/>
                  </w:pPr>
                  <w:bookmarkStart w:id="28" w:name="OLE_LINK52" w:colFirst="1" w:colLast="6"/>
                  <w:r>
                    <w:rPr>
                      <w:rFonts w:hint="eastAsia"/>
                    </w:rPr>
                    <w:t xml:space="preserve"> </w:t>
                  </w:r>
                  <w:r>
                    <w:t>P(kg/m</w:t>
                  </w:r>
                  <w:r>
                    <w:rPr>
                      <w:vertAlign w:val="superscript"/>
                    </w:rPr>
                    <w:t>2</w:t>
                  </w:r>
                  <w:r>
                    <w:t>)</w:t>
                  </w:r>
                </w:p>
                <w:p>
                  <w:pPr>
                    <w:pStyle w:val="63"/>
                    <w:jc w:val="left"/>
                  </w:pPr>
                  <w:r>
                    <w:rPr>
                      <w:rFonts w:hint="eastAsia" w:ascii="宋体" w:hAnsi="宋体" w:cs="宋体"/>
                    </w:rPr>
                    <w:t>车速</w:t>
                  </w:r>
                  <w:r>
                    <w:t>(km/h)</w:t>
                  </w:r>
                </w:p>
              </w:tc>
              <w:tc>
                <w:tcPr>
                  <w:tcW w:w="1044" w:type="dxa"/>
                  <w:vAlign w:val="center"/>
                </w:tcPr>
                <w:p>
                  <w:pPr>
                    <w:pStyle w:val="63"/>
                  </w:pPr>
                  <w:r>
                    <w:t>0.1</w:t>
                  </w:r>
                </w:p>
              </w:tc>
              <w:tc>
                <w:tcPr>
                  <w:tcW w:w="943" w:type="dxa"/>
                  <w:vAlign w:val="center"/>
                </w:tcPr>
                <w:p>
                  <w:pPr>
                    <w:pStyle w:val="63"/>
                  </w:pPr>
                  <w:r>
                    <w:t>0.2</w:t>
                  </w:r>
                </w:p>
              </w:tc>
              <w:tc>
                <w:tcPr>
                  <w:tcW w:w="943" w:type="dxa"/>
                  <w:vAlign w:val="center"/>
                </w:tcPr>
                <w:p>
                  <w:pPr>
                    <w:pStyle w:val="63"/>
                  </w:pPr>
                  <w:r>
                    <w:t>0.3</w:t>
                  </w:r>
                </w:p>
              </w:tc>
              <w:tc>
                <w:tcPr>
                  <w:tcW w:w="886" w:type="dxa"/>
                  <w:vAlign w:val="center"/>
                </w:tcPr>
                <w:p>
                  <w:pPr>
                    <w:pStyle w:val="63"/>
                  </w:pPr>
                  <w:r>
                    <w:t>0.4</w:t>
                  </w:r>
                </w:p>
              </w:tc>
              <w:tc>
                <w:tcPr>
                  <w:tcW w:w="1165" w:type="dxa"/>
                  <w:vAlign w:val="center"/>
                </w:tcPr>
                <w:p>
                  <w:pPr>
                    <w:pStyle w:val="63"/>
                  </w:pPr>
                  <w:r>
                    <w:t>0.5</w:t>
                  </w:r>
                </w:p>
              </w:tc>
              <w:tc>
                <w:tcPr>
                  <w:tcW w:w="941" w:type="dxa"/>
                  <w:vAlign w:val="center"/>
                </w:tcPr>
                <w:p>
                  <w:pPr>
                    <w:pStyle w:val="63"/>
                  </w:pPr>
                  <w:r>
                    <w:t>1.0</w:t>
                  </w:r>
                </w:p>
              </w:tc>
            </w:tr>
            <w:bookmarkEnd w:id="2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3" w:type="dxa"/>
                  <w:vAlign w:val="center"/>
                </w:tcPr>
                <w:p>
                  <w:pPr>
                    <w:pStyle w:val="63"/>
                  </w:pPr>
                  <w:bookmarkStart w:id="29" w:name="OLE_LINK53" w:colFirst="0" w:colLast="0"/>
                  <w:r>
                    <w:t>5</w:t>
                  </w:r>
                </w:p>
              </w:tc>
              <w:tc>
                <w:tcPr>
                  <w:tcW w:w="1044" w:type="dxa"/>
                  <w:vAlign w:val="center"/>
                </w:tcPr>
                <w:p>
                  <w:pPr>
                    <w:pStyle w:val="63"/>
                    <w:rPr>
                      <w:szCs w:val="21"/>
                    </w:rPr>
                  </w:pPr>
                  <w:r>
                    <w:rPr>
                      <w:szCs w:val="21"/>
                    </w:rPr>
                    <w:t>0.2301</w:t>
                  </w:r>
                </w:p>
              </w:tc>
              <w:tc>
                <w:tcPr>
                  <w:tcW w:w="943" w:type="dxa"/>
                  <w:vAlign w:val="center"/>
                </w:tcPr>
                <w:p>
                  <w:pPr>
                    <w:pStyle w:val="63"/>
                    <w:rPr>
                      <w:szCs w:val="21"/>
                    </w:rPr>
                  </w:pPr>
                  <w:r>
                    <w:rPr>
                      <w:szCs w:val="21"/>
                    </w:rPr>
                    <w:t>0.3869</w:t>
                  </w:r>
                </w:p>
              </w:tc>
              <w:tc>
                <w:tcPr>
                  <w:tcW w:w="943" w:type="dxa"/>
                  <w:vAlign w:val="center"/>
                </w:tcPr>
                <w:p>
                  <w:pPr>
                    <w:pStyle w:val="63"/>
                    <w:rPr>
                      <w:szCs w:val="21"/>
                    </w:rPr>
                  </w:pPr>
                  <w:r>
                    <w:rPr>
                      <w:szCs w:val="21"/>
                    </w:rPr>
                    <w:t>0.5244</w:t>
                  </w:r>
                </w:p>
              </w:tc>
              <w:tc>
                <w:tcPr>
                  <w:tcW w:w="886" w:type="dxa"/>
                  <w:vAlign w:val="center"/>
                </w:tcPr>
                <w:p>
                  <w:pPr>
                    <w:pStyle w:val="63"/>
                    <w:rPr>
                      <w:szCs w:val="21"/>
                    </w:rPr>
                  </w:pPr>
                  <w:r>
                    <w:rPr>
                      <w:szCs w:val="21"/>
                    </w:rPr>
                    <w:t>0.6507</w:t>
                  </w:r>
                </w:p>
              </w:tc>
              <w:tc>
                <w:tcPr>
                  <w:tcW w:w="1165" w:type="dxa"/>
                  <w:vAlign w:val="center"/>
                </w:tcPr>
                <w:p>
                  <w:pPr>
                    <w:pStyle w:val="63"/>
                    <w:rPr>
                      <w:szCs w:val="21"/>
                    </w:rPr>
                  </w:pPr>
                  <w:r>
                    <w:rPr>
                      <w:szCs w:val="21"/>
                    </w:rPr>
                    <w:t>0.7693</w:t>
                  </w:r>
                </w:p>
              </w:tc>
              <w:tc>
                <w:tcPr>
                  <w:tcW w:w="941" w:type="dxa"/>
                  <w:vAlign w:val="center"/>
                </w:tcPr>
                <w:p>
                  <w:pPr>
                    <w:pStyle w:val="63"/>
                    <w:rPr>
                      <w:szCs w:val="21"/>
                    </w:rPr>
                  </w:pPr>
                  <w:r>
                    <w:rPr>
                      <w:szCs w:val="21"/>
                    </w:rPr>
                    <w:t>1.2938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3" w:type="dxa"/>
                  <w:vAlign w:val="center"/>
                </w:tcPr>
                <w:p>
                  <w:pPr>
                    <w:pStyle w:val="63"/>
                  </w:pPr>
                  <w:r>
                    <w:t>10</w:t>
                  </w:r>
                </w:p>
              </w:tc>
              <w:tc>
                <w:tcPr>
                  <w:tcW w:w="1044" w:type="dxa"/>
                  <w:vAlign w:val="center"/>
                </w:tcPr>
                <w:p>
                  <w:pPr>
                    <w:pStyle w:val="63"/>
                    <w:rPr>
                      <w:szCs w:val="21"/>
                    </w:rPr>
                  </w:pPr>
                  <w:r>
                    <w:rPr>
                      <w:szCs w:val="21"/>
                    </w:rPr>
                    <w:t>0.4601</w:t>
                  </w:r>
                </w:p>
              </w:tc>
              <w:tc>
                <w:tcPr>
                  <w:tcW w:w="943" w:type="dxa"/>
                  <w:vAlign w:val="center"/>
                </w:tcPr>
                <w:p>
                  <w:pPr>
                    <w:pStyle w:val="63"/>
                    <w:rPr>
                      <w:szCs w:val="21"/>
                    </w:rPr>
                  </w:pPr>
                  <w:r>
                    <w:rPr>
                      <w:szCs w:val="21"/>
                    </w:rPr>
                    <w:t>0.7739</w:t>
                  </w:r>
                </w:p>
              </w:tc>
              <w:tc>
                <w:tcPr>
                  <w:tcW w:w="943" w:type="dxa"/>
                  <w:vAlign w:val="center"/>
                </w:tcPr>
                <w:p>
                  <w:pPr>
                    <w:pStyle w:val="63"/>
                    <w:rPr>
                      <w:szCs w:val="21"/>
                    </w:rPr>
                  </w:pPr>
                  <w:r>
                    <w:rPr>
                      <w:szCs w:val="21"/>
                    </w:rPr>
                    <w:t>1.0489</w:t>
                  </w:r>
                </w:p>
              </w:tc>
              <w:tc>
                <w:tcPr>
                  <w:tcW w:w="886" w:type="dxa"/>
                  <w:vAlign w:val="center"/>
                </w:tcPr>
                <w:p>
                  <w:pPr>
                    <w:pStyle w:val="63"/>
                    <w:rPr>
                      <w:szCs w:val="21"/>
                    </w:rPr>
                  </w:pPr>
                  <w:r>
                    <w:rPr>
                      <w:szCs w:val="21"/>
                    </w:rPr>
                    <w:t>1.3015</w:t>
                  </w:r>
                </w:p>
              </w:tc>
              <w:tc>
                <w:tcPr>
                  <w:tcW w:w="1165" w:type="dxa"/>
                  <w:vAlign w:val="center"/>
                </w:tcPr>
                <w:p>
                  <w:pPr>
                    <w:pStyle w:val="63"/>
                    <w:rPr>
                      <w:szCs w:val="21"/>
                    </w:rPr>
                  </w:pPr>
                  <w:r>
                    <w:rPr>
                      <w:szCs w:val="21"/>
                    </w:rPr>
                    <w:t>1.5386</w:t>
                  </w:r>
                </w:p>
              </w:tc>
              <w:tc>
                <w:tcPr>
                  <w:tcW w:w="941" w:type="dxa"/>
                  <w:vAlign w:val="center"/>
                </w:tcPr>
                <w:p>
                  <w:pPr>
                    <w:pStyle w:val="63"/>
                    <w:rPr>
                      <w:szCs w:val="21"/>
                    </w:rPr>
                  </w:pPr>
                  <w:r>
                    <w:rPr>
                      <w:szCs w:val="21"/>
                    </w:rPr>
                    <w:t>2.5876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3" w:type="dxa"/>
                  <w:vAlign w:val="center"/>
                </w:tcPr>
                <w:p>
                  <w:pPr>
                    <w:pStyle w:val="63"/>
                  </w:pPr>
                  <w:r>
                    <w:t>15</w:t>
                  </w:r>
                </w:p>
              </w:tc>
              <w:tc>
                <w:tcPr>
                  <w:tcW w:w="1044" w:type="dxa"/>
                  <w:vAlign w:val="center"/>
                </w:tcPr>
                <w:p>
                  <w:pPr>
                    <w:pStyle w:val="63"/>
                    <w:rPr>
                      <w:szCs w:val="21"/>
                    </w:rPr>
                  </w:pPr>
                  <w:r>
                    <w:rPr>
                      <w:szCs w:val="21"/>
                    </w:rPr>
                    <w:t>0.6902</w:t>
                  </w:r>
                </w:p>
              </w:tc>
              <w:tc>
                <w:tcPr>
                  <w:tcW w:w="943" w:type="dxa"/>
                  <w:vAlign w:val="center"/>
                </w:tcPr>
                <w:p>
                  <w:pPr>
                    <w:pStyle w:val="63"/>
                    <w:rPr>
                      <w:szCs w:val="21"/>
                    </w:rPr>
                  </w:pPr>
                  <w:r>
                    <w:rPr>
                      <w:szCs w:val="21"/>
                    </w:rPr>
                    <w:t>1.1608</w:t>
                  </w:r>
                </w:p>
              </w:tc>
              <w:tc>
                <w:tcPr>
                  <w:tcW w:w="943" w:type="dxa"/>
                  <w:vAlign w:val="center"/>
                </w:tcPr>
                <w:p>
                  <w:pPr>
                    <w:pStyle w:val="63"/>
                    <w:rPr>
                      <w:szCs w:val="21"/>
                    </w:rPr>
                  </w:pPr>
                  <w:r>
                    <w:rPr>
                      <w:szCs w:val="21"/>
                    </w:rPr>
                    <w:t>1.5733</w:t>
                  </w:r>
                </w:p>
              </w:tc>
              <w:tc>
                <w:tcPr>
                  <w:tcW w:w="886" w:type="dxa"/>
                  <w:vAlign w:val="center"/>
                </w:tcPr>
                <w:p>
                  <w:pPr>
                    <w:pStyle w:val="63"/>
                    <w:rPr>
                      <w:szCs w:val="21"/>
                    </w:rPr>
                  </w:pPr>
                  <w:r>
                    <w:rPr>
                      <w:szCs w:val="21"/>
                    </w:rPr>
                    <w:t>1.9522</w:t>
                  </w:r>
                </w:p>
              </w:tc>
              <w:tc>
                <w:tcPr>
                  <w:tcW w:w="1165" w:type="dxa"/>
                  <w:vAlign w:val="center"/>
                </w:tcPr>
                <w:p>
                  <w:pPr>
                    <w:pStyle w:val="63"/>
                    <w:rPr>
                      <w:szCs w:val="21"/>
                    </w:rPr>
                  </w:pPr>
                  <w:r>
                    <w:rPr>
                      <w:szCs w:val="21"/>
                    </w:rPr>
                    <w:t>2.3079</w:t>
                  </w:r>
                </w:p>
              </w:tc>
              <w:tc>
                <w:tcPr>
                  <w:tcW w:w="941" w:type="dxa"/>
                  <w:vAlign w:val="center"/>
                </w:tcPr>
                <w:p>
                  <w:pPr>
                    <w:pStyle w:val="63"/>
                    <w:rPr>
                      <w:szCs w:val="21"/>
                    </w:rPr>
                  </w:pPr>
                  <w:r>
                    <w:rPr>
                      <w:szCs w:val="21"/>
                    </w:rPr>
                    <w:t>3.8813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013" w:type="dxa"/>
                  <w:vAlign w:val="center"/>
                </w:tcPr>
                <w:p>
                  <w:pPr>
                    <w:pStyle w:val="63"/>
                  </w:pPr>
                  <w:r>
                    <w:t>20</w:t>
                  </w:r>
                </w:p>
              </w:tc>
              <w:tc>
                <w:tcPr>
                  <w:tcW w:w="1044" w:type="dxa"/>
                  <w:vAlign w:val="center"/>
                </w:tcPr>
                <w:p>
                  <w:pPr>
                    <w:pStyle w:val="63"/>
                    <w:rPr>
                      <w:szCs w:val="21"/>
                    </w:rPr>
                  </w:pPr>
                  <w:r>
                    <w:rPr>
                      <w:szCs w:val="21"/>
                    </w:rPr>
                    <w:t>0.9203</w:t>
                  </w:r>
                </w:p>
              </w:tc>
              <w:tc>
                <w:tcPr>
                  <w:tcW w:w="943" w:type="dxa"/>
                  <w:vAlign w:val="center"/>
                </w:tcPr>
                <w:p>
                  <w:pPr>
                    <w:pStyle w:val="63"/>
                    <w:rPr>
                      <w:szCs w:val="21"/>
                    </w:rPr>
                  </w:pPr>
                  <w:r>
                    <w:rPr>
                      <w:szCs w:val="21"/>
                    </w:rPr>
                    <w:t>1.5477</w:t>
                  </w:r>
                </w:p>
              </w:tc>
              <w:tc>
                <w:tcPr>
                  <w:tcW w:w="943" w:type="dxa"/>
                  <w:vAlign w:val="center"/>
                </w:tcPr>
                <w:p>
                  <w:pPr>
                    <w:pStyle w:val="63"/>
                    <w:rPr>
                      <w:szCs w:val="21"/>
                    </w:rPr>
                  </w:pPr>
                  <w:r>
                    <w:rPr>
                      <w:szCs w:val="21"/>
                    </w:rPr>
                    <w:t>2.0978</w:t>
                  </w:r>
                </w:p>
              </w:tc>
              <w:tc>
                <w:tcPr>
                  <w:tcW w:w="886" w:type="dxa"/>
                  <w:vAlign w:val="center"/>
                </w:tcPr>
                <w:p>
                  <w:pPr>
                    <w:pStyle w:val="63"/>
                    <w:rPr>
                      <w:szCs w:val="21"/>
                    </w:rPr>
                  </w:pPr>
                  <w:r>
                    <w:rPr>
                      <w:szCs w:val="21"/>
                    </w:rPr>
                    <w:t>2.6029</w:t>
                  </w:r>
                </w:p>
              </w:tc>
              <w:tc>
                <w:tcPr>
                  <w:tcW w:w="1165" w:type="dxa"/>
                  <w:vAlign w:val="center"/>
                </w:tcPr>
                <w:p>
                  <w:pPr>
                    <w:pStyle w:val="63"/>
                    <w:rPr>
                      <w:szCs w:val="21"/>
                    </w:rPr>
                  </w:pPr>
                  <w:r>
                    <w:rPr>
                      <w:szCs w:val="21"/>
                    </w:rPr>
                    <w:t>3.0771</w:t>
                  </w:r>
                </w:p>
              </w:tc>
              <w:tc>
                <w:tcPr>
                  <w:tcW w:w="941" w:type="dxa"/>
                  <w:vAlign w:val="center"/>
                </w:tcPr>
                <w:p>
                  <w:pPr>
                    <w:pStyle w:val="63"/>
                    <w:rPr>
                      <w:szCs w:val="21"/>
                    </w:rPr>
                  </w:pPr>
                  <w:r>
                    <w:rPr>
                      <w:szCs w:val="21"/>
                    </w:rPr>
                    <w:t>5.1751</w:t>
                  </w:r>
                </w:p>
              </w:tc>
            </w:tr>
            <w:bookmarkEnd w:id="29"/>
          </w:tbl>
          <w:p/>
          <w:p>
            <w:pPr>
              <w:pStyle w:val="5"/>
              <w:ind w:firstLine="480"/>
            </w:pPr>
            <w:r>
              <w:t>由</w:t>
            </w:r>
            <w:r>
              <w:rPr>
                <w:rFonts w:hint="eastAsia"/>
              </w:rPr>
              <w:t>上表</w:t>
            </w:r>
            <w:r>
              <w:t>可</w:t>
            </w:r>
            <w:r>
              <w:rPr>
                <w:rFonts w:hint="eastAsia"/>
              </w:rPr>
              <w:t>知</w:t>
            </w:r>
            <w:r>
              <w:t>，在同样路面清洁情况下，车速越快，扬尘量越大；而在同样车速情况下，路面清洁度越差，则扬尘量越大。</w:t>
            </w:r>
            <w:r>
              <w:rPr>
                <w:rFonts w:hint="eastAsia"/>
              </w:rPr>
              <w:t>本项目车速为20km/h，考虑到施工周围主要为在建工地，P取1.0，则单车汽车扬尘产生量5.1751kg/km·辆。</w:t>
            </w:r>
          </w:p>
          <w:p>
            <w:pPr>
              <w:pStyle w:val="5"/>
              <w:ind w:firstLine="480"/>
            </w:pPr>
            <w:r>
              <w:rPr>
                <w:rFonts w:hint="eastAsia"/>
              </w:rPr>
              <w:t>（2）机械车辆尾气</w:t>
            </w:r>
          </w:p>
          <w:p>
            <w:pPr>
              <w:pStyle w:val="5"/>
              <w:ind w:firstLine="480"/>
            </w:pPr>
            <w:r>
              <w:rPr>
                <w:rFonts w:hint="eastAsia"/>
              </w:rPr>
              <w:t>施工主要以燃油机械设备、车辆为主，施工作业时产生的燃油废气，主要含有烃类、NO</w:t>
            </w:r>
            <w:r>
              <w:rPr>
                <w:rFonts w:hint="eastAsia"/>
                <w:vertAlign w:val="subscript"/>
              </w:rPr>
              <w:t>2</w:t>
            </w:r>
            <w:r>
              <w:rPr>
                <w:rFonts w:hint="eastAsia"/>
              </w:rPr>
              <w:t>、CO等，其污染物排放情况详见</w:t>
            </w:r>
            <w:r>
              <w:fldChar w:fldCharType="begin"/>
            </w:r>
            <w:r>
              <w:instrText xml:space="preserve"> </w:instrText>
            </w:r>
            <w:r>
              <w:rPr>
                <w:rFonts w:hint="eastAsia"/>
              </w:rPr>
              <w:instrText xml:space="preserve">REF _Ref31624957 \h</w:instrText>
            </w:r>
            <w:r>
              <w:instrText xml:space="preserve">  \* MERGEFORMAT </w:instrText>
            </w:r>
            <w:r>
              <w:fldChar w:fldCharType="separate"/>
            </w:r>
            <w:r>
              <w:rPr>
                <w:rFonts w:hint="eastAsia"/>
              </w:rPr>
              <w:t xml:space="preserve">表 </w:t>
            </w:r>
            <w:r>
              <w:t>2.7</w:t>
            </w:r>
            <w:r>
              <w:noBreakHyphen/>
            </w:r>
            <w:r>
              <w:t>2</w:t>
            </w:r>
            <w:r>
              <w:fldChar w:fldCharType="end"/>
            </w:r>
            <w:r>
              <w:rPr>
                <w:rFonts w:hint="eastAsia"/>
              </w:rPr>
              <w:t>。</w:t>
            </w:r>
          </w:p>
          <w:p>
            <w:pPr>
              <w:pStyle w:val="14"/>
              <w:keepNext/>
            </w:pPr>
            <w:bookmarkStart w:id="30" w:name="_Ref31624957"/>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30"/>
            <w:r>
              <w:rPr>
                <w:rFonts w:hint="eastAsia"/>
              </w:rPr>
              <w:t xml:space="preserve">   施工机械车辆船舶污染物污排放情况</w:t>
            </w:r>
          </w:p>
          <w:tbl>
            <w:tblPr>
              <w:tblStyle w:val="39"/>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635"/>
              <w:gridCol w:w="1615"/>
              <w:gridCol w:w="3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vMerge w:val="restart"/>
                  <w:vAlign w:val="center"/>
                </w:tcPr>
                <w:p>
                  <w:pPr>
                    <w:pStyle w:val="63"/>
                  </w:pPr>
                  <w:r>
                    <w:rPr>
                      <w:rFonts w:hint="eastAsia"/>
                    </w:rPr>
                    <w:t>污染物</w:t>
                  </w:r>
                </w:p>
              </w:tc>
              <w:tc>
                <w:tcPr>
                  <w:tcW w:w="3250" w:type="dxa"/>
                  <w:gridSpan w:val="2"/>
                </w:tcPr>
                <w:p>
                  <w:pPr>
                    <w:pStyle w:val="63"/>
                  </w:pPr>
                  <w:r>
                    <w:rPr>
                      <w:rFonts w:hint="eastAsia"/>
                    </w:rPr>
                    <w:t>污染物排放量（g/L）</w:t>
                  </w:r>
                </w:p>
              </w:tc>
              <w:tc>
                <w:tcPr>
                  <w:tcW w:w="3072" w:type="dxa"/>
                </w:tcPr>
                <w:p>
                  <w:pPr>
                    <w:pStyle w:val="63"/>
                  </w:pPr>
                  <w:r>
                    <w:rPr>
                      <w:rFonts w:hint="eastAsia"/>
                    </w:rPr>
                    <w:t>典型施工机械排放量（g/100km）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vMerge w:val="continue"/>
                  <w:vAlign w:val="center"/>
                </w:tcPr>
                <w:p>
                  <w:pPr>
                    <w:pStyle w:val="63"/>
                  </w:pPr>
                </w:p>
              </w:tc>
              <w:tc>
                <w:tcPr>
                  <w:tcW w:w="1635" w:type="dxa"/>
                </w:tcPr>
                <w:p>
                  <w:pPr>
                    <w:pStyle w:val="63"/>
                  </w:pPr>
                  <w:r>
                    <w:rPr>
                      <w:rFonts w:hint="eastAsia"/>
                    </w:rPr>
                    <w:t>汽油</w:t>
                  </w:r>
                </w:p>
              </w:tc>
              <w:tc>
                <w:tcPr>
                  <w:tcW w:w="1615" w:type="dxa"/>
                </w:tcPr>
                <w:p>
                  <w:pPr>
                    <w:pStyle w:val="63"/>
                  </w:pPr>
                  <w:r>
                    <w:rPr>
                      <w:rFonts w:hint="eastAsia"/>
                    </w:rPr>
                    <w:t>柴油</w:t>
                  </w:r>
                </w:p>
              </w:tc>
              <w:tc>
                <w:tcPr>
                  <w:tcW w:w="3072" w:type="dxa"/>
                </w:tcPr>
                <w:p>
                  <w:pPr>
                    <w:pStyle w:val="63"/>
                  </w:pPr>
                  <w:r>
                    <w:rPr>
                      <w:rFonts w:hint="eastAsia"/>
                    </w:rPr>
                    <w:t>8t柴油载重车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vAlign w:val="center"/>
                </w:tcPr>
                <w:p>
                  <w:pPr>
                    <w:pStyle w:val="63"/>
                  </w:pPr>
                  <w:r>
                    <w:rPr>
                      <w:rFonts w:hint="eastAsia"/>
                    </w:rPr>
                    <w:t>SO</w:t>
                  </w:r>
                  <w:r>
                    <w:rPr>
                      <w:rFonts w:hint="eastAsia"/>
                      <w:vertAlign w:val="subscript"/>
                    </w:rPr>
                    <w:t>2</w:t>
                  </w:r>
                </w:p>
              </w:tc>
              <w:tc>
                <w:tcPr>
                  <w:tcW w:w="1635" w:type="dxa"/>
                  <w:vAlign w:val="center"/>
                </w:tcPr>
                <w:p>
                  <w:pPr>
                    <w:pStyle w:val="63"/>
                    <w:rPr>
                      <w:szCs w:val="21"/>
                    </w:rPr>
                  </w:pPr>
                  <w:r>
                    <w:rPr>
                      <w:rFonts w:hint="eastAsia"/>
                      <w:szCs w:val="21"/>
                    </w:rPr>
                    <w:t>0.295</w:t>
                  </w:r>
                </w:p>
              </w:tc>
              <w:tc>
                <w:tcPr>
                  <w:tcW w:w="1615" w:type="dxa"/>
                </w:tcPr>
                <w:p>
                  <w:pPr>
                    <w:pStyle w:val="63"/>
                    <w:rPr>
                      <w:szCs w:val="21"/>
                    </w:rPr>
                  </w:pPr>
                  <w:r>
                    <w:rPr>
                      <w:rFonts w:hint="eastAsia"/>
                      <w:szCs w:val="21"/>
                    </w:rPr>
                    <w:t>3.24</w:t>
                  </w:r>
                </w:p>
              </w:tc>
              <w:tc>
                <w:tcPr>
                  <w:tcW w:w="3072" w:type="dxa"/>
                </w:tcPr>
                <w:p>
                  <w:pPr>
                    <w:pStyle w:val="63"/>
                    <w:rPr>
                      <w:szCs w:val="21"/>
                    </w:rPr>
                  </w:pPr>
                  <w:r>
                    <w:rPr>
                      <w:rFonts w:hint="eastAsia"/>
                      <w:szCs w:val="21"/>
                    </w:rPr>
                    <w:t>97.82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vAlign w:val="center"/>
                </w:tcPr>
                <w:p>
                  <w:pPr>
                    <w:pStyle w:val="63"/>
                  </w:pPr>
                  <w:r>
                    <w:rPr>
                      <w:rFonts w:hint="eastAsia"/>
                    </w:rPr>
                    <w:t>CO</w:t>
                  </w:r>
                </w:p>
              </w:tc>
              <w:tc>
                <w:tcPr>
                  <w:tcW w:w="1635" w:type="dxa"/>
                  <w:vAlign w:val="center"/>
                </w:tcPr>
                <w:p>
                  <w:pPr>
                    <w:pStyle w:val="63"/>
                    <w:rPr>
                      <w:szCs w:val="21"/>
                    </w:rPr>
                  </w:pPr>
                  <w:r>
                    <w:rPr>
                      <w:rFonts w:hint="eastAsia"/>
                      <w:szCs w:val="21"/>
                    </w:rPr>
                    <w:t>169.0</w:t>
                  </w:r>
                </w:p>
              </w:tc>
              <w:tc>
                <w:tcPr>
                  <w:tcW w:w="1615" w:type="dxa"/>
                </w:tcPr>
                <w:p>
                  <w:pPr>
                    <w:pStyle w:val="63"/>
                    <w:rPr>
                      <w:szCs w:val="21"/>
                    </w:rPr>
                  </w:pPr>
                  <w:r>
                    <w:rPr>
                      <w:rFonts w:hint="eastAsia"/>
                      <w:szCs w:val="21"/>
                    </w:rPr>
                    <w:t>27.0</w:t>
                  </w:r>
                </w:p>
              </w:tc>
              <w:tc>
                <w:tcPr>
                  <w:tcW w:w="3072" w:type="dxa"/>
                </w:tcPr>
                <w:p>
                  <w:pPr>
                    <w:pStyle w:val="63"/>
                    <w:rPr>
                      <w:szCs w:val="21"/>
                    </w:rPr>
                  </w:pPr>
                  <w:r>
                    <w:rPr>
                      <w:rFonts w:hint="eastAsia"/>
                      <w:szCs w:val="21"/>
                    </w:rPr>
                    <w:t>815.13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vAlign w:val="center"/>
                </w:tcPr>
                <w:p>
                  <w:pPr>
                    <w:pStyle w:val="63"/>
                  </w:pPr>
                  <w:r>
                    <w:rPr>
                      <w:rFonts w:hint="eastAsia"/>
                    </w:rPr>
                    <w:t>烃类</w:t>
                  </w:r>
                </w:p>
              </w:tc>
              <w:tc>
                <w:tcPr>
                  <w:tcW w:w="1635" w:type="dxa"/>
                  <w:vAlign w:val="center"/>
                </w:tcPr>
                <w:p>
                  <w:pPr>
                    <w:pStyle w:val="63"/>
                    <w:rPr>
                      <w:szCs w:val="21"/>
                    </w:rPr>
                  </w:pPr>
                  <w:r>
                    <w:rPr>
                      <w:rFonts w:hint="eastAsia"/>
                      <w:szCs w:val="21"/>
                    </w:rPr>
                    <w:t>21.1</w:t>
                  </w:r>
                </w:p>
              </w:tc>
              <w:tc>
                <w:tcPr>
                  <w:tcW w:w="1615" w:type="dxa"/>
                </w:tcPr>
                <w:p>
                  <w:pPr>
                    <w:pStyle w:val="63"/>
                    <w:rPr>
                      <w:szCs w:val="21"/>
                    </w:rPr>
                  </w:pPr>
                  <w:r>
                    <w:rPr>
                      <w:rFonts w:hint="eastAsia"/>
                      <w:szCs w:val="21"/>
                    </w:rPr>
                    <w:t>44.4</w:t>
                  </w:r>
                </w:p>
              </w:tc>
              <w:tc>
                <w:tcPr>
                  <w:tcW w:w="3072" w:type="dxa"/>
                </w:tcPr>
                <w:p>
                  <w:pPr>
                    <w:pStyle w:val="63"/>
                    <w:rPr>
                      <w:szCs w:val="21"/>
                    </w:rPr>
                  </w:pPr>
                  <w:r>
                    <w:rPr>
                      <w:rFonts w:hint="eastAsia"/>
                      <w:szCs w:val="21"/>
                    </w:rPr>
                    <w:t>1340.44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6" w:type="dxa"/>
                  <w:vAlign w:val="center"/>
                </w:tcPr>
                <w:p>
                  <w:pPr>
                    <w:pStyle w:val="63"/>
                  </w:pPr>
                  <w:r>
                    <w:rPr>
                      <w:rFonts w:hint="eastAsia"/>
                    </w:rPr>
                    <w:t>NO</w:t>
                  </w:r>
                  <w:r>
                    <w:rPr>
                      <w:rFonts w:hint="eastAsia"/>
                      <w:vertAlign w:val="subscript"/>
                    </w:rPr>
                    <w:t>2</w:t>
                  </w:r>
                </w:p>
              </w:tc>
              <w:tc>
                <w:tcPr>
                  <w:tcW w:w="1635" w:type="dxa"/>
                  <w:vAlign w:val="center"/>
                </w:tcPr>
                <w:p>
                  <w:pPr>
                    <w:pStyle w:val="63"/>
                    <w:rPr>
                      <w:szCs w:val="21"/>
                    </w:rPr>
                  </w:pPr>
                  <w:r>
                    <w:rPr>
                      <w:rFonts w:hint="eastAsia"/>
                      <w:szCs w:val="21"/>
                    </w:rPr>
                    <w:t>33.3</w:t>
                  </w:r>
                </w:p>
              </w:tc>
              <w:tc>
                <w:tcPr>
                  <w:tcW w:w="1615" w:type="dxa"/>
                </w:tcPr>
                <w:p>
                  <w:pPr>
                    <w:pStyle w:val="63"/>
                    <w:rPr>
                      <w:szCs w:val="21"/>
                    </w:rPr>
                  </w:pPr>
                  <w:r>
                    <w:rPr>
                      <w:rFonts w:hint="eastAsia"/>
                      <w:szCs w:val="21"/>
                    </w:rPr>
                    <w:t>4.44</w:t>
                  </w:r>
                </w:p>
              </w:tc>
              <w:tc>
                <w:tcPr>
                  <w:tcW w:w="3072" w:type="dxa"/>
                </w:tcPr>
                <w:p>
                  <w:pPr>
                    <w:pStyle w:val="63"/>
                    <w:rPr>
                      <w:szCs w:val="21"/>
                    </w:rPr>
                  </w:pPr>
                  <w:r>
                    <w:rPr>
                      <w:rFonts w:hint="eastAsia"/>
                      <w:szCs w:val="21"/>
                    </w:rPr>
                    <w:t>134.04</w:t>
                  </w:r>
                </w:p>
              </w:tc>
            </w:tr>
          </w:tbl>
          <w:p>
            <w:pPr>
              <w:pStyle w:val="6"/>
              <w:spacing w:before="120" w:after="120"/>
              <w:ind w:firstLine="480"/>
            </w:pPr>
            <w:r>
              <w:rPr>
                <w:rFonts w:hint="eastAsia"/>
              </w:rPr>
              <w:t>噪声</w:t>
            </w:r>
          </w:p>
          <w:p>
            <w:pPr>
              <w:pStyle w:val="5"/>
              <w:ind w:firstLine="480"/>
            </w:pPr>
            <w:r>
              <w:t>施工过程中，各种施工机械设备运转和车辆运行会带来噪声污染。土建阶段的噪声源主要是混凝土振捣器、装载机、挖掘机、重型运输车等。上述设备单机噪声在75～105dB(A)之间，具体噪声值参见</w:t>
            </w:r>
            <w:r>
              <w:fldChar w:fldCharType="begin"/>
            </w:r>
            <w:r>
              <w:instrText xml:space="preserve"> REF _Ref169701647 \h </w:instrText>
            </w:r>
            <w:r>
              <w:fldChar w:fldCharType="separate"/>
            </w:r>
            <w:r>
              <w:rPr>
                <w:rFonts w:hint="eastAsia"/>
              </w:rPr>
              <w:t xml:space="preserve">表 </w:t>
            </w:r>
            <w:r>
              <w:t>2.7</w:t>
            </w:r>
            <w:r>
              <w:noBreakHyphen/>
            </w:r>
            <w:r>
              <w:t>3</w:t>
            </w:r>
            <w:r>
              <w:fldChar w:fldCharType="end"/>
            </w:r>
            <w:r>
              <w:t>。</w:t>
            </w:r>
          </w:p>
          <w:p>
            <w:pPr>
              <w:pStyle w:val="14"/>
              <w:keepNext/>
            </w:pPr>
            <w:bookmarkStart w:id="31" w:name="_Ref499731391"/>
            <w:bookmarkEnd w:id="31"/>
            <w:bookmarkStart w:id="32" w:name="_Ref169701647"/>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bookmarkEnd w:id="32"/>
            <w:r>
              <w:rPr>
                <w:rFonts w:hint="eastAsia"/>
              </w:rPr>
              <w:t xml:space="preserve">   工程主要施工机械源强  dB(A)</w:t>
            </w:r>
          </w:p>
          <w:tbl>
            <w:tblPr>
              <w:tblStyle w:val="38"/>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2771"/>
              <w:gridCol w:w="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49" w:type="dxa"/>
                  <w:vAlign w:val="center"/>
                </w:tcPr>
                <w:p>
                  <w:pPr>
                    <w:pStyle w:val="63"/>
                  </w:pPr>
                  <w:r>
                    <w:t>声源类型</w:t>
                  </w:r>
                </w:p>
              </w:tc>
              <w:tc>
                <w:tcPr>
                  <w:tcW w:w="2771" w:type="dxa"/>
                  <w:vAlign w:val="center"/>
                </w:tcPr>
                <w:p>
                  <w:pPr>
                    <w:pStyle w:val="63"/>
                  </w:pPr>
                  <w:r>
                    <w:t>设备名称</w:t>
                  </w:r>
                </w:p>
              </w:tc>
              <w:tc>
                <w:tcPr>
                  <w:tcW w:w="3215" w:type="dxa"/>
                  <w:vAlign w:val="center"/>
                </w:tcPr>
                <w:p>
                  <w:pPr>
                    <w:pStyle w:val="63"/>
                  </w:pPr>
                  <w:r>
                    <w:t>距声源1m处噪声级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49" w:type="dxa"/>
                  <w:vMerge w:val="restart"/>
                  <w:vAlign w:val="center"/>
                </w:tcPr>
                <w:p>
                  <w:pPr>
                    <w:pStyle w:val="63"/>
                  </w:pPr>
                  <w:r>
                    <w:t>固定源及小范围流动源</w:t>
                  </w:r>
                </w:p>
              </w:tc>
              <w:tc>
                <w:tcPr>
                  <w:tcW w:w="2771" w:type="dxa"/>
                  <w:vAlign w:val="center"/>
                </w:tcPr>
                <w:p>
                  <w:pPr>
                    <w:pStyle w:val="63"/>
                  </w:pPr>
                  <w:r>
                    <w:t>混凝土振捣器</w:t>
                  </w:r>
                </w:p>
              </w:tc>
              <w:tc>
                <w:tcPr>
                  <w:tcW w:w="3215" w:type="dxa"/>
                  <w:vAlign w:val="center"/>
                </w:tcPr>
                <w:p>
                  <w:pPr>
                    <w:pStyle w:val="63"/>
                  </w:pPr>
                  <w:r>
                    <w:t>75～84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49" w:type="dxa"/>
                  <w:vMerge w:val="continue"/>
                  <w:vAlign w:val="center"/>
                </w:tcPr>
                <w:p>
                  <w:pPr>
                    <w:pStyle w:val="63"/>
                    <w:rPr>
                      <w:szCs w:val="21"/>
                    </w:rPr>
                  </w:pPr>
                </w:p>
              </w:tc>
              <w:tc>
                <w:tcPr>
                  <w:tcW w:w="2771" w:type="dxa"/>
                  <w:vAlign w:val="center"/>
                </w:tcPr>
                <w:p>
                  <w:pPr>
                    <w:pStyle w:val="63"/>
                  </w:pPr>
                  <w:r>
                    <w:t>空压机</w:t>
                  </w:r>
                </w:p>
              </w:tc>
              <w:tc>
                <w:tcPr>
                  <w:tcW w:w="3215" w:type="dxa"/>
                  <w:vAlign w:val="center"/>
                </w:tcPr>
                <w:p>
                  <w:pPr>
                    <w:pStyle w:val="63"/>
                  </w:pPr>
                  <w:r>
                    <w:rPr>
                      <w:rFonts w:hint="eastAsia"/>
                    </w:rPr>
                    <w:t>95</w:t>
                  </w:r>
                  <w:r>
                    <w:t>～</w:t>
                  </w:r>
                  <w:r>
                    <w:rPr>
                      <w:rFonts w:hint="eastAsi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49" w:type="dxa"/>
                  <w:vMerge w:val="continue"/>
                  <w:vAlign w:val="center"/>
                </w:tcPr>
                <w:p>
                  <w:pPr>
                    <w:pStyle w:val="63"/>
                    <w:rPr>
                      <w:szCs w:val="21"/>
                    </w:rPr>
                  </w:pPr>
                </w:p>
              </w:tc>
              <w:tc>
                <w:tcPr>
                  <w:tcW w:w="2771" w:type="dxa"/>
                  <w:vAlign w:val="center"/>
                </w:tcPr>
                <w:p>
                  <w:pPr>
                    <w:pStyle w:val="63"/>
                  </w:pPr>
                  <w:r>
                    <w:t>装载机</w:t>
                  </w:r>
                </w:p>
              </w:tc>
              <w:tc>
                <w:tcPr>
                  <w:tcW w:w="3215" w:type="dxa"/>
                  <w:vAlign w:val="center"/>
                </w:tcPr>
                <w:p>
                  <w:pPr>
                    <w:pStyle w:val="63"/>
                  </w:pPr>
                  <w:r>
                    <w:t>85～91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49" w:type="dxa"/>
                  <w:vMerge w:val="continue"/>
                  <w:vAlign w:val="center"/>
                </w:tcPr>
                <w:p>
                  <w:pPr>
                    <w:pStyle w:val="63"/>
                    <w:rPr>
                      <w:szCs w:val="21"/>
                    </w:rPr>
                  </w:pPr>
                </w:p>
              </w:tc>
              <w:tc>
                <w:tcPr>
                  <w:tcW w:w="2771" w:type="dxa"/>
                  <w:vAlign w:val="center"/>
                </w:tcPr>
                <w:p>
                  <w:pPr>
                    <w:pStyle w:val="63"/>
                  </w:pPr>
                  <w:r>
                    <w:t>挖掘机</w:t>
                  </w:r>
                </w:p>
              </w:tc>
              <w:tc>
                <w:tcPr>
                  <w:tcW w:w="3215" w:type="dxa"/>
                  <w:vAlign w:val="center"/>
                </w:tcPr>
                <w:p>
                  <w:pPr>
                    <w:pStyle w:val="63"/>
                  </w:pPr>
                  <w:r>
                    <w:t>75～86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49" w:type="dxa"/>
                  <w:vMerge w:val="restart"/>
                  <w:vAlign w:val="center"/>
                </w:tcPr>
                <w:p>
                  <w:pPr>
                    <w:pStyle w:val="63"/>
                  </w:pPr>
                  <w:r>
                    <w:t>大范围流动源</w:t>
                  </w:r>
                </w:p>
              </w:tc>
              <w:tc>
                <w:tcPr>
                  <w:tcW w:w="2771" w:type="dxa"/>
                  <w:vAlign w:val="center"/>
                </w:tcPr>
                <w:p>
                  <w:pPr>
                    <w:pStyle w:val="63"/>
                  </w:pPr>
                  <w:r>
                    <w:t>重型运输车</w:t>
                  </w:r>
                </w:p>
              </w:tc>
              <w:tc>
                <w:tcPr>
                  <w:tcW w:w="3215" w:type="dxa"/>
                  <w:vAlign w:val="center"/>
                </w:tcPr>
                <w:p>
                  <w:pPr>
                    <w:pStyle w:val="63"/>
                  </w:pPr>
                  <w:r>
                    <w:t>78～86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49" w:type="dxa"/>
                  <w:vMerge w:val="continue"/>
                  <w:vAlign w:val="center"/>
                </w:tcPr>
                <w:p>
                  <w:pPr>
                    <w:pStyle w:val="63"/>
                    <w:rPr>
                      <w:szCs w:val="21"/>
                    </w:rPr>
                  </w:pPr>
                </w:p>
              </w:tc>
              <w:tc>
                <w:tcPr>
                  <w:tcW w:w="2771" w:type="dxa"/>
                  <w:vAlign w:val="center"/>
                </w:tcPr>
                <w:p>
                  <w:pPr>
                    <w:pStyle w:val="63"/>
                  </w:pPr>
                  <w:r>
                    <w:t>推土机</w:t>
                  </w:r>
                </w:p>
              </w:tc>
              <w:tc>
                <w:tcPr>
                  <w:tcW w:w="3215" w:type="dxa"/>
                  <w:vAlign w:val="center"/>
                </w:tcPr>
                <w:p>
                  <w:pPr>
                    <w:pStyle w:val="63"/>
                  </w:pPr>
                  <w:r>
                    <w:t>80～85</w:t>
                  </w:r>
                </w:p>
              </w:tc>
            </w:tr>
          </w:tbl>
          <w:p/>
          <w:p>
            <w:pPr>
              <w:pStyle w:val="6"/>
              <w:spacing w:before="120" w:after="120"/>
              <w:ind w:firstLine="480"/>
            </w:pPr>
            <w:r>
              <w:rPr>
                <w:rFonts w:hint="eastAsia"/>
              </w:rPr>
              <w:t>固体废物</w:t>
            </w:r>
          </w:p>
          <w:p>
            <w:pPr>
              <w:pStyle w:val="5"/>
              <w:numPr>
                <w:ilvl w:val="0"/>
                <w:numId w:val="5"/>
              </w:numPr>
              <w:ind w:firstLineChars="0"/>
            </w:pPr>
            <w:r>
              <w:rPr>
                <w:rFonts w:hint="eastAsia"/>
              </w:rPr>
              <w:t>建筑垃圾</w:t>
            </w:r>
          </w:p>
          <w:p>
            <w:pPr>
              <w:pStyle w:val="5"/>
              <w:ind w:firstLine="480"/>
            </w:pPr>
            <w:r>
              <w:rPr>
                <w:rFonts w:hint="eastAsia"/>
              </w:rPr>
              <w:t xml:space="preserve"> 项目施工过程中将产生一定量的建筑垃圾，其中可回收利用的分类收集后出售，剩余不可利用建筑垃圾量主要为废弃混凝土块、废弃砖块等，均不含有毒有害物质，清运至建筑垃圾消纳场进行处理。</w:t>
            </w:r>
          </w:p>
          <w:p>
            <w:pPr>
              <w:pStyle w:val="5"/>
              <w:numPr>
                <w:ilvl w:val="0"/>
                <w:numId w:val="5"/>
              </w:numPr>
              <w:ind w:firstLineChars="0"/>
            </w:pPr>
            <w:r>
              <w:rPr>
                <w:rFonts w:hint="eastAsia"/>
              </w:rPr>
              <w:t>土石方</w:t>
            </w:r>
          </w:p>
          <w:p>
            <w:pPr>
              <w:pStyle w:val="5"/>
              <w:ind w:firstLine="480"/>
            </w:pPr>
            <w:r>
              <w:rPr>
                <w:rFonts w:hint="eastAsia"/>
              </w:rPr>
              <w:t>项目挖方30215.21</w:t>
            </w:r>
            <w:r>
              <w:t xml:space="preserve"> m</w:t>
            </w:r>
            <w:r>
              <w:rPr>
                <w:vertAlign w:val="superscript"/>
              </w:rPr>
              <w:t>3</w:t>
            </w:r>
            <w:r>
              <w:rPr>
                <w:rFonts w:hint="eastAsia"/>
              </w:rPr>
              <w:t>、填方</w:t>
            </w:r>
            <w:r>
              <w:t>24562.23 m</w:t>
            </w:r>
            <w:r>
              <w:rPr>
                <w:vertAlign w:val="superscript"/>
              </w:rPr>
              <w:t>3</w:t>
            </w:r>
            <w:r>
              <w:rPr>
                <w:rFonts w:hint="eastAsia"/>
              </w:rPr>
              <w:t>，无借方，弃方5652.98</w:t>
            </w:r>
            <w:r>
              <w:t xml:space="preserve"> m</w:t>
            </w:r>
            <w:r>
              <w:rPr>
                <w:vertAlign w:val="superscript"/>
              </w:rPr>
              <w:t>3</w:t>
            </w:r>
            <w:r>
              <w:rPr>
                <w:rFonts w:hint="eastAsia"/>
              </w:rPr>
              <w:t>，送集聚区内填方利用。</w:t>
            </w:r>
          </w:p>
          <w:p>
            <w:pPr>
              <w:pStyle w:val="5"/>
              <w:numPr>
                <w:ilvl w:val="0"/>
                <w:numId w:val="5"/>
              </w:numPr>
              <w:ind w:firstLineChars="0"/>
            </w:pPr>
            <w:r>
              <w:rPr>
                <w:rFonts w:hint="eastAsia"/>
              </w:rPr>
              <w:t>生活垃圾</w:t>
            </w:r>
          </w:p>
          <w:p>
            <w:pPr>
              <w:pStyle w:val="5"/>
              <w:ind w:firstLine="480"/>
            </w:pPr>
            <w:r>
              <w:rPr>
                <w:rFonts w:hint="eastAsia"/>
              </w:rPr>
              <w:t>施工人员30名，生活垃圾产生量按0.5kg/人·d计，日产生活垃圾15kg，施工营地设置生活垃圾收集点收集，环卫转运处置。</w:t>
            </w:r>
          </w:p>
          <w:p>
            <w:pPr>
              <w:pStyle w:val="6"/>
              <w:spacing w:before="120" w:after="120"/>
              <w:ind w:firstLine="480"/>
            </w:pPr>
            <w:r>
              <w:rPr>
                <w:rFonts w:hint="eastAsia"/>
              </w:rPr>
              <w:t>生态影响</w:t>
            </w:r>
          </w:p>
          <w:p>
            <w:pPr>
              <w:pStyle w:val="5"/>
              <w:ind w:firstLine="480"/>
            </w:pPr>
            <w:r>
              <w:rPr>
                <w:rFonts w:hint="eastAsia"/>
              </w:rPr>
              <w:t>项目对生态的破坏主要表现为对植被和地表的损害。施工期开挖、回填等对地貌有一定扰动，项目建设期间，池体开挖过程也会进一步产生松散表土层，在地表径流的冲刷下易产生水土流失；同时施工临时堆放若处置不当，也易引发水土流失。</w:t>
            </w:r>
          </w:p>
          <w:p>
            <w:pPr>
              <w:pStyle w:val="4"/>
              <w:spacing w:before="120" w:after="120"/>
            </w:pPr>
            <w:r>
              <w:rPr>
                <w:rFonts w:hint="eastAsia"/>
              </w:rPr>
              <w:t>营运期</w:t>
            </w:r>
          </w:p>
          <w:p>
            <w:pPr>
              <w:pStyle w:val="5"/>
              <w:ind w:firstLine="480"/>
            </w:pPr>
            <w:r>
              <w:rPr>
                <w:rFonts w:hint="eastAsia"/>
              </w:rPr>
              <w:t>项目工艺流程及产排污环节分析见</w:t>
            </w:r>
            <w:r>
              <w:fldChar w:fldCharType="begin"/>
            </w:r>
            <w:r>
              <w:instrText xml:space="preserve"> </w:instrText>
            </w:r>
            <w:r>
              <w:rPr>
                <w:rFonts w:hint="eastAsia"/>
              </w:rPr>
              <w:instrText xml:space="preserve">REF _Ref169704519 \h</w:instrText>
            </w:r>
            <w:r>
              <w:instrText xml:space="preserve"> </w:instrText>
            </w:r>
            <w:r>
              <w:fldChar w:fldCharType="separate"/>
            </w:r>
            <w:r>
              <w:rPr>
                <w:rFonts w:hint="eastAsia"/>
              </w:rPr>
              <w:t xml:space="preserve">图 </w:t>
            </w:r>
            <w:r>
              <w:t>2.7</w:t>
            </w:r>
            <w:r>
              <w:noBreakHyphen/>
            </w:r>
            <w:r>
              <w:t>2</w:t>
            </w:r>
            <w:r>
              <w:fldChar w:fldCharType="end"/>
            </w:r>
            <w:r>
              <w:rPr>
                <w:rFonts w:hint="eastAsia"/>
              </w:rPr>
              <w:t>。</w:t>
            </w:r>
          </w:p>
          <w:p>
            <w:pPr>
              <w:pStyle w:val="63"/>
            </w:pPr>
            <w:r>
              <w:drawing>
                <wp:inline distT="0" distB="0" distL="0" distR="0">
                  <wp:extent cx="4899660" cy="5877560"/>
                  <wp:effectExtent l="0" t="0" r="0" b="0"/>
                  <wp:docPr id="6825913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9132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00063" cy="5878388"/>
                          </a:xfrm>
                          <a:prstGeom prst="rect">
                            <a:avLst/>
                          </a:prstGeom>
                          <a:noFill/>
                          <a:ln>
                            <a:noFill/>
                          </a:ln>
                        </pic:spPr>
                      </pic:pic>
                    </a:graphicData>
                  </a:graphic>
                </wp:inline>
              </w:drawing>
            </w:r>
          </w:p>
          <w:p>
            <w:pPr>
              <w:pStyle w:val="14"/>
            </w:pPr>
            <w:bookmarkStart w:id="33" w:name="_Ref169704519"/>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bookmarkEnd w:id="33"/>
            <w:r>
              <w:rPr>
                <w:rFonts w:hint="eastAsia"/>
              </w:rPr>
              <w:t xml:space="preserve">   工艺流程及产排污环节分析图</w:t>
            </w:r>
          </w:p>
          <w:p>
            <w:pPr>
              <w:pStyle w:val="5"/>
              <w:ind w:firstLine="480"/>
            </w:pPr>
            <w:r>
              <w:rPr>
                <w:rFonts w:hint="eastAsia"/>
              </w:rPr>
              <w:t>生产工艺流程如下：</w:t>
            </w:r>
          </w:p>
          <w:p>
            <w:pPr>
              <w:pStyle w:val="5"/>
              <w:numPr>
                <w:ilvl w:val="0"/>
                <w:numId w:val="6"/>
              </w:numPr>
              <w:ind w:firstLineChars="0"/>
            </w:pPr>
            <w:r>
              <w:rPr>
                <w:rFonts w:hint="eastAsia"/>
              </w:rPr>
              <w:t>粗格栅：废水进入污水处理厂粗格栅，为确保提升水泵及后续生物处理的正常运行，通过格栅物物理阻隔去除较大的漂浮物和悬浮物，期间产生臭气（G1）、格栅渣（S1）和噪声（N）；</w:t>
            </w:r>
          </w:p>
          <w:p>
            <w:pPr>
              <w:pStyle w:val="5"/>
              <w:numPr>
                <w:ilvl w:val="0"/>
                <w:numId w:val="6"/>
              </w:numPr>
              <w:ind w:firstLineChars="0"/>
            </w:pPr>
            <w:r>
              <w:rPr>
                <w:rFonts w:hint="eastAsia"/>
              </w:rPr>
              <w:t>调节池：污水进水水量有一定波动，为保证污水处理厂生产设施的正常稳定运行，不受废水高峰流量或浓度变化的影响，厂内设置调节池，起到均质均量的作用，期间产生臭气（G1）和噪声（N）；</w:t>
            </w:r>
          </w:p>
          <w:p>
            <w:pPr>
              <w:pStyle w:val="5"/>
              <w:numPr>
                <w:ilvl w:val="0"/>
                <w:numId w:val="6"/>
              </w:numPr>
              <w:ind w:firstLineChars="0"/>
            </w:pPr>
            <w:r>
              <w:rPr>
                <w:rFonts w:hint="eastAsia"/>
              </w:rPr>
              <w:t>细格栅：通过格栅物物理阻隔去除较小的漂浮物和悬浮物，期间产生臭气（G1）、格栅渣（S1）和噪声（N）；</w:t>
            </w:r>
          </w:p>
          <w:p>
            <w:pPr>
              <w:pStyle w:val="5"/>
              <w:numPr>
                <w:ilvl w:val="0"/>
                <w:numId w:val="6"/>
              </w:numPr>
              <w:ind w:firstLineChars="0"/>
            </w:pPr>
            <w:r>
              <w:rPr>
                <w:rFonts w:hint="eastAsia"/>
              </w:rPr>
              <w:t>沉砂池：通过重力作用去除废水中大颗粒悬浮物，期间产生臭气（G1）和噪声（N）；</w:t>
            </w:r>
          </w:p>
          <w:p>
            <w:pPr>
              <w:pStyle w:val="5"/>
              <w:numPr>
                <w:ilvl w:val="0"/>
                <w:numId w:val="6"/>
              </w:numPr>
              <w:ind w:firstLineChars="0"/>
            </w:pPr>
            <w:r>
              <w:rPr>
                <w:rFonts w:hint="eastAsia"/>
              </w:rPr>
              <w:t>气浮池：工作原理是处理过的部分废水循环流入溶气罐，在加压空气状态下，空气过饱和溶解，然后在气浮池的入口处与加入絮凝剂的原水混合，由于压力减小，过饱和的空气释放出来，形成了微小气泡，迅速附着在悬浮物上，将它提升至气浮池的表面。从而形成了很容易去除的污泥浮层，较重的固体物质沉淀在池底，也被去除。期间产生臭气（G1）、浮污泥（S2）和噪声（N）；</w:t>
            </w:r>
          </w:p>
          <w:p>
            <w:pPr>
              <w:pStyle w:val="5"/>
              <w:numPr>
                <w:ilvl w:val="0"/>
                <w:numId w:val="6"/>
              </w:numPr>
              <w:ind w:firstLineChars="0"/>
            </w:pPr>
            <w:r>
              <w:rPr>
                <w:rFonts w:hint="eastAsia"/>
              </w:rPr>
              <w:t>水解酸化池：在含有大量水解细菌、酸化菌的条件下，利用水解菌、酸化菌将水中不溶性有机物水解为溶解性有机物，将难生物降解的大分子物质转化为易生物降解的小分子物质的过程，从而改善废水的可生化性，为后续生化处理提供良好的水质环境，期间产生臭气（G1）和噪声（N）；</w:t>
            </w:r>
          </w:p>
          <w:p>
            <w:pPr>
              <w:pStyle w:val="5"/>
              <w:numPr>
                <w:ilvl w:val="0"/>
                <w:numId w:val="6"/>
              </w:numPr>
              <w:ind w:firstLineChars="0"/>
            </w:pPr>
            <w:r>
              <w:rPr>
                <w:rFonts w:hint="eastAsia"/>
              </w:rPr>
              <w:t>AAO生化池：由缺氧池+厌氧池+好氧池组成，其主要功能是去除污水中的有机污染物及氮、磷等污染物，期间产生臭气（G1）和噪声（N）;</w:t>
            </w:r>
          </w:p>
          <w:p>
            <w:pPr>
              <w:pStyle w:val="5"/>
              <w:numPr>
                <w:ilvl w:val="0"/>
                <w:numId w:val="6"/>
              </w:numPr>
              <w:ind w:firstLineChars="0"/>
            </w:pPr>
            <w:r>
              <w:rPr>
                <w:rFonts w:hint="eastAsia"/>
              </w:rPr>
              <w:t>二沉池：对污水进行泥水分离，使混合液澄清、污泥浓缩并将污泥回流到生物处理阶段，产生污泥，部分作为回流污泥通过泵管道流入生化池，剩余污泥进入污泥池泥水分离，该过程产生的废水管道导入调节池，期间产生噪声（N）。</w:t>
            </w:r>
          </w:p>
          <w:p>
            <w:pPr>
              <w:pStyle w:val="5"/>
              <w:numPr>
                <w:ilvl w:val="0"/>
                <w:numId w:val="6"/>
              </w:numPr>
              <w:ind w:firstLineChars="0"/>
            </w:pPr>
            <w:r>
              <w:rPr>
                <w:rFonts w:hint="eastAsia"/>
              </w:rPr>
              <w:t>污泥调理脱水：污泥调理池接收二沉池和高效沉淀池污泥，加入PAC和PAM调理污泥性质，提高污泥脱水性能，浓缩污泥通过脱水机脱水（脱水后污泥含水率小于80%）后于脱水间暂存，委托外运处置。污泥脱水过程中产生污泥脱水废水，管道泵入调节池进入厂区污水处理设施处理。脱水过程中需制备污泥脱水调理剂，采用PAM、PAC与自来水混合搅拌后泵入。期间产生臭气（G1）、脱水污泥（S3）、废包装物（S4）、污泥脱水废水（W2）和噪声（N）。</w:t>
            </w:r>
          </w:p>
          <w:p>
            <w:pPr>
              <w:pStyle w:val="5"/>
              <w:numPr>
                <w:ilvl w:val="0"/>
                <w:numId w:val="6"/>
              </w:numPr>
              <w:ind w:firstLineChars="0"/>
            </w:pPr>
            <w:r>
              <w:rPr>
                <w:rFonts w:hint="eastAsia"/>
              </w:rPr>
              <w:t>高效沉淀池：为进一步去除COD、TP和SS等，加入PAC、PAM混凝沉淀，期间产生噪声（N）。工程除磷剂为P</w:t>
            </w:r>
            <w:r>
              <w:t>AC</w:t>
            </w:r>
            <w:r>
              <w:rPr>
                <w:rFonts w:hint="eastAsia"/>
              </w:rPr>
              <w:t>，机理为三价铝离子通过与磷酸根产生反应生成沉淀的化合物为AlPO</w:t>
            </w:r>
            <w:r>
              <w:rPr>
                <w:rFonts w:hint="eastAsia"/>
                <w:vertAlign w:val="subscript"/>
              </w:rPr>
              <w:t>4</w:t>
            </w:r>
            <w:r>
              <w:rPr>
                <w:rFonts w:hint="eastAsia"/>
              </w:rPr>
              <w:t>，其次是三价铝离子能够出现水解反应，在这一过程中会有正电荷以及单核羟基络合物以及多核羟基络合物的存在，可通过范德华力、网捕等一系列的作用除磷。期间产生噪声（N）。</w:t>
            </w:r>
          </w:p>
          <w:p>
            <w:pPr>
              <w:pStyle w:val="5"/>
              <w:numPr>
                <w:ilvl w:val="0"/>
                <w:numId w:val="6"/>
              </w:numPr>
              <w:ind w:firstLineChars="0"/>
            </w:pPr>
            <w:r>
              <w:rPr>
                <w:rFonts w:hint="eastAsia"/>
              </w:rPr>
              <w:t>彗星式纤维滤池：为进一步去除悬浮物、氨氮等，彗星式纤维滤料为技术核心的过滤池，处理机理为滤料对污染物的截留去除，滤池需要定期反冲洗，期间产生反冲洗废水（W3）和噪声（N）。</w:t>
            </w:r>
          </w:p>
          <w:p>
            <w:pPr>
              <w:pStyle w:val="5"/>
              <w:numPr>
                <w:ilvl w:val="0"/>
                <w:numId w:val="6"/>
              </w:numPr>
              <w:ind w:firstLineChars="0"/>
            </w:pPr>
            <w:r>
              <w:rPr>
                <w:rFonts w:hint="eastAsia"/>
              </w:rPr>
              <w:t>紫外消毒：出水前采用紫外消毒，期间产生废紫外灯（S5）。</w:t>
            </w:r>
          </w:p>
          <w:p>
            <w:pPr>
              <w:pStyle w:val="5"/>
              <w:ind w:firstLine="480"/>
            </w:pPr>
            <w:r>
              <w:rPr>
                <w:rFonts w:hint="eastAsia"/>
              </w:rPr>
              <w:t>项目产污环节如下：</w:t>
            </w:r>
          </w:p>
          <w:p>
            <w:pPr>
              <w:pStyle w:val="5"/>
              <w:numPr>
                <w:ilvl w:val="0"/>
                <w:numId w:val="7"/>
              </w:numPr>
              <w:ind w:firstLineChars="0"/>
            </w:pPr>
            <w:r>
              <w:rPr>
                <w:rFonts w:hint="eastAsia"/>
              </w:rPr>
              <w:t>废气</w:t>
            </w:r>
          </w:p>
          <w:p>
            <w:pPr>
              <w:pStyle w:val="5"/>
              <w:ind w:firstLine="480"/>
            </w:pPr>
            <w:r>
              <w:rPr>
                <w:rFonts w:hint="eastAsia"/>
              </w:rPr>
              <w:t>污水处理过程中，格栅、调节池、沉砂池、气浮池、水解酸化池、AAO生化池、污泥调理池和污泥脱水间运行过程中产生臭气（G1），污染因子为氨和硫化氢，其中格栅、调节池、沉砂池、气浮池、水解酸化池、污泥调理池和污泥脱水间臭气收集，通过生物除臭后有组织排放，其他未收集的废气无组织排放。</w:t>
            </w:r>
          </w:p>
          <w:p>
            <w:pPr>
              <w:pStyle w:val="5"/>
              <w:numPr>
                <w:ilvl w:val="0"/>
                <w:numId w:val="7"/>
              </w:numPr>
              <w:ind w:firstLineChars="0"/>
            </w:pPr>
            <w:r>
              <w:rPr>
                <w:rFonts w:hint="eastAsia"/>
              </w:rPr>
              <w:t>废水</w:t>
            </w:r>
          </w:p>
          <w:p>
            <w:pPr>
              <w:pStyle w:val="5"/>
              <w:ind w:firstLine="480"/>
            </w:pPr>
            <w:r>
              <w:rPr>
                <w:rFonts w:hint="eastAsia"/>
              </w:rPr>
              <w:t>污水处理过程中产生废水为管理人员生活污水（W</w:t>
            </w:r>
            <w:r>
              <w:t>1</w:t>
            </w:r>
            <w:r>
              <w:rPr>
                <w:rFonts w:hint="eastAsia"/>
              </w:rPr>
              <w:t>）、脱水污泥废水（W</w:t>
            </w:r>
            <w:r>
              <w:t>2</w:t>
            </w:r>
            <w:r>
              <w:rPr>
                <w:rFonts w:hint="eastAsia"/>
              </w:rPr>
              <w:t>）、彗星纤维滤池反冲洗水（W3）、化验室器皿清洗废水（W4）、地面清洗废水（W5），厂区内管道收集后泵入污水处理系统汇同接纳外界污水一起处理达标后排放。</w:t>
            </w:r>
          </w:p>
          <w:p>
            <w:pPr>
              <w:pStyle w:val="5"/>
              <w:numPr>
                <w:ilvl w:val="0"/>
                <w:numId w:val="7"/>
              </w:numPr>
              <w:ind w:firstLineChars="0"/>
            </w:pPr>
            <w:r>
              <w:rPr>
                <w:rFonts w:hint="eastAsia"/>
              </w:rPr>
              <w:t>噪声</w:t>
            </w:r>
          </w:p>
          <w:p>
            <w:pPr>
              <w:pStyle w:val="5"/>
              <w:ind w:firstLine="480"/>
            </w:pPr>
            <w:r>
              <w:rPr>
                <w:rFonts w:hint="eastAsia"/>
              </w:rPr>
              <w:t>污水处理过程中水泵、污泥脱水机等产生的噪声（N），通过减振、房屋隔声等措施减少噪声对外界影响。</w:t>
            </w:r>
          </w:p>
          <w:p>
            <w:pPr>
              <w:pStyle w:val="5"/>
              <w:numPr>
                <w:ilvl w:val="0"/>
                <w:numId w:val="7"/>
              </w:numPr>
              <w:ind w:firstLineChars="0"/>
            </w:pPr>
            <w:r>
              <w:rPr>
                <w:rFonts w:hint="eastAsia"/>
              </w:rPr>
              <w:t>固体废物</w:t>
            </w:r>
          </w:p>
          <w:p>
            <w:pPr>
              <w:pStyle w:val="5"/>
              <w:ind w:firstLine="480"/>
            </w:pPr>
            <w:r>
              <w:rPr>
                <w:rFonts w:hint="eastAsia"/>
              </w:rPr>
              <w:t>污水处理过程中产生的格栅渣（S</w:t>
            </w:r>
            <w:r>
              <w:t>1</w:t>
            </w:r>
            <w:r>
              <w:rPr>
                <w:rFonts w:hint="eastAsia"/>
              </w:rPr>
              <w:t>）、气浮池浮渣（S2）、脱水污泥（S3）、废包装物（S4）、废紫外灯（S5）、维修废油和沾染物（S6）、沾染化学品的化验包装物和废液（S7）和生活垃圾（S8）、在线监测设备产生的废液和废试剂瓶（S9）。</w:t>
            </w:r>
          </w:p>
          <w:p>
            <w:pPr>
              <w:pStyle w:val="5"/>
              <w:ind w:firstLine="480"/>
            </w:pPr>
            <w:r>
              <w:rPr>
                <w:rFonts w:hint="eastAsia"/>
              </w:rPr>
              <w:t>项目产污环节汇总见</w:t>
            </w:r>
            <w:r>
              <w:fldChar w:fldCharType="begin"/>
            </w:r>
            <w:r>
              <w:instrText xml:space="preserve"> </w:instrText>
            </w:r>
            <w:r>
              <w:rPr>
                <w:rFonts w:hint="eastAsia"/>
              </w:rPr>
              <w:instrText xml:space="preserve">REF _Ref169709563 \h</w:instrText>
            </w:r>
            <w:r>
              <w:instrText xml:space="preserve"> </w:instrText>
            </w:r>
            <w:r>
              <w:fldChar w:fldCharType="separate"/>
            </w:r>
            <w:r>
              <w:rPr>
                <w:rFonts w:hint="eastAsia"/>
              </w:rPr>
              <w:t xml:space="preserve">表 </w:t>
            </w:r>
            <w:r>
              <w:t>2.7</w:t>
            </w:r>
            <w:r>
              <w:noBreakHyphen/>
            </w:r>
            <w:r>
              <w:t>4</w:t>
            </w:r>
            <w:r>
              <w:fldChar w:fldCharType="end"/>
            </w:r>
            <w:r>
              <w:rPr>
                <w:rFonts w:hint="eastAsia"/>
              </w:rPr>
              <w:t>。</w:t>
            </w:r>
          </w:p>
          <w:p>
            <w:pPr>
              <w:pStyle w:val="14"/>
              <w:keepNext/>
            </w:pPr>
            <w:bookmarkStart w:id="34" w:name="_Ref169709563"/>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2.7</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34"/>
            <w:r>
              <w:rPr>
                <w:rFonts w:hint="eastAsia"/>
              </w:rPr>
              <w:t xml:space="preserve">   项目产污环节汇总</w:t>
            </w:r>
          </w:p>
          <w:tbl>
            <w:tblPr>
              <w:tblStyle w:val="39"/>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514"/>
              <w:gridCol w:w="1376"/>
              <w:gridCol w:w="1650"/>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Align w:val="center"/>
                </w:tcPr>
                <w:p>
                  <w:pPr>
                    <w:pStyle w:val="63"/>
                  </w:pPr>
                  <w:r>
                    <w:rPr>
                      <w:rFonts w:hint="eastAsia"/>
                    </w:rPr>
                    <w:t>类型</w:t>
                  </w:r>
                </w:p>
              </w:tc>
              <w:tc>
                <w:tcPr>
                  <w:tcW w:w="1514" w:type="dxa"/>
                  <w:vAlign w:val="center"/>
                </w:tcPr>
                <w:p>
                  <w:pPr>
                    <w:pStyle w:val="63"/>
                  </w:pPr>
                  <w:r>
                    <w:rPr>
                      <w:rFonts w:hint="eastAsia"/>
                    </w:rPr>
                    <w:t>污染物</w:t>
                  </w:r>
                </w:p>
              </w:tc>
              <w:tc>
                <w:tcPr>
                  <w:tcW w:w="1376" w:type="dxa"/>
                  <w:vAlign w:val="center"/>
                </w:tcPr>
                <w:p>
                  <w:pPr>
                    <w:pStyle w:val="63"/>
                  </w:pPr>
                  <w:r>
                    <w:rPr>
                      <w:rFonts w:hint="eastAsia"/>
                    </w:rPr>
                    <w:t>产生位置</w:t>
                  </w:r>
                </w:p>
              </w:tc>
              <w:tc>
                <w:tcPr>
                  <w:tcW w:w="1650" w:type="dxa"/>
                  <w:vAlign w:val="center"/>
                </w:tcPr>
                <w:p>
                  <w:pPr>
                    <w:pStyle w:val="63"/>
                  </w:pPr>
                  <w:r>
                    <w:rPr>
                      <w:rFonts w:hint="eastAsia"/>
                    </w:rPr>
                    <w:t>主要污染因子/固体废物类型</w:t>
                  </w:r>
                </w:p>
              </w:tc>
              <w:tc>
                <w:tcPr>
                  <w:tcW w:w="2687" w:type="dxa"/>
                  <w:vAlign w:val="center"/>
                </w:tcPr>
                <w:p>
                  <w:pPr>
                    <w:pStyle w:val="63"/>
                  </w:pPr>
                  <w:r>
                    <w:rPr>
                      <w:rFonts w:hint="eastAsia"/>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vAlign w:val="center"/>
                </w:tcPr>
                <w:p>
                  <w:pPr>
                    <w:pStyle w:val="63"/>
                  </w:pPr>
                  <w:r>
                    <w:rPr>
                      <w:rFonts w:hint="eastAsia"/>
                    </w:rPr>
                    <w:t>废气</w:t>
                  </w:r>
                </w:p>
              </w:tc>
              <w:tc>
                <w:tcPr>
                  <w:tcW w:w="1514" w:type="dxa"/>
                  <w:vMerge w:val="restart"/>
                  <w:vAlign w:val="center"/>
                </w:tcPr>
                <w:p>
                  <w:pPr>
                    <w:pStyle w:val="63"/>
                  </w:pPr>
                  <w:r>
                    <w:rPr>
                      <w:rFonts w:hint="eastAsia"/>
                    </w:rPr>
                    <w:t>臭气G</w:t>
                  </w:r>
                  <w:r>
                    <w:t>1</w:t>
                  </w:r>
                </w:p>
              </w:tc>
              <w:tc>
                <w:tcPr>
                  <w:tcW w:w="1376" w:type="dxa"/>
                  <w:vAlign w:val="center"/>
                </w:tcPr>
                <w:p>
                  <w:pPr>
                    <w:pStyle w:val="63"/>
                  </w:pPr>
                  <w:r>
                    <w:rPr>
                      <w:rFonts w:hint="eastAsia"/>
                    </w:rPr>
                    <w:t>格栅、调节池、污泥脱水间等</w:t>
                  </w:r>
                </w:p>
              </w:tc>
              <w:tc>
                <w:tcPr>
                  <w:tcW w:w="1650" w:type="dxa"/>
                  <w:vAlign w:val="center"/>
                </w:tcPr>
                <w:p>
                  <w:pPr>
                    <w:pStyle w:val="63"/>
                  </w:pPr>
                  <w:r>
                    <w:rPr>
                      <w:rFonts w:hint="eastAsia"/>
                    </w:rPr>
                    <w:t>氨、硫化氢</w:t>
                  </w:r>
                </w:p>
              </w:tc>
              <w:tc>
                <w:tcPr>
                  <w:tcW w:w="2687" w:type="dxa"/>
                  <w:vAlign w:val="center"/>
                </w:tcPr>
                <w:p>
                  <w:pPr>
                    <w:pStyle w:val="63"/>
                  </w:pPr>
                  <w:r>
                    <w:rPr>
                      <w:rFonts w:hint="eastAsia"/>
                    </w:rPr>
                    <w:t>污水调节池和粗格栅地下式设计，沉砂池、水解酸化池、AAO生物池（缺氧和厌氧段）、事故池和储泥池加盖封闭负压收集、污泥脱水间加罩收集，生物除臭处理后有组织排放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pStyle w:val="63"/>
                  </w:pPr>
                </w:p>
              </w:tc>
              <w:tc>
                <w:tcPr>
                  <w:tcW w:w="1514" w:type="dxa"/>
                  <w:vMerge w:val="continue"/>
                  <w:vAlign w:val="center"/>
                </w:tcPr>
                <w:p>
                  <w:pPr>
                    <w:pStyle w:val="63"/>
                  </w:pPr>
                </w:p>
              </w:tc>
              <w:tc>
                <w:tcPr>
                  <w:tcW w:w="1376" w:type="dxa"/>
                  <w:vAlign w:val="center"/>
                </w:tcPr>
                <w:p>
                  <w:pPr>
                    <w:pStyle w:val="63"/>
                  </w:pPr>
                  <w:r>
                    <w:rPr>
                      <w:rFonts w:hint="eastAsia"/>
                    </w:rPr>
                    <w:t>生化池等</w:t>
                  </w:r>
                </w:p>
              </w:tc>
              <w:tc>
                <w:tcPr>
                  <w:tcW w:w="1650" w:type="dxa"/>
                  <w:vAlign w:val="center"/>
                </w:tcPr>
                <w:p>
                  <w:pPr>
                    <w:pStyle w:val="63"/>
                  </w:pPr>
                  <w:r>
                    <w:rPr>
                      <w:rFonts w:hint="eastAsia"/>
                    </w:rPr>
                    <w:t>氨、硫化氢</w:t>
                  </w:r>
                </w:p>
              </w:tc>
              <w:tc>
                <w:tcPr>
                  <w:tcW w:w="2687" w:type="dxa"/>
                  <w:vAlign w:val="center"/>
                </w:tcPr>
                <w:p>
                  <w:pPr>
                    <w:pStyle w:val="63"/>
                  </w:pPr>
                  <w:r>
                    <w:rPr>
                      <w:rFonts w:hint="eastAsia"/>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vAlign w:val="center"/>
                </w:tcPr>
                <w:p>
                  <w:pPr>
                    <w:pStyle w:val="63"/>
                  </w:pPr>
                  <w:r>
                    <w:rPr>
                      <w:rFonts w:hint="eastAsia"/>
                    </w:rPr>
                    <w:t>尾水</w:t>
                  </w:r>
                </w:p>
              </w:tc>
              <w:tc>
                <w:tcPr>
                  <w:tcW w:w="1514" w:type="dxa"/>
                  <w:vAlign w:val="center"/>
                </w:tcPr>
                <w:p>
                  <w:pPr>
                    <w:pStyle w:val="63"/>
                  </w:pPr>
                  <w:r>
                    <w:rPr>
                      <w:rFonts w:hint="eastAsia"/>
                    </w:rPr>
                    <w:t>生活污水W</w:t>
                  </w:r>
                  <w:r>
                    <w:t>1</w:t>
                  </w:r>
                </w:p>
              </w:tc>
              <w:tc>
                <w:tcPr>
                  <w:tcW w:w="1376" w:type="dxa"/>
                  <w:vMerge w:val="restart"/>
                  <w:vAlign w:val="center"/>
                </w:tcPr>
                <w:p>
                  <w:pPr>
                    <w:pStyle w:val="63"/>
                  </w:pPr>
                  <w:r>
                    <w:rPr>
                      <w:rFonts w:hint="eastAsia"/>
                    </w:rPr>
                    <w:t>/</w:t>
                  </w:r>
                </w:p>
              </w:tc>
              <w:tc>
                <w:tcPr>
                  <w:tcW w:w="1650" w:type="dxa"/>
                  <w:vMerge w:val="restart"/>
                  <w:vAlign w:val="center"/>
                </w:tcPr>
                <w:p>
                  <w:pPr>
                    <w:pStyle w:val="63"/>
                  </w:pPr>
                  <w:r>
                    <w:rPr>
                      <w:rFonts w:hint="eastAsia"/>
                    </w:rPr>
                    <w:t>COD、BOD</w:t>
                  </w:r>
                  <w:r>
                    <w:rPr>
                      <w:rFonts w:hint="eastAsia"/>
                      <w:vertAlign w:val="subscript"/>
                    </w:rPr>
                    <w:t>5</w:t>
                  </w:r>
                  <w:r>
                    <w:rPr>
                      <w:rFonts w:hint="eastAsia"/>
                    </w:rPr>
                    <w:t>、NH</w:t>
                  </w:r>
                  <w:r>
                    <w:rPr>
                      <w:rFonts w:hint="eastAsia"/>
                      <w:vertAlign w:val="subscript"/>
                    </w:rPr>
                    <w:t>3</w:t>
                  </w:r>
                  <w:r>
                    <w:rPr>
                      <w:rFonts w:hint="eastAsia"/>
                    </w:rPr>
                    <w:t>-N、SS等</w:t>
                  </w:r>
                </w:p>
              </w:tc>
              <w:tc>
                <w:tcPr>
                  <w:tcW w:w="2687" w:type="dxa"/>
                  <w:vMerge w:val="restart"/>
                  <w:vAlign w:val="center"/>
                </w:tcPr>
                <w:p>
                  <w:pPr>
                    <w:pStyle w:val="63"/>
                  </w:pPr>
                  <w:r>
                    <w:rPr>
                      <w:rFonts w:hint="eastAsia"/>
                    </w:rPr>
                    <w:t>厂区内管道收集后泵入污水处理系统汇同接纳外界污水一起处理达标后排放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pStyle w:val="63"/>
                  </w:pPr>
                </w:p>
              </w:tc>
              <w:tc>
                <w:tcPr>
                  <w:tcW w:w="1514" w:type="dxa"/>
                  <w:vAlign w:val="center"/>
                </w:tcPr>
                <w:p>
                  <w:pPr>
                    <w:pStyle w:val="63"/>
                  </w:pPr>
                  <w:r>
                    <w:rPr>
                      <w:rFonts w:hint="eastAsia"/>
                    </w:rPr>
                    <w:t>污泥脱水废水W</w:t>
                  </w:r>
                  <w:r>
                    <w:t>2</w:t>
                  </w:r>
                </w:p>
              </w:tc>
              <w:tc>
                <w:tcPr>
                  <w:tcW w:w="1376" w:type="dxa"/>
                  <w:vMerge w:val="continue"/>
                  <w:vAlign w:val="center"/>
                </w:tcPr>
                <w:p>
                  <w:pPr>
                    <w:pStyle w:val="63"/>
                  </w:pPr>
                </w:p>
              </w:tc>
              <w:tc>
                <w:tcPr>
                  <w:tcW w:w="1650" w:type="dxa"/>
                  <w:vMerge w:val="continue"/>
                  <w:vAlign w:val="center"/>
                </w:tcPr>
                <w:p>
                  <w:pPr>
                    <w:pStyle w:val="63"/>
                  </w:pPr>
                </w:p>
              </w:tc>
              <w:tc>
                <w:tcPr>
                  <w:tcW w:w="268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pStyle w:val="63"/>
                  </w:pPr>
                </w:p>
              </w:tc>
              <w:tc>
                <w:tcPr>
                  <w:tcW w:w="1514" w:type="dxa"/>
                  <w:vAlign w:val="center"/>
                </w:tcPr>
                <w:p>
                  <w:pPr>
                    <w:pStyle w:val="63"/>
                  </w:pPr>
                  <w:r>
                    <w:rPr>
                      <w:rFonts w:hint="eastAsia"/>
                    </w:rPr>
                    <w:t>彗星纤维滤池反冲洗水W3</w:t>
                  </w:r>
                </w:p>
              </w:tc>
              <w:tc>
                <w:tcPr>
                  <w:tcW w:w="1376" w:type="dxa"/>
                  <w:vMerge w:val="continue"/>
                  <w:vAlign w:val="center"/>
                </w:tcPr>
                <w:p>
                  <w:pPr>
                    <w:pStyle w:val="63"/>
                  </w:pPr>
                </w:p>
              </w:tc>
              <w:tc>
                <w:tcPr>
                  <w:tcW w:w="1650" w:type="dxa"/>
                  <w:vMerge w:val="continue"/>
                  <w:vAlign w:val="center"/>
                </w:tcPr>
                <w:p>
                  <w:pPr>
                    <w:pStyle w:val="63"/>
                  </w:pPr>
                </w:p>
              </w:tc>
              <w:tc>
                <w:tcPr>
                  <w:tcW w:w="268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pStyle w:val="63"/>
                  </w:pPr>
                </w:p>
              </w:tc>
              <w:tc>
                <w:tcPr>
                  <w:tcW w:w="1514" w:type="dxa"/>
                  <w:vAlign w:val="center"/>
                </w:tcPr>
                <w:p>
                  <w:pPr>
                    <w:pStyle w:val="63"/>
                  </w:pPr>
                  <w:r>
                    <w:rPr>
                      <w:rFonts w:hint="eastAsia"/>
                    </w:rPr>
                    <w:t>化验器皿清洗废水W4</w:t>
                  </w:r>
                </w:p>
              </w:tc>
              <w:tc>
                <w:tcPr>
                  <w:tcW w:w="1376" w:type="dxa"/>
                  <w:vMerge w:val="continue"/>
                  <w:vAlign w:val="center"/>
                </w:tcPr>
                <w:p>
                  <w:pPr>
                    <w:pStyle w:val="63"/>
                  </w:pPr>
                </w:p>
              </w:tc>
              <w:tc>
                <w:tcPr>
                  <w:tcW w:w="1650" w:type="dxa"/>
                  <w:vMerge w:val="continue"/>
                  <w:vAlign w:val="center"/>
                </w:tcPr>
                <w:p>
                  <w:pPr>
                    <w:pStyle w:val="63"/>
                  </w:pPr>
                </w:p>
              </w:tc>
              <w:tc>
                <w:tcPr>
                  <w:tcW w:w="268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708" w:type="dxa"/>
                  <w:vMerge w:val="continue"/>
                  <w:vAlign w:val="center"/>
                </w:tcPr>
                <w:p>
                  <w:pPr>
                    <w:pStyle w:val="63"/>
                  </w:pPr>
                </w:p>
              </w:tc>
              <w:tc>
                <w:tcPr>
                  <w:tcW w:w="1514" w:type="dxa"/>
                  <w:vAlign w:val="center"/>
                </w:tcPr>
                <w:p>
                  <w:pPr>
                    <w:pStyle w:val="63"/>
                  </w:pPr>
                  <w:r>
                    <w:rPr>
                      <w:rFonts w:hint="eastAsia"/>
                    </w:rPr>
                    <w:t>地面清洗废水W5</w:t>
                  </w:r>
                </w:p>
              </w:tc>
              <w:tc>
                <w:tcPr>
                  <w:tcW w:w="1376" w:type="dxa"/>
                  <w:vMerge w:val="continue"/>
                  <w:vAlign w:val="center"/>
                </w:tcPr>
                <w:p>
                  <w:pPr>
                    <w:pStyle w:val="63"/>
                  </w:pPr>
                </w:p>
              </w:tc>
              <w:tc>
                <w:tcPr>
                  <w:tcW w:w="1650" w:type="dxa"/>
                  <w:vMerge w:val="continue"/>
                  <w:vAlign w:val="center"/>
                </w:tcPr>
                <w:p>
                  <w:pPr>
                    <w:pStyle w:val="63"/>
                  </w:pPr>
                </w:p>
              </w:tc>
              <w:tc>
                <w:tcPr>
                  <w:tcW w:w="268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vAlign w:val="center"/>
                </w:tcPr>
                <w:p>
                  <w:pPr>
                    <w:pStyle w:val="63"/>
                  </w:pPr>
                  <w:r>
                    <w:rPr>
                      <w:rFonts w:hint="eastAsia"/>
                    </w:rPr>
                    <w:t>固体废物</w:t>
                  </w:r>
                </w:p>
              </w:tc>
              <w:tc>
                <w:tcPr>
                  <w:tcW w:w="1514" w:type="dxa"/>
                  <w:vAlign w:val="center"/>
                </w:tcPr>
                <w:p>
                  <w:pPr>
                    <w:pStyle w:val="63"/>
                  </w:pPr>
                  <w:r>
                    <w:rPr>
                      <w:rFonts w:hint="eastAsia"/>
                    </w:rPr>
                    <w:t>格栅渣S</w:t>
                  </w:r>
                  <w:r>
                    <w:t>1</w:t>
                  </w:r>
                </w:p>
              </w:tc>
              <w:tc>
                <w:tcPr>
                  <w:tcW w:w="1376" w:type="dxa"/>
                  <w:vAlign w:val="center"/>
                </w:tcPr>
                <w:p>
                  <w:pPr>
                    <w:pStyle w:val="63"/>
                  </w:pPr>
                  <w:r>
                    <w:rPr>
                      <w:rFonts w:hint="eastAsia"/>
                    </w:rPr>
                    <w:t>格栅</w:t>
                  </w:r>
                </w:p>
              </w:tc>
              <w:tc>
                <w:tcPr>
                  <w:tcW w:w="1650" w:type="dxa"/>
                  <w:vAlign w:val="center"/>
                </w:tcPr>
                <w:p>
                  <w:pPr>
                    <w:pStyle w:val="63"/>
                  </w:pPr>
                  <w:r>
                    <w:rPr>
                      <w:rFonts w:hint="eastAsia"/>
                    </w:rPr>
                    <w:t>一般工业固废</w:t>
                  </w:r>
                </w:p>
              </w:tc>
              <w:tc>
                <w:tcPr>
                  <w:tcW w:w="2687" w:type="dxa"/>
                  <w:vAlign w:val="center"/>
                </w:tcPr>
                <w:p>
                  <w:pPr>
                    <w:pStyle w:val="63"/>
                  </w:pPr>
                  <w:r>
                    <w:rPr>
                      <w:rFonts w:hint="eastAsia"/>
                    </w:rPr>
                    <w:t>外委有资质单位利用处置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Merge w:val="continue"/>
                  <w:vAlign w:val="center"/>
                </w:tcPr>
                <w:p>
                  <w:pPr>
                    <w:pStyle w:val="63"/>
                  </w:pPr>
                </w:p>
              </w:tc>
              <w:tc>
                <w:tcPr>
                  <w:tcW w:w="1514" w:type="dxa"/>
                  <w:vAlign w:val="center"/>
                </w:tcPr>
                <w:p>
                  <w:pPr>
                    <w:pStyle w:val="63"/>
                  </w:pPr>
                  <w:r>
                    <w:rPr>
                      <w:rFonts w:hint="eastAsia"/>
                    </w:rPr>
                    <w:t>气浮池浮渣S2</w:t>
                  </w:r>
                </w:p>
              </w:tc>
              <w:tc>
                <w:tcPr>
                  <w:tcW w:w="1376" w:type="dxa"/>
                  <w:vAlign w:val="center"/>
                </w:tcPr>
                <w:p>
                  <w:pPr>
                    <w:pStyle w:val="63"/>
                  </w:pPr>
                  <w:r>
                    <w:rPr>
                      <w:rFonts w:hint="eastAsia"/>
                    </w:rPr>
                    <w:t>气浮池</w:t>
                  </w:r>
                </w:p>
              </w:tc>
              <w:tc>
                <w:tcPr>
                  <w:tcW w:w="1650" w:type="dxa"/>
                  <w:vAlign w:val="center"/>
                </w:tcPr>
                <w:p>
                  <w:pPr>
                    <w:pStyle w:val="63"/>
                  </w:pPr>
                  <w:r>
                    <w:rPr>
                      <w:rFonts w:hint="eastAsia"/>
                    </w:rPr>
                    <w:t>危险废物</w:t>
                  </w:r>
                </w:p>
              </w:tc>
              <w:tc>
                <w:tcPr>
                  <w:tcW w:w="2687" w:type="dxa"/>
                  <w:vAlign w:val="center"/>
                </w:tcPr>
                <w:p>
                  <w:pPr>
                    <w:pStyle w:val="63"/>
                  </w:pPr>
                  <w:r>
                    <w:rPr>
                      <w:rFonts w:hint="eastAsia"/>
                    </w:rPr>
                    <w:t>交由有危废处置资质单位处置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Merge w:val="continue"/>
                  <w:vAlign w:val="center"/>
                </w:tcPr>
                <w:p>
                  <w:pPr>
                    <w:pStyle w:val="63"/>
                  </w:pPr>
                </w:p>
              </w:tc>
              <w:tc>
                <w:tcPr>
                  <w:tcW w:w="1514" w:type="dxa"/>
                  <w:vAlign w:val="center"/>
                </w:tcPr>
                <w:p>
                  <w:pPr>
                    <w:pStyle w:val="63"/>
                  </w:pPr>
                  <w:r>
                    <w:rPr>
                      <w:rFonts w:hint="eastAsia"/>
                    </w:rPr>
                    <w:t>脱水污泥S3</w:t>
                  </w:r>
                </w:p>
              </w:tc>
              <w:tc>
                <w:tcPr>
                  <w:tcW w:w="1376" w:type="dxa"/>
                  <w:vAlign w:val="center"/>
                </w:tcPr>
                <w:p>
                  <w:pPr>
                    <w:pStyle w:val="63"/>
                  </w:pPr>
                  <w:r>
                    <w:rPr>
                      <w:rFonts w:hint="eastAsia"/>
                    </w:rPr>
                    <w:t>污泥脱水间</w:t>
                  </w:r>
                </w:p>
              </w:tc>
              <w:tc>
                <w:tcPr>
                  <w:tcW w:w="1650" w:type="dxa"/>
                  <w:vAlign w:val="center"/>
                </w:tcPr>
                <w:p>
                  <w:pPr>
                    <w:pStyle w:val="63"/>
                  </w:pPr>
                  <w:r>
                    <w:rPr>
                      <w:rFonts w:hint="eastAsia"/>
                    </w:rPr>
                    <w:t>一般工业固废</w:t>
                  </w:r>
                </w:p>
              </w:tc>
              <w:tc>
                <w:tcPr>
                  <w:tcW w:w="2687" w:type="dxa"/>
                  <w:vAlign w:val="center"/>
                </w:tcPr>
                <w:p>
                  <w:pPr>
                    <w:pStyle w:val="63"/>
                  </w:pPr>
                  <w:r>
                    <w:rPr>
                      <w:rFonts w:hint="eastAsia"/>
                    </w:rPr>
                    <w:t>外委有资质单位利用处置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Merge w:val="continue"/>
                  <w:vAlign w:val="center"/>
                </w:tcPr>
                <w:p>
                  <w:pPr>
                    <w:pStyle w:val="63"/>
                  </w:pPr>
                </w:p>
              </w:tc>
              <w:tc>
                <w:tcPr>
                  <w:tcW w:w="1514" w:type="dxa"/>
                  <w:vAlign w:val="center"/>
                </w:tcPr>
                <w:p>
                  <w:pPr>
                    <w:pStyle w:val="63"/>
                  </w:pPr>
                  <w:r>
                    <w:rPr>
                      <w:rFonts w:hint="eastAsia"/>
                    </w:rPr>
                    <w:t>混凝剂包装物S4</w:t>
                  </w:r>
                </w:p>
              </w:tc>
              <w:tc>
                <w:tcPr>
                  <w:tcW w:w="1376" w:type="dxa"/>
                  <w:vAlign w:val="center"/>
                </w:tcPr>
                <w:p>
                  <w:pPr>
                    <w:pStyle w:val="63"/>
                  </w:pPr>
                  <w:r>
                    <w:rPr>
                      <w:rFonts w:hint="eastAsia"/>
                    </w:rPr>
                    <w:t>加药间</w:t>
                  </w:r>
                </w:p>
              </w:tc>
              <w:tc>
                <w:tcPr>
                  <w:tcW w:w="1650" w:type="dxa"/>
                  <w:vAlign w:val="center"/>
                </w:tcPr>
                <w:p>
                  <w:pPr>
                    <w:pStyle w:val="63"/>
                  </w:pPr>
                  <w:r>
                    <w:rPr>
                      <w:rFonts w:hint="eastAsia"/>
                    </w:rPr>
                    <w:t>一般工业固废</w:t>
                  </w:r>
                </w:p>
              </w:tc>
              <w:tc>
                <w:tcPr>
                  <w:tcW w:w="2687" w:type="dxa"/>
                  <w:vAlign w:val="center"/>
                </w:tcPr>
                <w:p>
                  <w:pPr>
                    <w:pStyle w:val="63"/>
                  </w:pPr>
                  <w:r>
                    <w:rPr>
                      <w:rFonts w:hint="eastAsia"/>
                    </w:rPr>
                    <w:t>外委单位处置或厂区自行利用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Merge w:val="continue"/>
                  <w:vAlign w:val="center"/>
                </w:tcPr>
                <w:p>
                  <w:pPr>
                    <w:pStyle w:val="63"/>
                  </w:pPr>
                </w:p>
              </w:tc>
              <w:tc>
                <w:tcPr>
                  <w:tcW w:w="1514" w:type="dxa"/>
                  <w:vAlign w:val="center"/>
                </w:tcPr>
                <w:p>
                  <w:pPr>
                    <w:pStyle w:val="63"/>
                  </w:pPr>
                  <w:r>
                    <w:rPr>
                      <w:rFonts w:hint="eastAsia"/>
                    </w:rPr>
                    <w:t>废紫外灯S5</w:t>
                  </w:r>
                </w:p>
              </w:tc>
              <w:tc>
                <w:tcPr>
                  <w:tcW w:w="1376" w:type="dxa"/>
                  <w:vAlign w:val="center"/>
                </w:tcPr>
                <w:p>
                  <w:pPr>
                    <w:pStyle w:val="63"/>
                  </w:pPr>
                  <w:r>
                    <w:rPr>
                      <w:rFonts w:hint="eastAsia"/>
                    </w:rPr>
                    <w:t>消毒</w:t>
                  </w:r>
                </w:p>
              </w:tc>
              <w:tc>
                <w:tcPr>
                  <w:tcW w:w="1650" w:type="dxa"/>
                  <w:vAlign w:val="center"/>
                </w:tcPr>
                <w:p>
                  <w:pPr>
                    <w:pStyle w:val="63"/>
                  </w:pPr>
                  <w:r>
                    <w:rPr>
                      <w:rFonts w:hint="eastAsia"/>
                    </w:rPr>
                    <w:t>危险废物</w:t>
                  </w:r>
                </w:p>
              </w:tc>
              <w:tc>
                <w:tcPr>
                  <w:tcW w:w="2687" w:type="dxa"/>
                  <w:vAlign w:val="center"/>
                </w:tcPr>
                <w:p>
                  <w:pPr>
                    <w:pStyle w:val="63"/>
                  </w:pPr>
                  <w:r>
                    <w:rPr>
                      <w:rFonts w:hint="eastAsia"/>
                    </w:rPr>
                    <w:t>交由有危废处置资质单位处置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Merge w:val="continue"/>
                  <w:vAlign w:val="center"/>
                </w:tcPr>
                <w:p>
                  <w:pPr>
                    <w:pStyle w:val="63"/>
                  </w:pPr>
                </w:p>
              </w:tc>
              <w:tc>
                <w:tcPr>
                  <w:tcW w:w="1514" w:type="dxa"/>
                  <w:vAlign w:val="center"/>
                </w:tcPr>
                <w:p>
                  <w:pPr>
                    <w:pStyle w:val="63"/>
                  </w:pPr>
                  <w:r>
                    <w:rPr>
                      <w:rFonts w:hint="eastAsia"/>
                    </w:rPr>
                    <w:t>维修废油和沾染物S6</w:t>
                  </w:r>
                </w:p>
              </w:tc>
              <w:tc>
                <w:tcPr>
                  <w:tcW w:w="1376" w:type="dxa"/>
                  <w:vAlign w:val="center"/>
                </w:tcPr>
                <w:p>
                  <w:pPr>
                    <w:pStyle w:val="63"/>
                  </w:pPr>
                  <w:r>
                    <w:rPr>
                      <w:rFonts w:hint="eastAsia"/>
                    </w:rPr>
                    <w:t>维修间</w:t>
                  </w:r>
                </w:p>
              </w:tc>
              <w:tc>
                <w:tcPr>
                  <w:tcW w:w="1650" w:type="dxa"/>
                  <w:vAlign w:val="center"/>
                </w:tcPr>
                <w:p>
                  <w:pPr>
                    <w:pStyle w:val="63"/>
                  </w:pPr>
                  <w:r>
                    <w:rPr>
                      <w:rFonts w:hint="eastAsia"/>
                    </w:rPr>
                    <w:t>危险废物</w:t>
                  </w:r>
                </w:p>
              </w:tc>
              <w:tc>
                <w:tcPr>
                  <w:tcW w:w="2687" w:type="dxa"/>
                  <w:vAlign w:val="center"/>
                </w:tcPr>
                <w:p>
                  <w:pPr>
                    <w:pStyle w:val="63"/>
                  </w:pPr>
                  <w:r>
                    <w:rPr>
                      <w:rFonts w:hint="eastAsia"/>
                    </w:rPr>
                    <w:t>交由有危废处置资质单位处置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Merge w:val="continue"/>
                  <w:vAlign w:val="center"/>
                </w:tcPr>
                <w:p>
                  <w:pPr>
                    <w:pStyle w:val="63"/>
                  </w:pPr>
                </w:p>
              </w:tc>
              <w:tc>
                <w:tcPr>
                  <w:tcW w:w="1514" w:type="dxa"/>
                  <w:vAlign w:val="center"/>
                </w:tcPr>
                <w:p>
                  <w:pPr>
                    <w:pStyle w:val="63"/>
                  </w:pPr>
                  <w:r>
                    <w:rPr>
                      <w:rFonts w:hint="eastAsia"/>
                    </w:rPr>
                    <w:t>沾染化学品的化验包装物和废液S7</w:t>
                  </w:r>
                </w:p>
              </w:tc>
              <w:tc>
                <w:tcPr>
                  <w:tcW w:w="1376" w:type="dxa"/>
                  <w:vAlign w:val="center"/>
                </w:tcPr>
                <w:p>
                  <w:pPr>
                    <w:pStyle w:val="63"/>
                  </w:pPr>
                  <w:r>
                    <w:rPr>
                      <w:rFonts w:hint="eastAsia"/>
                    </w:rPr>
                    <w:t>化验室</w:t>
                  </w:r>
                </w:p>
              </w:tc>
              <w:tc>
                <w:tcPr>
                  <w:tcW w:w="1650" w:type="dxa"/>
                  <w:vAlign w:val="center"/>
                </w:tcPr>
                <w:p>
                  <w:pPr>
                    <w:pStyle w:val="63"/>
                  </w:pPr>
                  <w:r>
                    <w:rPr>
                      <w:rFonts w:hint="eastAsia"/>
                    </w:rPr>
                    <w:t>危险废物</w:t>
                  </w:r>
                </w:p>
              </w:tc>
              <w:tc>
                <w:tcPr>
                  <w:tcW w:w="2687" w:type="dxa"/>
                  <w:vAlign w:val="center"/>
                </w:tcPr>
                <w:p>
                  <w:pPr>
                    <w:pStyle w:val="63"/>
                  </w:pPr>
                  <w:r>
                    <w:rPr>
                      <w:rFonts w:hint="eastAsia"/>
                    </w:rPr>
                    <w:t>交由有危废处置资质单位处置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Merge w:val="continue"/>
                  <w:vAlign w:val="center"/>
                </w:tcPr>
                <w:p>
                  <w:pPr>
                    <w:pStyle w:val="63"/>
                  </w:pPr>
                </w:p>
              </w:tc>
              <w:tc>
                <w:tcPr>
                  <w:tcW w:w="1514" w:type="dxa"/>
                  <w:vAlign w:val="center"/>
                </w:tcPr>
                <w:p>
                  <w:pPr>
                    <w:pStyle w:val="63"/>
                  </w:pPr>
                  <w:r>
                    <w:rPr>
                      <w:rFonts w:hint="eastAsia"/>
                    </w:rPr>
                    <w:t>生活垃圾S8</w:t>
                  </w:r>
                </w:p>
              </w:tc>
              <w:tc>
                <w:tcPr>
                  <w:tcW w:w="1376" w:type="dxa"/>
                  <w:vAlign w:val="center"/>
                </w:tcPr>
                <w:p>
                  <w:pPr>
                    <w:pStyle w:val="63"/>
                  </w:pPr>
                  <w:r>
                    <w:rPr>
                      <w:rFonts w:hint="eastAsia"/>
                    </w:rPr>
                    <w:t>-</w:t>
                  </w:r>
                </w:p>
              </w:tc>
              <w:tc>
                <w:tcPr>
                  <w:tcW w:w="1650" w:type="dxa"/>
                  <w:vAlign w:val="center"/>
                </w:tcPr>
                <w:p>
                  <w:pPr>
                    <w:pStyle w:val="63"/>
                  </w:pPr>
                  <w:r>
                    <w:rPr>
                      <w:rFonts w:hint="eastAsia"/>
                    </w:rPr>
                    <w:t>生活垃圾</w:t>
                  </w:r>
                </w:p>
              </w:tc>
              <w:tc>
                <w:tcPr>
                  <w:tcW w:w="2687" w:type="dxa"/>
                  <w:vAlign w:val="center"/>
                </w:tcPr>
                <w:p>
                  <w:pPr>
                    <w:pStyle w:val="63"/>
                  </w:pPr>
                  <w:r>
                    <w:rPr>
                      <w:rFonts w:hint="eastAsia"/>
                    </w:rPr>
                    <w:t>厂区内垃圾桶贮存，环卫转运处置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Merge w:val="continue"/>
                  <w:vAlign w:val="center"/>
                </w:tcPr>
                <w:p>
                  <w:pPr>
                    <w:pStyle w:val="63"/>
                  </w:pPr>
                </w:p>
              </w:tc>
              <w:tc>
                <w:tcPr>
                  <w:tcW w:w="1514" w:type="dxa"/>
                  <w:vAlign w:val="center"/>
                </w:tcPr>
                <w:p>
                  <w:pPr>
                    <w:pStyle w:val="63"/>
                  </w:pPr>
                  <w:r>
                    <w:rPr>
                      <w:rFonts w:hint="eastAsia"/>
                    </w:rPr>
                    <w:t>在线监测设备产生的废液和废试剂瓶S9</w:t>
                  </w:r>
                </w:p>
              </w:tc>
              <w:tc>
                <w:tcPr>
                  <w:tcW w:w="1376" w:type="dxa"/>
                  <w:vAlign w:val="center"/>
                </w:tcPr>
                <w:p>
                  <w:pPr>
                    <w:pStyle w:val="63"/>
                  </w:pPr>
                  <w:r>
                    <w:rPr>
                      <w:rFonts w:hint="eastAsia"/>
                    </w:rPr>
                    <w:t>-</w:t>
                  </w:r>
                </w:p>
              </w:tc>
              <w:tc>
                <w:tcPr>
                  <w:tcW w:w="1650" w:type="dxa"/>
                  <w:vAlign w:val="center"/>
                </w:tcPr>
                <w:p>
                  <w:pPr>
                    <w:pStyle w:val="63"/>
                  </w:pPr>
                  <w:r>
                    <w:rPr>
                      <w:rFonts w:hint="eastAsia"/>
                    </w:rPr>
                    <w:t>危险废物</w:t>
                  </w:r>
                </w:p>
              </w:tc>
              <w:tc>
                <w:tcPr>
                  <w:tcW w:w="2687" w:type="dxa"/>
                  <w:vAlign w:val="center"/>
                </w:tcPr>
                <w:p>
                  <w:pPr>
                    <w:pStyle w:val="63"/>
                  </w:pPr>
                  <w:r>
                    <w:rPr>
                      <w:rFonts w:hint="eastAsia"/>
                    </w:rPr>
                    <w:t>交由有危废处置资质单位处置</w:t>
                  </w:r>
                </w:p>
              </w:tc>
            </w:tr>
          </w:tbl>
          <w:p>
            <w:pPr>
              <w:pStyle w:val="5"/>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823" w:type="dxa"/>
            <w:vAlign w:val="center"/>
          </w:tcPr>
          <w:p>
            <w:pPr>
              <w:pStyle w:val="33"/>
              <w:adjustRightInd w:val="0"/>
              <w:snapToGrid w:val="0"/>
              <w:spacing w:before="0" w:beforeAutospacing="0" w:after="0" w:afterAutospacing="0"/>
              <w:jc w:val="center"/>
              <w:rPr>
                <w:rFonts w:hint="eastAsia" w:cs="宋体"/>
                <w:sz w:val="21"/>
                <w:szCs w:val="21"/>
              </w:rPr>
            </w:pPr>
            <w:r>
              <w:rPr>
                <w:rFonts w:hint="eastAsia" w:cs="宋体"/>
                <w:bCs/>
                <w:kern w:val="2"/>
                <w:sz w:val="21"/>
                <w:szCs w:val="21"/>
              </w:rPr>
              <w:t>与项目有关的原有环境污染问题</w:t>
            </w:r>
          </w:p>
        </w:tc>
        <w:tc>
          <w:tcPr>
            <w:tcW w:w="8161" w:type="dxa"/>
            <w:vAlign w:val="center"/>
          </w:tcPr>
          <w:p>
            <w:pPr>
              <w:pStyle w:val="3"/>
              <w:spacing w:before="120" w:after="120"/>
            </w:pPr>
            <w:r>
              <w:rPr>
                <w:rFonts w:hint="eastAsia"/>
              </w:rPr>
              <w:t>与项目有关的原有环境污染问题</w:t>
            </w:r>
          </w:p>
          <w:p>
            <w:pPr>
              <w:pStyle w:val="5"/>
              <w:ind w:firstLine="480"/>
            </w:pPr>
            <w:r>
              <w:rPr>
                <w:rFonts w:hint="eastAsia"/>
              </w:rPr>
              <w:t>项目所在区域原为林地，项目所在区域现已划入高铁生态城新兴产业集聚区范围，现状已完成平场，无与项目有关的原有环境污染问题。</w:t>
            </w:r>
          </w:p>
        </w:tc>
      </w:tr>
    </w:tbl>
    <w:p>
      <w:pPr>
        <w:pStyle w:val="33"/>
        <w:jc w:val="center"/>
        <w:rPr>
          <w:rFonts w:hint="eastAsia" w:ascii="黑体" w:hAnsi="黑体" w:eastAsia="黑体"/>
          <w:snapToGrid w:val="0"/>
          <w:sz w:val="36"/>
          <w:szCs w:val="36"/>
        </w:rPr>
        <w:sectPr>
          <w:footerReference r:id="rId5" w:type="default"/>
          <w:pgSz w:w="11906" w:h="16838"/>
          <w:pgMar w:top="1701" w:right="1531" w:bottom="1701" w:left="1531" w:header="851" w:footer="851" w:gutter="0"/>
          <w:cols w:space="720" w:num="1"/>
          <w:docGrid w:linePitch="312" w:charSpace="0"/>
        </w:sectPr>
      </w:pPr>
    </w:p>
    <w:p>
      <w:pPr>
        <w:pStyle w:val="2"/>
        <w:rPr>
          <w:snapToGrid w:val="0"/>
        </w:rPr>
      </w:pPr>
      <w:r>
        <w:rPr>
          <w:rFonts w:hint="eastAsia"/>
          <w:snapToGrid w:val="0"/>
        </w:rPr>
        <w:t>区域环境质量现状、环境保护目标及评价标准</w:t>
      </w:r>
    </w:p>
    <w:tbl>
      <w:tblPr>
        <w:tblStyle w:val="38"/>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2906" w:hRule="atLeast"/>
          <w:jc w:val="center"/>
        </w:trPr>
        <w:tc>
          <w:tcPr>
            <w:tcW w:w="800" w:type="dxa"/>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hint="eastAsia" w:ascii="宋体" w:hAnsi="宋体" w:cs="宋体"/>
                <w:kern w:val="0"/>
                <w:szCs w:val="21"/>
              </w:rPr>
            </w:pPr>
            <w:r>
              <w:rPr>
                <w:rFonts w:hint="eastAsia" w:ascii="宋体" w:hAnsi="宋体" w:cs="宋体"/>
                <w:kern w:val="0"/>
                <w:szCs w:val="21"/>
              </w:rPr>
              <w:t>现状</w:t>
            </w:r>
          </w:p>
        </w:tc>
        <w:tc>
          <w:tcPr>
            <w:tcW w:w="8190" w:type="dxa"/>
            <w:vAlign w:val="center"/>
          </w:tcPr>
          <w:p>
            <w:pPr>
              <w:pStyle w:val="3"/>
              <w:spacing w:before="120" w:after="120"/>
            </w:pPr>
            <w:r>
              <w:rPr>
                <w:rFonts w:hint="eastAsia"/>
              </w:rPr>
              <w:t>区域环境质量现状</w:t>
            </w:r>
          </w:p>
          <w:p>
            <w:pPr>
              <w:pStyle w:val="4"/>
              <w:spacing w:before="120" w:after="120"/>
            </w:pPr>
            <w:r>
              <w:rPr>
                <w:rFonts w:hint="eastAsia"/>
              </w:rPr>
              <w:t>大气环境</w:t>
            </w:r>
          </w:p>
          <w:p>
            <w:pPr>
              <w:pStyle w:val="6"/>
              <w:spacing w:before="120" w:after="120"/>
            </w:pPr>
            <w:r>
              <w:rPr>
                <w:rFonts w:hint="eastAsia"/>
              </w:rPr>
              <w:t>区域大气环境达标判断</w:t>
            </w:r>
          </w:p>
          <w:p>
            <w:pPr>
              <w:pStyle w:val="5"/>
              <w:ind w:firstLine="480"/>
            </w:pPr>
            <w:r>
              <w:rPr>
                <w:rFonts w:hint="eastAsia"/>
              </w:rPr>
              <w:t>根据《环境影响评价技术导则</w:t>
            </w:r>
            <w:r>
              <w:t xml:space="preserve"> 大气环境》（HJ2.2-2018），项目区环境空气质量现状调查与评价如下：空气质量达标区判定，项目所在区域达标判定，优先采用国家或地方生态环境主管部门公开发布的评价基准年环境质量公告或环境质量报告中的数据或结论，包括各评价因子的浓度、标准及达标判定结果等。</w:t>
            </w:r>
          </w:p>
          <w:p>
            <w:pPr>
              <w:pStyle w:val="5"/>
              <w:ind w:firstLine="480"/>
            </w:pPr>
            <w:r>
              <w:rPr>
                <w:rFonts w:hint="eastAsia"/>
              </w:rPr>
              <w:t>本项目位于奉节县，本次引用《</w:t>
            </w:r>
            <w:r>
              <w:t>202</w:t>
            </w:r>
            <w:r>
              <w:rPr>
                <w:rFonts w:hint="eastAsia"/>
              </w:rPr>
              <w:t>3</w:t>
            </w:r>
            <w:r>
              <w:t>年重庆市生态环境状况公报》中奉节县大气基本污染物的数据作为达标区判定的主要依据，</w:t>
            </w:r>
            <w:r>
              <w:rPr>
                <w:rFonts w:hint="eastAsia"/>
              </w:rPr>
              <w:t>见</w:t>
            </w:r>
            <w:r>
              <w:fldChar w:fldCharType="begin"/>
            </w:r>
            <w:r>
              <w:instrText xml:space="preserve"> </w:instrText>
            </w:r>
            <w:r>
              <w:rPr>
                <w:rFonts w:hint="eastAsia"/>
              </w:rPr>
              <w:instrText xml:space="preserve">REF _Ref170117116 \h</w:instrText>
            </w:r>
            <w:r>
              <w:instrText xml:space="preserve"> </w:instrText>
            </w:r>
            <w:r>
              <w:fldChar w:fldCharType="separate"/>
            </w:r>
            <w:r>
              <w:t>表 3.1</w:t>
            </w:r>
            <w:r>
              <w:noBreakHyphen/>
            </w:r>
            <w:r>
              <w:t>1</w:t>
            </w:r>
            <w:r>
              <w:fldChar w:fldCharType="end"/>
            </w:r>
            <w:r>
              <w:rPr>
                <w:rFonts w:hint="eastAsia"/>
              </w:rPr>
              <w:t>。</w:t>
            </w:r>
          </w:p>
          <w:p>
            <w:pPr>
              <w:pStyle w:val="14"/>
              <w:keepNext/>
            </w:pPr>
            <w:bookmarkStart w:id="35" w:name="_Ref170117116"/>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1</w:t>
            </w:r>
            <w:r>
              <w:fldChar w:fldCharType="end"/>
            </w:r>
            <w:bookmarkEnd w:id="35"/>
            <w:r>
              <w:rPr>
                <w:rFonts w:hint="eastAsia"/>
              </w:rPr>
              <w:t xml:space="preserve">   奉节县2023年环境空气达标区判断</w:t>
            </w:r>
          </w:p>
          <w:tbl>
            <w:tblPr>
              <w:tblStyle w:val="3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274"/>
              <w:gridCol w:w="958"/>
              <w:gridCol w:w="958"/>
              <w:gridCol w:w="957"/>
              <w:gridCol w:w="957"/>
              <w:gridCol w:w="957"/>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47" w:type="dxa"/>
                  <w:noWrap/>
                  <w:vAlign w:val="center"/>
                </w:tcPr>
                <w:p>
                  <w:pPr>
                    <w:pStyle w:val="63"/>
                    <w:rPr>
                      <w:rFonts w:cs="宋体"/>
                    </w:rPr>
                  </w:pPr>
                  <w:r>
                    <w:rPr>
                      <w:rFonts w:hint="eastAsia"/>
                    </w:rPr>
                    <w:t>区域</w:t>
                  </w:r>
                </w:p>
              </w:tc>
              <w:tc>
                <w:tcPr>
                  <w:tcW w:w="1274" w:type="dxa"/>
                  <w:vAlign w:val="center"/>
                </w:tcPr>
                <w:p>
                  <w:pPr>
                    <w:pStyle w:val="63"/>
                    <w:rPr>
                      <w:rFonts w:hint="eastAsia" w:ascii="宋体" w:hAnsi="宋体"/>
                      <w:szCs w:val="21"/>
                    </w:rPr>
                  </w:pPr>
                  <w:r>
                    <w:rPr>
                      <w:rFonts w:hint="eastAsia"/>
                      <w:szCs w:val="21"/>
                    </w:rPr>
                    <w:t>污染物</w:t>
                  </w:r>
                </w:p>
              </w:tc>
              <w:tc>
                <w:tcPr>
                  <w:tcW w:w="958" w:type="dxa"/>
                  <w:noWrap/>
                  <w:vAlign w:val="center"/>
                </w:tcPr>
                <w:p>
                  <w:pPr>
                    <w:pStyle w:val="63"/>
                  </w:pPr>
                  <w:r>
                    <w:rPr>
                      <w:rFonts w:hint="eastAsia"/>
                    </w:rPr>
                    <w:t>监测值</w:t>
                  </w:r>
                </w:p>
              </w:tc>
              <w:tc>
                <w:tcPr>
                  <w:tcW w:w="958" w:type="dxa"/>
                  <w:noWrap/>
                  <w:vAlign w:val="center"/>
                </w:tcPr>
                <w:p>
                  <w:pPr>
                    <w:pStyle w:val="63"/>
                  </w:pPr>
                  <w:r>
                    <w:rPr>
                      <w:rFonts w:hint="eastAsia"/>
                    </w:rPr>
                    <w:t>标准值</w:t>
                  </w:r>
                </w:p>
              </w:tc>
              <w:tc>
                <w:tcPr>
                  <w:tcW w:w="957" w:type="dxa"/>
                  <w:noWrap/>
                  <w:vAlign w:val="center"/>
                </w:tcPr>
                <w:p>
                  <w:pPr>
                    <w:pStyle w:val="63"/>
                  </w:pPr>
                  <w:r>
                    <w:rPr>
                      <w:rFonts w:hint="eastAsia"/>
                    </w:rPr>
                    <w:t>占标率</w:t>
                  </w:r>
                </w:p>
              </w:tc>
              <w:tc>
                <w:tcPr>
                  <w:tcW w:w="957" w:type="dxa"/>
                  <w:noWrap/>
                  <w:vAlign w:val="center"/>
                </w:tcPr>
                <w:p>
                  <w:pPr>
                    <w:pStyle w:val="63"/>
                  </w:pPr>
                  <w:r>
                    <w:rPr>
                      <w:rFonts w:hint="eastAsia"/>
                    </w:rPr>
                    <w:t>超标率</w:t>
                  </w:r>
                </w:p>
              </w:tc>
              <w:tc>
                <w:tcPr>
                  <w:tcW w:w="957" w:type="dxa"/>
                  <w:noWrap/>
                  <w:vAlign w:val="center"/>
                </w:tcPr>
                <w:p>
                  <w:pPr>
                    <w:pStyle w:val="63"/>
                  </w:pPr>
                  <w:r>
                    <w:rPr>
                      <w:rFonts w:hint="eastAsia"/>
                    </w:rPr>
                    <w:t>超标率</w:t>
                  </w:r>
                </w:p>
              </w:tc>
              <w:tc>
                <w:tcPr>
                  <w:tcW w:w="1056" w:type="dxa"/>
                  <w:noWrap/>
                  <w:vAlign w:val="center"/>
                </w:tcPr>
                <w:p>
                  <w:pPr>
                    <w:pStyle w:val="63"/>
                  </w:pPr>
                  <w:r>
                    <w:rPr>
                      <w:rFonts w:hint="eastAsia"/>
                    </w:rPr>
                    <w:t>达标判断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47" w:type="dxa"/>
                  <w:vMerge w:val="restart"/>
                  <w:noWrap/>
                  <w:vAlign w:val="center"/>
                </w:tcPr>
                <w:p>
                  <w:pPr>
                    <w:pStyle w:val="63"/>
                  </w:pPr>
                  <w:r>
                    <w:rPr>
                      <w:rFonts w:hint="eastAsia"/>
                    </w:rPr>
                    <w:t>奉节县</w:t>
                  </w:r>
                </w:p>
              </w:tc>
              <w:tc>
                <w:tcPr>
                  <w:tcW w:w="1274" w:type="dxa"/>
                  <w:vAlign w:val="center"/>
                </w:tcPr>
                <w:p>
                  <w:pPr>
                    <w:pStyle w:val="63"/>
                    <w:rPr>
                      <w:rFonts w:cs="Times New Roman"/>
                      <w:szCs w:val="21"/>
                    </w:rPr>
                  </w:pPr>
                  <w:r>
                    <w:rPr>
                      <w:rFonts w:cs="Times New Roman"/>
                      <w:szCs w:val="21"/>
                    </w:rPr>
                    <w:t>PM</w:t>
                  </w:r>
                  <w:r>
                    <w:rPr>
                      <w:rFonts w:cs="Times New Roman"/>
                      <w:szCs w:val="21"/>
                      <w:vertAlign w:val="subscript"/>
                    </w:rPr>
                    <w:t>10</w:t>
                  </w:r>
                </w:p>
              </w:tc>
              <w:tc>
                <w:tcPr>
                  <w:tcW w:w="958" w:type="dxa"/>
                  <w:vAlign w:val="center"/>
                </w:tcPr>
                <w:p>
                  <w:pPr>
                    <w:pStyle w:val="63"/>
                    <w:rPr>
                      <w:rFonts w:cs="Times New Roman"/>
                      <w:szCs w:val="21"/>
                    </w:rPr>
                  </w:pPr>
                  <w:r>
                    <w:rPr>
                      <w:rFonts w:cs="Times New Roman"/>
                      <w:szCs w:val="21"/>
                    </w:rPr>
                    <w:t>35</w:t>
                  </w:r>
                </w:p>
              </w:tc>
              <w:tc>
                <w:tcPr>
                  <w:tcW w:w="958" w:type="dxa"/>
                  <w:vAlign w:val="center"/>
                </w:tcPr>
                <w:p>
                  <w:pPr>
                    <w:pStyle w:val="63"/>
                    <w:rPr>
                      <w:rFonts w:cs="Times New Roman"/>
                      <w:szCs w:val="21"/>
                    </w:rPr>
                  </w:pPr>
                  <w:r>
                    <w:rPr>
                      <w:rFonts w:cs="Times New Roman"/>
                      <w:szCs w:val="21"/>
                    </w:rPr>
                    <w:t>70</w:t>
                  </w:r>
                </w:p>
              </w:tc>
              <w:tc>
                <w:tcPr>
                  <w:tcW w:w="957" w:type="dxa"/>
                  <w:noWrap/>
                  <w:vAlign w:val="center"/>
                </w:tcPr>
                <w:p>
                  <w:pPr>
                    <w:pStyle w:val="63"/>
                    <w:rPr>
                      <w:rFonts w:cs="宋体"/>
                    </w:rPr>
                  </w:pPr>
                  <w:r>
                    <w:rPr>
                      <w:rFonts w:hint="eastAsia"/>
                    </w:rPr>
                    <w:t>50%</w:t>
                  </w:r>
                </w:p>
              </w:tc>
              <w:tc>
                <w:tcPr>
                  <w:tcW w:w="957" w:type="dxa"/>
                  <w:noWrap/>
                  <w:vAlign w:val="center"/>
                </w:tcPr>
                <w:p>
                  <w:pPr>
                    <w:pStyle w:val="63"/>
                  </w:pPr>
                  <w:r>
                    <w:rPr>
                      <w:rFonts w:hint="eastAsia"/>
                    </w:rPr>
                    <w:t>/</w:t>
                  </w:r>
                </w:p>
              </w:tc>
              <w:tc>
                <w:tcPr>
                  <w:tcW w:w="957" w:type="dxa"/>
                  <w:noWrap/>
                  <w:vAlign w:val="center"/>
                </w:tcPr>
                <w:p>
                  <w:pPr>
                    <w:pStyle w:val="63"/>
                  </w:pPr>
                  <w:r>
                    <w:rPr>
                      <w:rFonts w:hint="eastAsia"/>
                    </w:rPr>
                    <w:t>/</w:t>
                  </w:r>
                </w:p>
              </w:tc>
              <w:tc>
                <w:tcPr>
                  <w:tcW w:w="1056" w:type="dxa"/>
                  <w:noWrap/>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47" w:type="dxa"/>
                  <w:vMerge w:val="continue"/>
                  <w:noWrap/>
                  <w:vAlign w:val="center"/>
                </w:tcPr>
                <w:p>
                  <w:pPr>
                    <w:pStyle w:val="63"/>
                  </w:pPr>
                </w:p>
              </w:tc>
              <w:tc>
                <w:tcPr>
                  <w:tcW w:w="1274" w:type="dxa"/>
                  <w:vAlign w:val="center"/>
                </w:tcPr>
                <w:p>
                  <w:pPr>
                    <w:pStyle w:val="63"/>
                    <w:rPr>
                      <w:rFonts w:cs="Times New Roman"/>
                      <w:szCs w:val="21"/>
                    </w:rPr>
                  </w:pPr>
                  <w:r>
                    <w:rPr>
                      <w:rFonts w:cs="Times New Roman"/>
                      <w:szCs w:val="21"/>
                    </w:rPr>
                    <w:t>SO</w:t>
                  </w:r>
                  <w:r>
                    <w:rPr>
                      <w:rFonts w:cs="Times New Roman"/>
                      <w:szCs w:val="21"/>
                      <w:vertAlign w:val="subscript"/>
                    </w:rPr>
                    <w:t>2</w:t>
                  </w:r>
                </w:p>
              </w:tc>
              <w:tc>
                <w:tcPr>
                  <w:tcW w:w="958" w:type="dxa"/>
                  <w:vAlign w:val="center"/>
                </w:tcPr>
                <w:p>
                  <w:pPr>
                    <w:pStyle w:val="63"/>
                    <w:rPr>
                      <w:rFonts w:cs="Times New Roman"/>
                      <w:szCs w:val="21"/>
                    </w:rPr>
                  </w:pPr>
                  <w:r>
                    <w:rPr>
                      <w:rFonts w:cs="Times New Roman"/>
                      <w:szCs w:val="21"/>
                    </w:rPr>
                    <w:t>13</w:t>
                  </w:r>
                </w:p>
              </w:tc>
              <w:tc>
                <w:tcPr>
                  <w:tcW w:w="958" w:type="dxa"/>
                  <w:vAlign w:val="center"/>
                </w:tcPr>
                <w:p>
                  <w:pPr>
                    <w:pStyle w:val="63"/>
                    <w:rPr>
                      <w:rFonts w:cs="Times New Roman"/>
                      <w:szCs w:val="21"/>
                    </w:rPr>
                  </w:pPr>
                  <w:r>
                    <w:rPr>
                      <w:rFonts w:cs="Times New Roman"/>
                      <w:szCs w:val="21"/>
                    </w:rPr>
                    <w:t>60</w:t>
                  </w:r>
                </w:p>
              </w:tc>
              <w:tc>
                <w:tcPr>
                  <w:tcW w:w="957" w:type="dxa"/>
                  <w:noWrap/>
                  <w:vAlign w:val="center"/>
                </w:tcPr>
                <w:p>
                  <w:pPr>
                    <w:pStyle w:val="63"/>
                    <w:rPr>
                      <w:rFonts w:cs="宋体"/>
                    </w:rPr>
                  </w:pPr>
                  <w:r>
                    <w:rPr>
                      <w:rFonts w:hint="eastAsia"/>
                    </w:rPr>
                    <w:t>22%</w:t>
                  </w:r>
                </w:p>
              </w:tc>
              <w:tc>
                <w:tcPr>
                  <w:tcW w:w="957" w:type="dxa"/>
                  <w:noWrap/>
                </w:tcPr>
                <w:p>
                  <w:pPr>
                    <w:pStyle w:val="63"/>
                  </w:pPr>
                  <w:r>
                    <w:rPr>
                      <w:rFonts w:hint="eastAsia"/>
                    </w:rPr>
                    <w:t>/</w:t>
                  </w:r>
                </w:p>
              </w:tc>
              <w:tc>
                <w:tcPr>
                  <w:tcW w:w="957" w:type="dxa"/>
                  <w:noWrap/>
                  <w:vAlign w:val="center"/>
                </w:tcPr>
                <w:p>
                  <w:pPr>
                    <w:pStyle w:val="63"/>
                  </w:pPr>
                  <w:r>
                    <w:rPr>
                      <w:rFonts w:hint="eastAsia"/>
                    </w:rPr>
                    <w:t>/</w:t>
                  </w:r>
                </w:p>
              </w:tc>
              <w:tc>
                <w:tcPr>
                  <w:tcW w:w="1056" w:type="dxa"/>
                  <w:noWrap/>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47" w:type="dxa"/>
                  <w:vMerge w:val="continue"/>
                  <w:noWrap/>
                  <w:vAlign w:val="center"/>
                </w:tcPr>
                <w:p>
                  <w:pPr>
                    <w:pStyle w:val="63"/>
                  </w:pPr>
                </w:p>
              </w:tc>
              <w:tc>
                <w:tcPr>
                  <w:tcW w:w="1274" w:type="dxa"/>
                  <w:vAlign w:val="center"/>
                </w:tcPr>
                <w:p>
                  <w:pPr>
                    <w:pStyle w:val="63"/>
                    <w:rPr>
                      <w:rFonts w:cs="Times New Roman"/>
                      <w:szCs w:val="21"/>
                    </w:rPr>
                  </w:pPr>
                  <w:r>
                    <w:rPr>
                      <w:rFonts w:cs="Times New Roman"/>
                      <w:szCs w:val="21"/>
                    </w:rPr>
                    <w:t>NO</w:t>
                  </w:r>
                  <w:r>
                    <w:rPr>
                      <w:rFonts w:cs="Times New Roman"/>
                      <w:szCs w:val="21"/>
                      <w:vertAlign w:val="subscript"/>
                    </w:rPr>
                    <w:t>2</w:t>
                  </w:r>
                </w:p>
              </w:tc>
              <w:tc>
                <w:tcPr>
                  <w:tcW w:w="958" w:type="dxa"/>
                  <w:vAlign w:val="center"/>
                </w:tcPr>
                <w:p>
                  <w:pPr>
                    <w:pStyle w:val="63"/>
                    <w:rPr>
                      <w:rFonts w:cs="Times New Roman"/>
                      <w:szCs w:val="21"/>
                    </w:rPr>
                  </w:pPr>
                  <w:r>
                    <w:rPr>
                      <w:rFonts w:cs="Times New Roman"/>
                      <w:szCs w:val="21"/>
                    </w:rPr>
                    <w:t>25</w:t>
                  </w:r>
                </w:p>
              </w:tc>
              <w:tc>
                <w:tcPr>
                  <w:tcW w:w="958" w:type="dxa"/>
                  <w:vAlign w:val="center"/>
                </w:tcPr>
                <w:p>
                  <w:pPr>
                    <w:pStyle w:val="63"/>
                    <w:rPr>
                      <w:rFonts w:cs="Times New Roman"/>
                      <w:szCs w:val="21"/>
                    </w:rPr>
                  </w:pPr>
                  <w:r>
                    <w:rPr>
                      <w:rFonts w:cs="Times New Roman"/>
                      <w:szCs w:val="21"/>
                    </w:rPr>
                    <w:t>40</w:t>
                  </w:r>
                </w:p>
              </w:tc>
              <w:tc>
                <w:tcPr>
                  <w:tcW w:w="957" w:type="dxa"/>
                  <w:noWrap/>
                  <w:vAlign w:val="center"/>
                </w:tcPr>
                <w:p>
                  <w:pPr>
                    <w:pStyle w:val="63"/>
                    <w:rPr>
                      <w:rFonts w:cs="宋体"/>
                    </w:rPr>
                  </w:pPr>
                  <w:r>
                    <w:rPr>
                      <w:rFonts w:hint="eastAsia"/>
                    </w:rPr>
                    <w:t>63%</w:t>
                  </w:r>
                </w:p>
              </w:tc>
              <w:tc>
                <w:tcPr>
                  <w:tcW w:w="957" w:type="dxa"/>
                  <w:noWrap/>
                </w:tcPr>
                <w:p>
                  <w:pPr>
                    <w:pStyle w:val="63"/>
                  </w:pPr>
                  <w:r>
                    <w:rPr>
                      <w:rFonts w:hint="eastAsia"/>
                    </w:rPr>
                    <w:t>/</w:t>
                  </w:r>
                </w:p>
              </w:tc>
              <w:tc>
                <w:tcPr>
                  <w:tcW w:w="957" w:type="dxa"/>
                  <w:noWrap/>
                  <w:vAlign w:val="center"/>
                </w:tcPr>
                <w:p>
                  <w:pPr>
                    <w:pStyle w:val="63"/>
                  </w:pPr>
                  <w:r>
                    <w:rPr>
                      <w:rFonts w:hint="eastAsia"/>
                    </w:rPr>
                    <w:t>/</w:t>
                  </w:r>
                </w:p>
              </w:tc>
              <w:tc>
                <w:tcPr>
                  <w:tcW w:w="1056" w:type="dxa"/>
                  <w:noWrap/>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47" w:type="dxa"/>
                  <w:vMerge w:val="continue"/>
                  <w:noWrap/>
                  <w:vAlign w:val="center"/>
                </w:tcPr>
                <w:p>
                  <w:pPr>
                    <w:pStyle w:val="63"/>
                  </w:pPr>
                </w:p>
              </w:tc>
              <w:tc>
                <w:tcPr>
                  <w:tcW w:w="1274" w:type="dxa"/>
                  <w:vAlign w:val="center"/>
                </w:tcPr>
                <w:p>
                  <w:pPr>
                    <w:pStyle w:val="63"/>
                    <w:rPr>
                      <w:rFonts w:cs="Times New Roman"/>
                      <w:szCs w:val="21"/>
                    </w:rPr>
                  </w:pPr>
                  <w:r>
                    <w:rPr>
                      <w:rFonts w:cs="Times New Roman"/>
                      <w:szCs w:val="21"/>
                    </w:rPr>
                    <w:t>PM</w:t>
                  </w:r>
                  <w:r>
                    <w:rPr>
                      <w:rFonts w:cs="Times New Roman"/>
                      <w:szCs w:val="21"/>
                      <w:vertAlign w:val="subscript"/>
                    </w:rPr>
                    <w:t>2.5</w:t>
                  </w:r>
                </w:p>
              </w:tc>
              <w:tc>
                <w:tcPr>
                  <w:tcW w:w="958" w:type="dxa"/>
                  <w:vAlign w:val="center"/>
                </w:tcPr>
                <w:p>
                  <w:pPr>
                    <w:pStyle w:val="63"/>
                    <w:rPr>
                      <w:rFonts w:cs="Times New Roman"/>
                      <w:szCs w:val="21"/>
                    </w:rPr>
                  </w:pPr>
                  <w:r>
                    <w:rPr>
                      <w:rFonts w:cs="Times New Roman"/>
                      <w:szCs w:val="21"/>
                    </w:rPr>
                    <w:t>20</w:t>
                  </w:r>
                </w:p>
              </w:tc>
              <w:tc>
                <w:tcPr>
                  <w:tcW w:w="958" w:type="dxa"/>
                  <w:vAlign w:val="center"/>
                </w:tcPr>
                <w:p>
                  <w:pPr>
                    <w:pStyle w:val="63"/>
                    <w:rPr>
                      <w:rFonts w:cs="Times New Roman"/>
                      <w:szCs w:val="21"/>
                    </w:rPr>
                  </w:pPr>
                  <w:r>
                    <w:rPr>
                      <w:rFonts w:cs="Times New Roman"/>
                      <w:szCs w:val="21"/>
                    </w:rPr>
                    <w:t>35</w:t>
                  </w:r>
                </w:p>
              </w:tc>
              <w:tc>
                <w:tcPr>
                  <w:tcW w:w="957" w:type="dxa"/>
                  <w:noWrap/>
                  <w:vAlign w:val="center"/>
                </w:tcPr>
                <w:p>
                  <w:pPr>
                    <w:pStyle w:val="63"/>
                    <w:rPr>
                      <w:rFonts w:cs="宋体"/>
                    </w:rPr>
                  </w:pPr>
                  <w:r>
                    <w:rPr>
                      <w:rFonts w:hint="eastAsia"/>
                    </w:rPr>
                    <w:t>57%</w:t>
                  </w:r>
                </w:p>
              </w:tc>
              <w:tc>
                <w:tcPr>
                  <w:tcW w:w="957" w:type="dxa"/>
                  <w:noWrap/>
                </w:tcPr>
                <w:p>
                  <w:pPr>
                    <w:pStyle w:val="63"/>
                  </w:pPr>
                  <w:r>
                    <w:rPr>
                      <w:rFonts w:hint="eastAsia"/>
                    </w:rPr>
                    <w:t>/</w:t>
                  </w:r>
                </w:p>
              </w:tc>
              <w:tc>
                <w:tcPr>
                  <w:tcW w:w="957" w:type="dxa"/>
                  <w:noWrap/>
                  <w:vAlign w:val="center"/>
                </w:tcPr>
                <w:p>
                  <w:pPr>
                    <w:pStyle w:val="63"/>
                  </w:pPr>
                  <w:r>
                    <w:rPr>
                      <w:rFonts w:hint="eastAsia"/>
                    </w:rPr>
                    <w:t>/</w:t>
                  </w:r>
                </w:p>
              </w:tc>
              <w:tc>
                <w:tcPr>
                  <w:tcW w:w="1056" w:type="dxa"/>
                  <w:noWrap/>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847" w:type="dxa"/>
                  <w:vMerge w:val="continue"/>
                  <w:noWrap/>
                  <w:vAlign w:val="center"/>
                </w:tcPr>
                <w:p>
                  <w:pPr>
                    <w:pStyle w:val="63"/>
                  </w:pPr>
                </w:p>
              </w:tc>
              <w:tc>
                <w:tcPr>
                  <w:tcW w:w="1274" w:type="dxa"/>
                  <w:vAlign w:val="center"/>
                </w:tcPr>
                <w:p>
                  <w:pPr>
                    <w:pStyle w:val="63"/>
                    <w:rPr>
                      <w:rFonts w:cs="Times New Roman"/>
                      <w:szCs w:val="21"/>
                    </w:rPr>
                  </w:pPr>
                  <w:r>
                    <w:rPr>
                      <w:rFonts w:cs="Times New Roman"/>
                      <w:szCs w:val="21"/>
                    </w:rPr>
                    <w:t>CO</w:t>
                  </w:r>
                  <w:r>
                    <w:rPr>
                      <w:rFonts w:hint="eastAsia" w:cs="Times New Roman"/>
                      <w:szCs w:val="21"/>
                    </w:rPr>
                    <w:t>（</w:t>
                  </w:r>
                  <w:r>
                    <w:rPr>
                      <w:rFonts w:cs="Times New Roman"/>
                      <w:szCs w:val="21"/>
                    </w:rPr>
                    <w:t>mg/m</w:t>
                  </w:r>
                  <w:r>
                    <w:rPr>
                      <w:rFonts w:cs="Times New Roman"/>
                      <w:szCs w:val="21"/>
                      <w:vertAlign w:val="superscript"/>
                    </w:rPr>
                    <w:t>3</w:t>
                  </w:r>
                  <w:r>
                    <w:rPr>
                      <w:rFonts w:hint="eastAsia" w:cs="Times New Roman"/>
                      <w:szCs w:val="21"/>
                    </w:rPr>
                    <w:t>）</w:t>
                  </w:r>
                </w:p>
              </w:tc>
              <w:tc>
                <w:tcPr>
                  <w:tcW w:w="958" w:type="dxa"/>
                  <w:vAlign w:val="center"/>
                </w:tcPr>
                <w:p>
                  <w:pPr>
                    <w:pStyle w:val="63"/>
                    <w:rPr>
                      <w:rFonts w:cs="Times New Roman"/>
                      <w:szCs w:val="21"/>
                    </w:rPr>
                  </w:pPr>
                  <w:r>
                    <w:rPr>
                      <w:rFonts w:cs="Times New Roman"/>
                      <w:szCs w:val="21"/>
                    </w:rPr>
                    <w:t>1</w:t>
                  </w:r>
                </w:p>
              </w:tc>
              <w:tc>
                <w:tcPr>
                  <w:tcW w:w="958" w:type="dxa"/>
                  <w:vAlign w:val="center"/>
                </w:tcPr>
                <w:p>
                  <w:pPr>
                    <w:pStyle w:val="63"/>
                    <w:rPr>
                      <w:rFonts w:cs="Times New Roman"/>
                      <w:szCs w:val="21"/>
                    </w:rPr>
                  </w:pPr>
                  <w:r>
                    <w:rPr>
                      <w:rFonts w:cs="Times New Roman"/>
                      <w:szCs w:val="21"/>
                    </w:rPr>
                    <w:t>4</w:t>
                  </w:r>
                </w:p>
              </w:tc>
              <w:tc>
                <w:tcPr>
                  <w:tcW w:w="957" w:type="dxa"/>
                  <w:noWrap/>
                  <w:vAlign w:val="center"/>
                </w:tcPr>
                <w:p>
                  <w:pPr>
                    <w:pStyle w:val="63"/>
                    <w:rPr>
                      <w:rFonts w:cs="宋体"/>
                    </w:rPr>
                  </w:pPr>
                  <w:r>
                    <w:rPr>
                      <w:rFonts w:hint="eastAsia"/>
                    </w:rPr>
                    <w:t>25%</w:t>
                  </w:r>
                </w:p>
              </w:tc>
              <w:tc>
                <w:tcPr>
                  <w:tcW w:w="957" w:type="dxa"/>
                  <w:noWrap/>
                </w:tcPr>
                <w:p>
                  <w:pPr>
                    <w:pStyle w:val="63"/>
                  </w:pPr>
                  <w:r>
                    <w:rPr>
                      <w:rFonts w:hint="eastAsia"/>
                    </w:rPr>
                    <w:t>/</w:t>
                  </w:r>
                </w:p>
              </w:tc>
              <w:tc>
                <w:tcPr>
                  <w:tcW w:w="957" w:type="dxa"/>
                  <w:noWrap/>
                  <w:vAlign w:val="center"/>
                </w:tcPr>
                <w:p>
                  <w:pPr>
                    <w:pStyle w:val="63"/>
                  </w:pPr>
                  <w:r>
                    <w:rPr>
                      <w:rFonts w:hint="eastAsia"/>
                    </w:rPr>
                    <w:t>/</w:t>
                  </w:r>
                </w:p>
              </w:tc>
              <w:tc>
                <w:tcPr>
                  <w:tcW w:w="1056" w:type="dxa"/>
                  <w:noWrap/>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47" w:type="dxa"/>
                  <w:vMerge w:val="continue"/>
                  <w:noWrap/>
                  <w:vAlign w:val="center"/>
                </w:tcPr>
                <w:p>
                  <w:pPr>
                    <w:pStyle w:val="63"/>
                  </w:pPr>
                </w:p>
              </w:tc>
              <w:tc>
                <w:tcPr>
                  <w:tcW w:w="1274" w:type="dxa"/>
                  <w:vAlign w:val="center"/>
                </w:tcPr>
                <w:p>
                  <w:pPr>
                    <w:pStyle w:val="63"/>
                    <w:rPr>
                      <w:rFonts w:cs="Times New Roman"/>
                      <w:szCs w:val="21"/>
                    </w:rPr>
                  </w:pPr>
                  <w:r>
                    <w:rPr>
                      <w:rFonts w:cs="Times New Roman"/>
                      <w:szCs w:val="21"/>
                    </w:rPr>
                    <w:t>O</w:t>
                  </w:r>
                  <w:r>
                    <w:rPr>
                      <w:rFonts w:cs="Times New Roman"/>
                      <w:szCs w:val="21"/>
                      <w:vertAlign w:val="subscript"/>
                    </w:rPr>
                    <w:t>3</w:t>
                  </w:r>
                </w:p>
              </w:tc>
              <w:tc>
                <w:tcPr>
                  <w:tcW w:w="958" w:type="dxa"/>
                  <w:vAlign w:val="center"/>
                </w:tcPr>
                <w:p>
                  <w:pPr>
                    <w:pStyle w:val="63"/>
                  </w:pPr>
                  <w:r>
                    <w:t>125</w:t>
                  </w:r>
                </w:p>
              </w:tc>
              <w:tc>
                <w:tcPr>
                  <w:tcW w:w="958" w:type="dxa"/>
                  <w:vAlign w:val="center"/>
                </w:tcPr>
                <w:p>
                  <w:pPr>
                    <w:pStyle w:val="63"/>
                    <w:rPr>
                      <w:rFonts w:cs="Times New Roman"/>
                      <w:szCs w:val="21"/>
                    </w:rPr>
                  </w:pPr>
                  <w:r>
                    <w:rPr>
                      <w:rFonts w:cs="Times New Roman"/>
                      <w:szCs w:val="21"/>
                    </w:rPr>
                    <w:t>160</w:t>
                  </w:r>
                </w:p>
              </w:tc>
              <w:tc>
                <w:tcPr>
                  <w:tcW w:w="957" w:type="dxa"/>
                  <w:noWrap/>
                  <w:vAlign w:val="center"/>
                </w:tcPr>
                <w:p>
                  <w:pPr>
                    <w:pStyle w:val="63"/>
                    <w:rPr>
                      <w:rFonts w:cs="宋体"/>
                    </w:rPr>
                  </w:pPr>
                  <w:r>
                    <w:rPr>
                      <w:rFonts w:hint="eastAsia"/>
                    </w:rPr>
                    <w:t>78%</w:t>
                  </w:r>
                </w:p>
              </w:tc>
              <w:tc>
                <w:tcPr>
                  <w:tcW w:w="957" w:type="dxa"/>
                  <w:noWrap/>
                </w:tcPr>
                <w:p>
                  <w:pPr>
                    <w:pStyle w:val="63"/>
                  </w:pPr>
                  <w:r>
                    <w:rPr>
                      <w:rFonts w:hint="eastAsia"/>
                    </w:rPr>
                    <w:t>/</w:t>
                  </w:r>
                </w:p>
              </w:tc>
              <w:tc>
                <w:tcPr>
                  <w:tcW w:w="957" w:type="dxa"/>
                  <w:noWrap/>
                  <w:vAlign w:val="center"/>
                </w:tcPr>
                <w:p>
                  <w:pPr>
                    <w:pStyle w:val="63"/>
                  </w:pPr>
                  <w:r>
                    <w:rPr>
                      <w:rFonts w:hint="eastAsia"/>
                    </w:rPr>
                    <w:t>/</w:t>
                  </w:r>
                </w:p>
              </w:tc>
              <w:tc>
                <w:tcPr>
                  <w:tcW w:w="1056" w:type="dxa"/>
                  <w:noWrap/>
                  <w:vAlign w:val="center"/>
                </w:tcPr>
                <w:p>
                  <w:pPr>
                    <w:pStyle w:val="63"/>
                  </w:pPr>
                  <w:r>
                    <w:rPr>
                      <w:rFonts w:hint="eastAsia"/>
                    </w:rPr>
                    <w:t>达标</w:t>
                  </w:r>
                </w:p>
              </w:tc>
            </w:tr>
          </w:tbl>
          <w:p>
            <w:pPr>
              <w:pStyle w:val="63"/>
            </w:pPr>
          </w:p>
          <w:p>
            <w:pPr>
              <w:pStyle w:val="5"/>
              <w:ind w:firstLine="480"/>
            </w:pPr>
            <w:r>
              <w:rPr>
                <w:rFonts w:hint="eastAsia"/>
              </w:rPr>
              <w:t>根据现状评价结果，</w:t>
            </w:r>
            <w:r>
              <w:t>202</w:t>
            </w:r>
            <w:r>
              <w:rPr>
                <w:rFonts w:hint="eastAsia"/>
              </w:rPr>
              <w:t>3</w:t>
            </w:r>
            <w:r>
              <w:t>年奉节县环境空气各污染物浓度均满足《环境空气质量标准》（GB3095-2012）中的二级标准，为达标区。</w:t>
            </w:r>
          </w:p>
          <w:p>
            <w:pPr>
              <w:pStyle w:val="6"/>
              <w:spacing w:before="120" w:after="120"/>
            </w:pPr>
            <w:r>
              <w:rPr>
                <w:rFonts w:hint="eastAsia"/>
              </w:rPr>
              <w:t>特征污染物现状评价</w:t>
            </w:r>
          </w:p>
          <w:p>
            <w:pPr>
              <w:pStyle w:val="5"/>
              <w:ind w:firstLine="480"/>
            </w:pPr>
            <w:r>
              <w:rPr>
                <w:rFonts w:hint="eastAsia"/>
              </w:rPr>
              <w:t>根据HJ2.2-2018，6.2.2.2评价范围内没有环境空气质量监测网数据或公开发布的环境空气质量现状数据的，可收集评价范围内近3年与项目排放的其他污染物有关的历史监测资料。</w:t>
            </w:r>
          </w:p>
          <w:p>
            <w:pPr>
              <w:pStyle w:val="5"/>
              <w:ind w:firstLine="480"/>
            </w:pPr>
            <w:r>
              <w:rPr>
                <w:rFonts w:hint="eastAsia"/>
              </w:rPr>
              <w:t>本项目特征污染物为氨和硫化氢，评价引用《重庆市奉节县高铁生态城新兴产业集聚区控制性详细规划环境影响报告书》监测报告（见附件4）。监测点位于本项目评价范围内，引用因子为氨和硫化氢，监测时间2024年4月，满足时间要求，所以本评价特征污染物环境质量现状引用合理。</w:t>
            </w:r>
          </w:p>
          <w:p>
            <w:pPr>
              <w:pStyle w:val="5"/>
              <w:ind w:firstLine="480"/>
            </w:pPr>
            <w:r>
              <w:rPr>
                <w:rFonts w:hint="eastAsia"/>
              </w:rPr>
              <w:t>（</w:t>
            </w:r>
            <w:r>
              <w:t>1）监测布点及因子</w:t>
            </w:r>
          </w:p>
          <w:p>
            <w:pPr>
              <w:pStyle w:val="5"/>
              <w:ind w:firstLine="480"/>
            </w:pPr>
            <w:r>
              <w:t>具体监测点位见下表和附图</w:t>
            </w:r>
            <w:r>
              <w:rPr>
                <w:rFonts w:hint="eastAsia"/>
              </w:rPr>
              <w:t>8</w:t>
            </w:r>
            <w:r>
              <w:t>。</w:t>
            </w:r>
          </w:p>
          <w:p>
            <w:pPr>
              <w:pStyle w:val="14"/>
              <w:keepNext/>
            </w:pPr>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2</w:t>
            </w:r>
            <w:r>
              <w:fldChar w:fldCharType="end"/>
            </w:r>
            <w:r>
              <w:rPr>
                <w:rFonts w:hint="eastAsia"/>
              </w:rPr>
              <w:t xml:space="preserve">   引用大气特征污染物检测点位置及监测因子</w:t>
            </w:r>
          </w:p>
          <w:tbl>
            <w:tblPr>
              <w:tblStyle w:val="3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196"/>
              <w:gridCol w:w="1145"/>
              <w:gridCol w:w="1327"/>
              <w:gridCol w:w="132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2" w:type="dxa"/>
                  <w:vAlign w:val="center"/>
                </w:tcPr>
                <w:p>
                  <w:pPr>
                    <w:pStyle w:val="63"/>
                  </w:pPr>
                  <w:r>
                    <w:rPr>
                      <w:rFonts w:hint="eastAsia"/>
                    </w:rPr>
                    <w:t>编号</w:t>
                  </w:r>
                </w:p>
              </w:tc>
              <w:tc>
                <w:tcPr>
                  <w:tcW w:w="2196" w:type="dxa"/>
                  <w:vAlign w:val="center"/>
                </w:tcPr>
                <w:p>
                  <w:pPr>
                    <w:pStyle w:val="63"/>
                  </w:pPr>
                  <w:r>
                    <w:rPr>
                      <w:rFonts w:hint="eastAsia"/>
                    </w:rPr>
                    <w:t>点位名称</w:t>
                  </w:r>
                </w:p>
              </w:tc>
              <w:tc>
                <w:tcPr>
                  <w:tcW w:w="1145" w:type="dxa"/>
                  <w:vAlign w:val="center"/>
                </w:tcPr>
                <w:p>
                  <w:pPr>
                    <w:pStyle w:val="63"/>
                  </w:pPr>
                  <w:r>
                    <w:rPr>
                      <w:rFonts w:hint="eastAsia"/>
                    </w:rPr>
                    <w:t>功能区划</w:t>
                  </w:r>
                </w:p>
              </w:tc>
              <w:tc>
                <w:tcPr>
                  <w:tcW w:w="1327" w:type="dxa"/>
                  <w:vAlign w:val="center"/>
                </w:tcPr>
                <w:p>
                  <w:pPr>
                    <w:pStyle w:val="63"/>
                  </w:pPr>
                  <w:r>
                    <w:rPr>
                      <w:rFonts w:hint="eastAsia"/>
                    </w:rPr>
                    <w:t>监测因子</w:t>
                  </w:r>
                </w:p>
              </w:tc>
              <w:tc>
                <w:tcPr>
                  <w:tcW w:w="1327" w:type="dxa"/>
                  <w:vAlign w:val="center"/>
                </w:tcPr>
                <w:p>
                  <w:pPr>
                    <w:pStyle w:val="63"/>
                  </w:pPr>
                  <w:r>
                    <w:rPr>
                      <w:rFonts w:hint="eastAsia"/>
                    </w:rPr>
                    <w:t>监测时间</w:t>
                  </w:r>
                </w:p>
              </w:tc>
              <w:tc>
                <w:tcPr>
                  <w:tcW w:w="1327"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2" w:type="dxa"/>
                  <w:vAlign w:val="center"/>
                </w:tcPr>
                <w:p>
                  <w:pPr>
                    <w:pStyle w:val="63"/>
                  </w:pPr>
                  <w:r>
                    <w:rPr>
                      <w:rFonts w:hint="eastAsia"/>
                    </w:rPr>
                    <w:t>1</w:t>
                  </w:r>
                </w:p>
              </w:tc>
              <w:tc>
                <w:tcPr>
                  <w:tcW w:w="2196" w:type="dxa"/>
                  <w:vAlign w:val="center"/>
                </w:tcPr>
                <w:p>
                  <w:pPr>
                    <w:pStyle w:val="63"/>
                  </w:pPr>
                  <w:r>
                    <w:rPr>
                      <w:rFonts w:hint="eastAsia"/>
                    </w:rPr>
                    <w:t>园区南侧</w:t>
                  </w:r>
                </w:p>
                <w:p>
                  <w:pPr>
                    <w:pStyle w:val="63"/>
                  </w:pPr>
                  <w:r>
                    <w:rPr>
                      <w:rFonts w:hint="eastAsia"/>
                    </w:rPr>
                    <w:t>（E2）</w:t>
                  </w:r>
                </w:p>
              </w:tc>
              <w:tc>
                <w:tcPr>
                  <w:tcW w:w="1145" w:type="dxa"/>
                  <w:vAlign w:val="center"/>
                </w:tcPr>
                <w:p>
                  <w:pPr>
                    <w:pStyle w:val="63"/>
                  </w:pPr>
                  <w:r>
                    <w:rPr>
                      <w:rFonts w:hint="eastAsia"/>
                    </w:rPr>
                    <w:t>二类</w:t>
                  </w:r>
                </w:p>
              </w:tc>
              <w:tc>
                <w:tcPr>
                  <w:tcW w:w="1327" w:type="dxa"/>
                  <w:vAlign w:val="center"/>
                </w:tcPr>
                <w:p>
                  <w:pPr>
                    <w:pStyle w:val="63"/>
                  </w:pPr>
                  <w:r>
                    <w:rPr>
                      <w:rFonts w:hint="eastAsia"/>
                    </w:rPr>
                    <w:t>氨、硫化氢</w:t>
                  </w:r>
                </w:p>
              </w:tc>
              <w:tc>
                <w:tcPr>
                  <w:tcW w:w="1327" w:type="dxa"/>
                  <w:vAlign w:val="center"/>
                </w:tcPr>
                <w:p>
                  <w:pPr>
                    <w:pStyle w:val="63"/>
                  </w:pPr>
                  <w:r>
                    <w:rPr>
                      <w:rFonts w:hint="eastAsia"/>
                    </w:rPr>
                    <w:t>2024</w:t>
                  </w:r>
                  <w:r>
                    <w:t>年</w:t>
                  </w:r>
                  <w:r>
                    <w:rPr>
                      <w:rFonts w:hint="eastAsia"/>
                    </w:rPr>
                    <w:t>4</w:t>
                  </w:r>
                  <w:r>
                    <w:t>月</w:t>
                  </w:r>
                  <w:r>
                    <w:rPr>
                      <w:rFonts w:hint="eastAsia"/>
                    </w:rPr>
                    <w:t>8</w:t>
                  </w:r>
                  <w:r>
                    <w:t>日</w:t>
                  </w:r>
                  <w:r>
                    <w:rPr>
                      <w:rFonts w:hint="eastAsia"/>
                    </w:rPr>
                    <w:t>~14</w:t>
                  </w:r>
                  <w:r>
                    <w:t>日</w:t>
                  </w:r>
                </w:p>
              </w:tc>
              <w:tc>
                <w:tcPr>
                  <w:tcW w:w="1327" w:type="dxa"/>
                  <w:vAlign w:val="center"/>
                </w:tcPr>
                <w:p>
                  <w:pPr>
                    <w:pStyle w:val="63"/>
                  </w:pPr>
                  <w:r>
                    <w:rPr>
                      <w:rFonts w:hint="eastAsia"/>
                    </w:rPr>
                    <w:t>引用监测</w:t>
                  </w:r>
                </w:p>
              </w:tc>
            </w:tr>
          </w:tbl>
          <w:p>
            <w:pPr>
              <w:pStyle w:val="5"/>
              <w:ind w:firstLine="480"/>
            </w:pPr>
            <w:r>
              <w:rPr>
                <w:rFonts w:hint="eastAsia"/>
              </w:rPr>
              <w:t>（</w:t>
            </w:r>
            <w:r>
              <w:t>2）监测项目</w:t>
            </w:r>
          </w:p>
          <w:p>
            <w:pPr>
              <w:pStyle w:val="5"/>
              <w:ind w:firstLine="480"/>
            </w:pPr>
            <w:r>
              <w:rPr>
                <w:rFonts w:hint="eastAsia"/>
              </w:rPr>
              <w:t>主要废气特征污染物：氨、硫化氢。</w:t>
            </w:r>
          </w:p>
          <w:p>
            <w:pPr>
              <w:pStyle w:val="5"/>
              <w:ind w:firstLine="480"/>
            </w:pPr>
            <w:r>
              <w:rPr>
                <w:rFonts w:hint="eastAsia"/>
              </w:rPr>
              <w:t>（</w:t>
            </w:r>
            <w:r>
              <w:t>3）监测周期和监测频率</w:t>
            </w:r>
          </w:p>
          <w:p>
            <w:pPr>
              <w:pStyle w:val="5"/>
              <w:ind w:firstLine="480"/>
            </w:pPr>
            <w:r>
              <w:rPr>
                <w:rFonts w:hint="eastAsia"/>
              </w:rPr>
              <w:t>连续监测</w:t>
            </w:r>
            <w:r>
              <w:t>7天，小时值每天4次，8小时平均值每天1次。</w:t>
            </w:r>
          </w:p>
          <w:p>
            <w:pPr>
              <w:pStyle w:val="5"/>
              <w:ind w:firstLine="480"/>
            </w:pPr>
            <w:r>
              <w:rPr>
                <w:rFonts w:hint="eastAsia"/>
              </w:rPr>
              <w:t>（</w:t>
            </w:r>
            <w:r>
              <w:t>4）评价方法</w:t>
            </w:r>
          </w:p>
          <w:p>
            <w:pPr>
              <w:pStyle w:val="5"/>
              <w:ind w:firstLine="480"/>
            </w:pPr>
            <w:r>
              <w:rPr>
                <w:rFonts w:hint="eastAsia"/>
              </w:rPr>
              <w:t>采用占标率对环境空气质量现状进行评价。公式如下：</w:t>
            </w:r>
            <w:r>
              <w:t xml:space="preserve"> </w:t>
            </w:r>
          </w:p>
          <w:p>
            <w:pPr>
              <w:pStyle w:val="5"/>
              <w:ind w:firstLine="480"/>
              <w:jc w:val="center"/>
            </w:pPr>
            <w:r>
              <w:t>P</w:t>
            </w:r>
            <w:r>
              <w:rPr>
                <w:vertAlign w:val="subscript"/>
              </w:rPr>
              <w:t>i</w:t>
            </w:r>
            <w:r>
              <w:t>=C</w:t>
            </w:r>
            <w:r>
              <w:rPr>
                <w:vertAlign w:val="subscript"/>
              </w:rPr>
              <w:t>i</w:t>
            </w:r>
            <w:r>
              <w:t>/C</w:t>
            </w:r>
            <w:r>
              <w:rPr>
                <w:vertAlign w:val="subscript"/>
              </w:rPr>
              <w:t>0i</w:t>
            </w:r>
            <w:r>
              <w:t xml:space="preserve"> *100%</w:t>
            </w:r>
          </w:p>
          <w:p>
            <w:pPr>
              <w:pStyle w:val="5"/>
              <w:ind w:firstLine="480"/>
            </w:pPr>
            <w:r>
              <w:rPr>
                <w:rFonts w:hint="eastAsia"/>
              </w:rPr>
              <w:t>式中：</w:t>
            </w:r>
            <w:r>
              <w:t>P</w:t>
            </w:r>
            <w:r>
              <w:rPr>
                <w:vertAlign w:val="subscript"/>
              </w:rPr>
              <w:t>i</w:t>
            </w:r>
            <w:r>
              <w:t>—第i种污染物的占标率，%；</w:t>
            </w:r>
          </w:p>
          <w:p>
            <w:pPr>
              <w:pStyle w:val="5"/>
              <w:ind w:firstLine="480"/>
            </w:pPr>
            <w:r>
              <w:t xml:space="preserve">      C</w:t>
            </w:r>
            <w:r>
              <w:rPr>
                <w:vertAlign w:val="subscript"/>
              </w:rPr>
              <w:t>i</w:t>
            </w:r>
            <w:r>
              <w:t>—第i种污染物的实测浓度；</w:t>
            </w:r>
          </w:p>
          <w:p>
            <w:pPr>
              <w:pStyle w:val="5"/>
              <w:ind w:firstLine="480"/>
            </w:pPr>
            <w:r>
              <w:t xml:space="preserve">      C</w:t>
            </w:r>
            <w:r>
              <w:rPr>
                <w:vertAlign w:val="subscript"/>
              </w:rPr>
              <w:t>0i</w:t>
            </w:r>
            <w:r>
              <w:t>—第i种污染物的评价标准值。</w:t>
            </w:r>
          </w:p>
          <w:p>
            <w:pPr>
              <w:pStyle w:val="5"/>
              <w:ind w:firstLine="480"/>
            </w:pPr>
            <w:r>
              <w:rPr>
                <w:rFonts w:hint="eastAsia"/>
              </w:rPr>
              <w:t>点位监测及评价结果见下表。各污染物现状浓度均未超过《环境影响评价技术导则 大气环境（HJ2.2-2018）》附录D的标准限值，区域环境空气质量较好。</w:t>
            </w:r>
          </w:p>
          <w:p>
            <w:pPr>
              <w:pStyle w:val="14"/>
              <w:keepNext/>
            </w:pPr>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3</w:t>
            </w:r>
            <w:r>
              <w:fldChar w:fldCharType="end"/>
            </w:r>
            <w:r>
              <w:rPr>
                <w:rFonts w:hint="eastAsia"/>
              </w:rPr>
              <w:t xml:space="preserve">   点位监测及评价结果</w:t>
            </w:r>
          </w:p>
          <w:tbl>
            <w:tblPr>
              <w:tblStyle w:val="38"/>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116"/>
              <w:gridCol w:w="1121"/>
              <w:gridCol w:w="777"/>
              <w:gridCol w:w="1366"/>
              <w:gridCol w:w="993"/>
              <w:gridCol w:w="993"/>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618" w:type="dxa"/>
                  <w:vAlign w:val="center"/>
                </w:tcPr>
                <w:p>
                  <w:pPr>
                    <w:pStyle w:val="63"/>
                  </w:pPr>
                  <w:r>
                    <w:rPr>
                      <w:rFonts w:hint="eastAsia"/>
                    </w:rPr>
                    <w:t>编号</w:t>
                  </w:r>
                </w:p>
              </w:tc>
              <w:tc>
                <w:tcPr>
                  <w:tcW w:w="1116" w:type="dxa"/>
                  <w:vAlign w:val="center"/>
                </w:tcPr>
                <w:p>
                  <w:pPr>
                    <w:pStyle w:val="63"/>
                  </w:pPr>
                  <w:r>
                    <w:t>监测点</w:t>
                  </w:r>
                </w:p>
              </w:tc>
              <w:tc>
                <w:tcPr>
                  <w:tcW w:w="1121" w:type="dxa"/>
                  <w:vAlign w:val="center"/>
                </w:tcPr>
                <w:p>
                  <w:pPr>
                    <w:pStyle w:val="63"/>
                  </w:pPr>
                  <w:r>
                    <w:t>监测项目</w:t>
                  </w:r>
                </w:p>
              </w:tc>
              <w:tc>
                <w:tcPr>
                  <w:tcW w:w="777" w:type="dxa"/>
                  <w:vAlign w:val="center"/>
                </w:tcPr>
                <w:p>
                  <w:pPr>
                    <w:pStyle w:val="63"/>
                  </w:pPr>
                  <w:r>
                    <w:rPr>
                      <w:rFonts w:hint="eastAsia"/>
                    </w:rPr>
                    <w:t>单位</w:t>
                  </w:r>
                </w:p>
              </w:tc>
              <w:tc>
                <w:tcPr>
                  <w:tcW w:w="1366" w:type="dxa"/>
                  <w:vAlign w:val="center"/>
                </w:tcPr>
                <w:p>
                  <w:pPr>
                    <w:pStyle w:val="63"/>
                  </w:pPr>
                  <w:r>
                    <w:t>浓度范围</w:t>
                  </w:r>
                </w:p>
              </w:tc>
              <w:tc>
                <w:tcPr>
                  <w:tcW w:w="993" w:type="dxa"/>
                  <w:vAlign w:val="center"/>
                </w:tcPr>
                <w:p>
                  <w:pPr>
                    <w:pStyle w:val="63"/>
                  </w:pPr>
                  <w:r>
                    <w:t>最大浓度占标率</w:t>
                  </w:r>
                </w:p>
              </w:tc>
              <w:tc>
                <w:tcPr>
                  <w:tcW w:w="993" w:type="dxa"/>
                  <w:vAlign w:val="center"/>
                </w:tcPr>
                <w:p>
                  <w:pPr>
                    <w:pStyle w:val="63"/>
                  </w:pPr>
                  <w:r>
                    <w:t>超标率</w:t>
                  </w:r>
                </w:p>
              </w:tc>
              <w:tc>
                <w:tcPr>
                  <w:tcW w:w="980" w:type="dxa"/>
                  <w:vAlign w:val="center"/>
                </w:tcPr>
                <w:p>
                  <w:pPr>
                    <w:pStyle w:val="63"/>
                  </w:pPr>
                  <w: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18" w:type="dxa"/>
                  <w:vMerge w:val="restart"/>
                  <w:vAlign w:val="center"/>
                </w:tcPr>
                <w:p>
                  <w:pPr>
                    <w:pStyle w:val="63"/>
                  </w:pPr>
                  <w:r>
                    <w:rPr>
                      <w:rFonts w:hint="eastAsia"/>
                    </w:rPr>
                    <w:t>1</w:t>
                  </w:r>
                </w:p>
              </w:tc>
              <w:tc>
                <w:tcPr>
                  <w:tcW w:w="1116" w:type="dxa"/>
                  <w:vMerge w:val="restart"/>
                  <w:vAlign w:val="center"/>
                </w:tcPr>
                <w:p>
                  <w:pPr>
                    <w:pStyle w:val="63"/>
                  </w:pPr>
                  <w:r>
                    <w:rPr>
                      <w:rFonts w:hint="eastAsia"/>
                    </w:rPr>
                    <w:t>园区南侧</w:t>
                  </w:r>
                </w:p>
              </w:tc>
              <w:tc>
                <w:tcPr>
                  <w:tcW w:w="1121" w:type="dxa"/>
                  <w:vAlign w:val="center"/>
                </w:tcPr>
                <w:p>
                  <w:pPr>
                    <w:pStyle w:val="63"/>
                  </w:pPr>
                  <w:r>
                    <w:rPr>
                      <w:rFonts w:hint="eastAsia"/>
                    </w:rPr>
                    <w:t>氨</w:t>
                  </w:r>
                </w:p>
              </w:tc>
              <w:tc>
                <w:tcPr>
                  <w:tcW w:w="777" w:type="dxa"/>
                  <w:vAlign w:val="center"/>
                </w:tcPr>
                <w:p>
                  <w:pPr>
                    <w:pStyle w:val="63"/>
                  </w:pPr>
                  <w:r>
                    <w:rPr>
                      <w:rFonts w:hint="eastAsia"/>
                    </w:rPr>
                    <w:t>mg/m</w:t>
                  </w:r>
                  <w:r>
                    <w:rPr>
                      <w:rFonts w:hint="eastAsia"/>
                      <w:vertAlign w:val="superscript"/>
                    </w:rPr>
                    <w:t>3</w:t>
                  </w:r>
                </w:p>
              </w:tc>
              <w:tc>
                <w:tcPr>
                  <w:tcW w:w="1366" w:type="dxa"/>
                  <w:vAlign w:val="center"/>
                </w:tcPr>
                <w:p>
                  <w:pPr>
                    <w:pStyle w:val="63"/>
                  </w:pPr>
                  <w:r>
                    <w:rPr>
                      <w:rFonts w:hint="eastAsia"/>
                    </w:rPr>
                    <w:t>0.03~0.07</w:t>
                  </w:r>
                </w:p>
              </w:tc>
              <w:tc>
                <w:tcPr>
                  <w:tcW w:w="993" w:type="dxa"/>
                  <w:vAlign w:val="center"/>
                </w:tcPr>
                <w:p>
                  <w:pPr>
                    <w:pStyle w:val="63"/>
                  </w:pPr>
                  <w:r>
                    <w:rPr>
                      <w:rFonts w:hint="eastAsia"/>
                    </w:rPr>
                    <w:t>35.0%</w:t>
                  </w:r>
                </w:p>
              </w:tc>
              <w:tc>
                <w:tcPr>
                  <w:tcW w:w="993" w:type="dxa"/>
                  <w:vAlign w:val="center"/>
                </w:tcPr>
                <w:p>
                  <w:pPr>
                    <w:pStyle w:val="63"/>
                  </w:pPr>
                  <w:r>
                    <w:rPr>
                      <w:rFonts w:hint="eastAsia"/>
                    </w:rPr>
                    <w:t>/</w:t>
                  </w:r>
                </w:p>
              </w:tc>
              <w:tc>
                <w:tcPr>
                  <w:tcW w:w="980" w:type="dxa"/>
                  <w:vAlign w:val="center"/>
                </w:tcPr>
                <w:p>
                  <w:pPr>
                    <w:pStyle w:val="63"/>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18" w:type="dxa"/>
                  <w:vMerge w:val="continue"/>
                  <w:vAlign w:val="center"/>
                </w:tcPr>
                <w:p>
                  <w:pPr>
                    <w:pStyle w:val="63"/>
                  </w:pPr>
                </w:p>
              </w:tc>
              <w:tc>
                <w:tcPr>
                  <w:tcW w:w="1116" w:type="dxa"/>
                  <w:vMerge w:val="continue"/>
                  <w:vAlign w:val="center"/>
                </w:tcPr>
                <w:p>
                  <w:pPr>
                    <w:pStyle w:val="63"/>
                  </w:pPr>
                </w:p>
              </w:tc>
              <w:tc>
                <w:tcPr>
                  <w:tcW w:w="1121" w:type="dxa"/>
                  <w:vAlign w:val="center"/>
                </w:tcPr>
                <w:p>
                  <w:pPr>
                    <w:pStyle w:val="63"/>
                  </w:pPr>
                  <w:r>
                    <w:rPr>
                      <w:rFonts w:hint="eastAsia"/>
                    </w:rPr>
                    <w:t>硫化氢</w:t>
                  </w:r>
                </w:p>
              </w:tc>
              <w:tc>
                <w:tcPr>
                  <w:tcW w:w="777" w:type="dxa"/>
                  <w:vAlign w:val="center"/>
                </w:tcPr>
                <w:p>
                  <w:pPr>
                    <w:pStyle w:val="63"/>
                  </w:pPr>
                  <w:r>
                    <w:rPr>
                      <w:rFonts w:hint="eastAsia"/>
                    </w:rPr>
                    <w:t>mg/m</w:t>
                  </w:r>
                  <w:r>
                    <w:rPr>
                      <w:rFonts w:hint="eastAsia"/>
                      <w:vertAlign w:val="superscript"/>
                    </w:rPr>
                    <w:t>3</w:t>
                  </w:r>
                </w:p>
              </w:tc>
              <w:tc>
                <w:tcPr>
                  <w:tcW w:w="1366" w:type="dxa"/>
                  <w:vAlign w:val="center"/>
                </w:tcPr>
                <w:p>
                  <w:pPr>
                    <w:pStyle w:val="63"/>
                  </w:pPr>
                  <w:r>
                    <w:rPr>
                      <w:rFonts w:hint="eastAsia"/>
                    </w:rPr>
                    <w:t>0.002~0.006</w:t>
                  </w:r>
                </w:p>
              </w:tc>
              <w:tc>
                <w:tcPr>
                  <w:tcW w:w="993" w:type="dxa"/>
                  <w:vAlign w:val="center"/>
                </w:tcPr>
                <w:p>
                  <w:pPr>
                    <w:pStyle w:val="63"/>
                  </w:pPr>
                  <w:r>
                    <w:rPr>
                      <w:rFonts w:hint="eastAsia"/>
                    </w:rPr>
                    <w:t>60.0%</w:t>
                  </w:r>
                </w:p>
              </w:tc>
              <w:tc>
                <w:tcPr>
                  <w:tcW w:w="993" w:type="dxa"/>
                  <w:vAlign w:val="center"/>
                </w:tcPr>
                <w:p>
                  <w:pPr>
                    <w:pStyle w:val="63"/>
                  </w:pPr>
                  <w:r>
                    <w:rPr>
                      <w:rFonts w:hint="eastAsia"/>
                    </w:rPr>
                    <w:t>/</w:t>
                  </w:r>
                </w:p>
              </w:tc>
              <w:tc>
                <w:tcPr>
                  <w:tcW w:w="980" w:type="dxa"/>
                  <w:vAlign w:val="center"/>
                </w:tcPr>
                <w:p>
                  <w:pPr>
                    <w:pStyle w:val="63"/>
                  </w:pPr>
                  <w:r>
                    <w:rPr>
                      <w:rFonts w:hint="eastAsia"/>
                    </w:rPr>
                    <w:t>0.01</w:t>
                  </w:r>
                </w:p>
              </w:tc>
            </w:tr>
          </w:tbl>
          <w:p>
            <w:pPr>
              <w:pStyle w:val="4"/>
              <w:spacing w:before="120" w:after="120"/>
            </w:pPr>
            <w:bookmarkStart w:id="36" w:name="_Toc172739667"/>
            <w:r>
              <w:rPr>
                <w:rFonts w:hint="eastAsia"/>
              </w:rPr>
              <w:t>地表水环境</w:t>
            </w:r>
            <w:bookmarkEnd w:id="36"/>
          </w:p>
          <w:p>
            <w:pPr>
              <w:pStyle w:val="5"/>
              <w:ind w:firstLine="480"/>
            </w:pPr>
            <w:r>
              <w:rPr>
                <w:rFonts w:hint="eastAsia"/>
              </w:rPr>
              <w:t>本项目地表水环境状况详见本项目地表水专项评价3.2章节，在此主要引用专项评价中地表水环境质量现状评价结论。</w:t>
            </w:r>
          </w:p>
          <w:p>
            <w:pPr>
              <w:pStyle w:val="6"/>
              <w:spacing w:before="120" w:after="120"/>
            </w:pPr>
            <w:r>
              <w:rPr>
                <w:rFonts w:hint="eastAsia"/>
              </w:rPr>
              <w:t>区域地表水环境质量变化趋势</w:t>
            </w:r>
          </w:p>
          <w:p>
            <w:pPr>
              <w:pStyle w:val="5"/>
              <w:ind w:firstLine="480"/>
            </w:pPr>
            <w:r>
              <w:rPr>
                <w:rFonts w:hint="eastAsia"/>
              </w:rPr>
              <w:t>朱衣河断面各污染物浓度无显著变化，</w:t>
            </w:r>
            <w:r>
              <w:t>COD</w:t>
            </w:r>
            <w:r>
              <w:rPr>
                <w:rFonts w:hint="eastAsia"/>
              </w:rPr>
              <w:t>、</w:t>
            </w:r>
            <w:r>
              <w:t>氨氮</w:t>
            </w:r>
            <w:r>
              <w:rPr>
                <w:rFonts w:hint="eastAsia"/>
              </w:rPr>
              <w:t>、TP</w:t>
            </w:r>
            <w:r>
              <w:t>浓度有一定程度增加，BOD</w:t>
            </w:r>
            <w:r>
              <w:rPr>
                <w:vertAlign w:val="subscript"/>
              </w:rPr>
              <w:t>5</w:t>
            </w:r>
            <w:r>
              <w:rPr>
                <w:rFonts w:hint="eastAsia"/>
              </w:rPr>
              <w:t>降低</w:t>
            </w:r>
            <w:r>
              <w:t>。各污染因子浓度均远低于《地表水环境质量标准》（GB3838-2002）III类水质标准，因此区域地表水环境近</w:t>
            </w:r>
            <w:r>
              <w:rPr>
                <w:rFonts w:hint="eastAsia"/>
              </w:rPr>
              <w:t>三</w:t>
            </w:r>
            <w:r>
              <w:t>年一直保持较好状态。</w:t>
            </w:r>
          </w:p>
          <w:p>
            <w:pPr>
              <w:pStyle w:val="6"/>
              <w:spacing w:before="120" w:after="120"/>
            </w:pPr>
            <w:r>
              <w:rPr>
                <w:rFonts w:hint="eastAsia"/>
              </w:rPr>
              <w:t>地表水环境质量现状评价</w:t>
            </w:r>
          </w:p>
          <w:p>
            <w:pPr>
              <w:pStyle w:val="5"/>
              <w:ind w:firstLine="480"/>
            </w:pPr>
            <w:r>
              <w:rPr>
                <w:rFonts w:hint="eastAsia"/>
              </w:rPr>
              <w:t>本次评价设置两个监测断面，分别为对照断面、控制断面及环境保护目标进行水质监测。其中对照断面引用2023年1~3、12月</w:t>
            </w:r>
            <w:r>
              <w:t>朱衣河朱衣镇断面例行监测数据</w:t>
            </w:r>
            <w:r>
              <w:rPr>
                <w:rFonts w:hint="eastAsia"/>
              </w:rPr>
              <w:t>，控制断面及环境保护目标朱衣河水质采用补充监测。引用断面、补充</w:t>
            </w:r>
            <w:r>
              <w:t>监测断面水质均满足《地表水环境质量标准》（GB3838-2002）中III类水质标准要求。</w:t>
            </w:r>
          </w:p>
          <w:p>
            <w:pPr>
              <w:pStyle w:val="6"/>
              <w:spacing w:before="120" w:after="120"/>
            </w:pPr>
            <w:r>
              <w:rPr>
                <w:rFonts w:hint="eastAsia"/>
              </w:rPr>
              <w:t>水资源开发利用状况调查</w:t>
            </w:r>
          </w:p>
          <w:p>
            <w:pPr>
              <w:pStyle w:val="5"/>
              <w:ind w:firstLine="480"/>
            </w:pPr>
            <w:r>
              <w:rPr>
                <w:rFonts w:hint="eastAsia"/>
              </w:rPr>
              <w:t>项目水资源开发利用状况调查和区域污染源调查见本评价地表水专项评价现状调查章节。奉节县2030年用水总量控制目标W</w:t>
            </w:r>
            <w:r>
              <w:rPr>
                <w:rFonts w:hint="eastAsia"/>
                <w:vertAlign w:val="subscript"/>
              </w:rPr>
              <w:t>0</w:t>
            </w:r>
            <w:r>
              <w:rPr>
                <w:rFonts w:hint="eastAsia"/>
              </w:rPr>
              <w:t>为1.5552亿m</w:t>
            </w:r>
            <w:r>
              <w:rPr>
                <w:rFonts w:hint="eastAsia"/>
                <w:vertAlign w:val="superscript"/>
              </w:rPr>
              <w:t>3</w:t>
            </w:r>
            <w:r>
              <w:rPr>
                <w:rFonts w:hint="eastAsia"/>
              </w:rPr>
              <w:t>。奉节县2022年总用水量为0.9466亿m</w:t>
            </w:r>
            <w:r>
              <w:rPr>
                <w:rFonts w:hint="eastAsia"/>
                <w:vertAlign w:val="superscript"/>
              </w:rPr>
              <w:t>3</w:t>
            </w:r>
            <w:r>
              <w:rPr>
                <w:rFonts w:hint="eastAsia"/>
              </w:rPr>
              <w:t>，属于W=0.9466＜</w:t>
            </w:r>
            <w:r>
              <w:t>0.9</w:t>
            </w:r>
            <m:oMath>
              <m:r>
                <w:rPr>
                  <w:rFonts w:ascii="Cambria Math" w:hAnsi="Cambria Math"/>
                </w:rPr>
                <m:t>×</m:t>
              </m:r>
            </m:oMath>
            <w:r>
              <w:t>W</w:t>
            </w:r>
            <w:r>
              <w:rPr>
                <w:vertAlign w:val="subscript"/>
              </w:rPr>
              <w:t>0</w:t>
            </w:r>
            <w:r>
              <w:rPr>
                <w:rFonts w:hint="eastAsia"/>
              </w:rPr>
              <w:t>=1.39968，且G</w:t>
            </w:r>
            <w:r>
              <w:t>＜0.9</w:t>
            </w:r>
            <m:oMath>
              <m:r>
                <w:rPr>
                  <w:rFonts w:ascii="Cambria Math" w:hAnsi="Cambria Math"/>
                </w:rPr>
                <m:t>×</m:t>
              </m:r>
            </m:oMath>
            <w:r>
              <w:t>G</w:t>
            </w:r>
            <w:r>
              <w:rPr>
                <w:vertAlign w:val="subscript"/>
              </w:rPr>
              <w:t>0</w:t>
            </w:r>
            <w:r>
              <w:rPr>
                <w:rFonts w:hint="eastAsia"/>
              </w:rPr>
              <w:t>情形，区域水资源承载状况不超载。</w:t>
            </w:r>
          </w:p>
          <w:p>
            <w:pPr>
              <w:pStyle w:val="4"/>
              <w:spacing w:before="120" w:after="120"/>
            </w:pPr>
            <w:r>
              <w:rPr>
                <w:rFonts w:hint="eastAsia"/>
              </w:rPr>
              <w:t>声环境</w:t>
            </w:r>
          </w:p>
          <w:p>
            <w:pPr>
              <w:pStyle w:val="5"/>
              <w:ind w:firstLine="480"/>
            </w:pPr>
            <w:r>
              <w:rPr>
                <w:rFonts w:hint="eastAsia"/>
              </w:rPr>
              <w:t>园区正在对集聚区周围进行拆迁，根据现场调查，项目厂界外50m范围内无现状声环境保护目标，同时根据规划项目周围用地为绿地和公辅设施用地，无规划声环境保护目标。所以项目厂界外50m范围内无现状和规划声环境保护目标，本次评价不进行声环境质量监测。</w:t>
            </w:r>
          </w:p>
          <w:p>
            <w:pPr>
              <w:pStyle w:val="4"/>
              <w:spacing w:before="120" w:after="120"/>
            </w:pPr>
            <w:r>
              <w:rPr>
                <w:rFonts w:hint="eastAsia"/>
              </w:rPr>
              <w:t>生态环境</w:t>
            </w:r>
          </w:p>
          <w:p>
            <w:pPr>
              <w:pStyle w:val="5"/>
              <w:ind w:firstLine="480"/>
            </w:pPr>
            <w:r>
              <w:rPr>
                <w:rFonts w:hint="eastAsia"/>
              </w:rPr>
              <w:t>项目为污水处理厂，项目地表水评价范围为涉及鱼类三场，所以进行朱衣河项目影响河段水生生态环境调查。</w:t>
            </w:r>
          </w:p>
          <w:p>
            <w:pPr>
              <w:pStyle w:val="5"/>
              <w:ind w:firstLine="480"/>
            </w:pPr>
            <w:r>
              <w:rPr>
                <w:rFonts w:hint="eastAsia"/>
              </w:rPr>
              <w:t>根据HJ19-2022，7.3.1  引用的生态现状资料其调查时间宜在5年以内，本次评价引用《重庆市奉节县朱衣河流域综合规划环境影响报告书》生态现状调查资料。该项目生态调查时间为2021年7月，本次项目位于调查范围内，同时调查时间满足要求，距今周围生态现状变化较小，引用资料可以说明本项目周围生态现状，所以生态现状调查资料引用合理。</w:t>
            </w:r>
          </w:p>
          <w:p>
            <w:pPr>
              <w:pStyle w:val="63"/>
            </w:pPr>
            <w:r>
              <w:drawing>
                <wp:inline distT="0" distB="0" distL="0" distR="0">
                  <wp:extent cx="5037455" cy="2546985"/>
                  <wp:effectExtent l="0" t="0" r="0" b="5715"/>
                  <wp:docPr id="1873711883"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11883" name="图片 1" descr="地图&#10;&#10;描述已自动生成"/>
                          <pic:cNvPicPr>
                            <a:picLocks noChangeAspect="1"/>
                          </pic:cNvPicPr>
                        </pic:nvPicPr>
                        <pic:blipFill>
                          <a:blip r:embed="rId14"/>
                          <a:stretch>
                            <a:fillRect/>
                          </a:stretch>
                        </pic:blipFill>
                        <pic:spPr>
                          <a:xfrm>
                            <a:off x="0" y="0"/>
                            <a:ext cx="5038616" cy="2547432"/>
                          </a:xfrm>
                          <a:prstGeom prst="rect">
                            <a:avLst/>
                          </a:prstGeom>
                        </pic:spPr>
                      </pic:pic>
                    </a:graphicData>
                  </a:graphic>
                </wp:inline>
              </w:drawing>
            </w:r>
          </w:p>
          <w:p>
            <w:pPr>
              <w:pStyle w:val="14"/>
            </w:pPr>
            <w:r>
              <w:rPr>
                <w:rFonts w:hint="eastAsia"/>
              </w:rPr>
              <w:t>图3</w:t>
            </w:r>
            <w:r>
              <w:t>.</w:t>
            </w:r>
            <w:r>
              <w:rPr>
                <w:rFonts w:hint="eastAsia"/>
              </w:rPr>
              <w:t>3</w:t>
            </w:r>
            <w:r>
              <w:t xml:space="preserve">-1  </w:t>
            </w:r>
            <w:r>
              <w:rPr>
                <w:rFonts w:hint="eastAsia"/>
              </w:rPr>
              <w:t>水生生态调查断面布设图</w:t>
            </w:r>
          </w:p>
          <w:p>
            <w:pPr>
              <w:pStyle w:val="6"/>
              <w:spacing w:before="120" w:after="120"/>
            </w:pPr>
            <w:r>
              <w:rPr>
                <w:rFonts w:hint="eastAsia"/>
              </w:rPr>
              <w:t>陆生生态</w:t>
            </w:r>
          </w:p>
          <w:p>
            <w:pPr>
              <w:pStyle w:val="5"/>
              <w:ind w:firstLine="480"/>
            </w:pPr>
            <w:r>
              <w:rPr>
                <w:rFonts w:hint="eastAsia"/>
              </w:rPr>
              <w:t>项目占地区域原为果园和林地，现已征地平场，不涉及生态环境保护目标。</w:t>
            </w:r>
          </w:p>
          <w:p>
            <w:pPr>
              <w:pStyle w:val="6"/>
              <w:spacing w:before="120" w:after="120"/>
            </w:pPr>
            <w:r>
              <w:rPr>
                <w:rFonts w:hint="eastAsia"/>
              </w:rPr>
              <w:t>水生生态</w:t>
            </w:r>
          </w:p>
          <w:p>
            <w:pPr>
              <w:pStyle w:val="5"/>
              <w:ind w:firstLine="480"/>
            </w:pPr>
            <w:r>
              <w:rPr>
                <w:rFonts w:hint="eastAsia"/>
              </w:rPr>
              <w:t>（1）浮游植物</w:t>
            </w:r>
          </w:p>
          <w:p>
            <w:pPr>
              <w:pStyle w:val="5"/>
              <w:ind w:firstLine="480"/>
            </w:pPr>
            <w:bookmarkStart w:id="37" w:name="_Hlk23332300"/>
            <w:r>
              <w:rPr>
                <w:rFonts w:hint="eastAsia"/>
              </w:rPr>
              <w:t>朱衣河</w:t>
            </w:r>
            <w:r>
              <w:t>所在水域共检出浮游植物共</w:t>
            </w:r>
            <w:r>
              <w:rPr>
                <w:rFonts w:hint="eastAsia"/>
              </w:rPr>
              <w:t>5</w:t>
            </w:r>
            <w:r>
              <w:t>门，</w:t>
            </w:r>
            <w:r>
              <w:rPr>
                <w:rFonts w:hint="eastAsia"/>
              </w:rPr>
              <w:t>27</w:t>
            </w:r>
            <w:r>
              <w:t>种。</w:t>
            </w:r>
            <w:bookmarkEnd w:id="37"/>
            <w:r>
              <w:t>其中硅藻门</w:t>
            </w:r>
            <w:r>
              <w:rPr>
                <w:rFonts w:hint="eastAsia"/>
              </w:rPr>
              <w:t>14</w:t>
            </w:r>
            <w:r>
              <w:t>种，占被调查藻类总种类数的</w:t>
            </w:r>
            <w:r>
              <w:rPr>
                <w:rFonts w:hint="eastAsia"/>
              </w:rPr>
              <w:t>51.9</w:t>
            </w:r>
            <w:r>
              <w:t>%；绿藻门</w:t>
            </w:r>
            <w:r>
              <w:rPr>
                <w:rFonts w:hint="eastAsia"/>
              </w:rPr>
              <w:t>7</w:t>
            </w:r>
            <w:r>
              <w:t>种、占总种类数的</w:t>
            </w:r>
            <w:r>
              <w:rPr>
                <w:rFonts w:hint="eastAsia"/>
              </w:rPr>
              <w:t>25.9</w:t>
            </w:r>
            <w:r>
              <w:t>%；蓝藻门</w:t>
            </w:r>
            <w:r>
              <w:rPr>
                <w:rFonts w:hint="eastAsia"/>
              </w:rPr>
              <w:t>4</w:t>
            </w:r>
            <w:r>
              <w:t>种，占总种类数的</w:t>
            </w:r>
            <w:r>
              <w:rPr>
                <w:rFonts w:hint="eastAsia"/>
              </w:rPr>
              <w:t>14.8</w:t>
            </w:r>
            <w:r>
              <w:t>%；裸藻门</w:t>
            </w:r>
            <w:r>
              <w:rPr>
                <w:rFonts w:hint="eastAsia"/>
              </w:rPr>
              <w:t>1</w:t>
            </w:r>
            <w:r>
              <w:t>种，占总种类数的</w:t>
            </w:r>
            <w:r>
              <w:rPr>
                <w:rFonts w:hint="eastAsia"/>
              </w:rPr>
              <w:t>3.7</w:t>
            </w:r>
            <w:r>
              <w:t>%；金藻门1种占总种类数的</w:t>
            </w:r>
            <w:r>
              <w:rPr>
                <w:rFonts w:hint="eastAsia"/>
              </w:rPr>
              <w:t>3.7</w:t>
            </w:r>
            <w:r>
              <w:t>%。</w:t>
            </w:r>
          </w:p>
          <w:p>
            <w:pPr>
              <w:pStyle w:val="63"/>
              <w:keepNext/>
            </w:pPr>
            <w:r>
              <w:rPr>
                <w:rFonts w:hint="eastAsia"/>
              </w:rPr>
              <w:drawing>
                <wp:inline distT="0" distB="0" distL="0" distR="0">
                  <wp:extent cx="3131185" cy="2345055"/>
                  <wp:effectExtent l="0" t="0" r="0" b="0"/>
                  <wp:docPr id="1775572227" name="图片 1" descr="1635239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72227" name="图片 1" descr="163523936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131389" cy="2345062"/>
                          </a:xfrm>
                          <a:prstGeom prst="rect">
                            <a:avLst/>
                          </a:prstGeom>
                          <a:noFill/>
                          <a:ln>
                            <a:noFill/>
                          </a:ln>
                        </pic:spPr>
                      </pic:pic>
                    </a:graphicData>
                  </a:graphic>
                </wp:inline>
              </w:drawing>
            </w:r>
          </w:p>
          <w:p>
            <w:pPr>
              <w:pStyle w:val="14"/>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 xml:space="preserve">   朱衣河流域监测断面浮游植物组成及所占百分比</w:t>
            </w:r>
          </w:p>
          <w:p>
            <w:pPr>
              <w:pStyle w:val="14"/>
              <w:keepNext/>
            </w:pPr>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4</w:t>
            </w:r>
            <w:r>
              <w:fldChar w:fldCharType="end"/>
            </w:r>
            <w:r>
              <w:rPr>
                <w:rFonts w:hint="eastAsia"/>
              </w:rPr>
              <w:t xml:space="preserve">   朱衣河流域监测断面藻类概况</w:t>
            </w:r>
          </w:p>
          <w:tbl>
            <w:tblPr>
              <w:tblStyle w:val="38"/>
              <w:tblW w:w="79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2"/>
              <w:gridCol w:w="779"/>
              <w:gridCol w:w="779"/>
              <w:gridCol w:w="779"/>
              <w:gridCol w:w="779"/>
              <w:gridCol w:w="779"/>
              <w:gridCol w:w="882"/>
              <w:gridCol w:w="1390"/>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912" w:type="dxa"/>
                  <w:vAlign w:val="center"/>
                </w:tcPr>
                <w:p>
                  <w:pPr>
                    <w:pStyle w:val="63"/>
                  </w:pPr>
                  <w:r>
                    <w:t>采样点</w:t>
                  </w:r>
                </w:p>
              </w:tc>
              <w:tc>
                <w:tcPr>
                  <w:tcW w:w="779" w:type="dxa"/>
                  <w:vAlign w:val="center"/>
                </w:tcPr>
                <w:p>
                  <w:pPr>
                    <w:pStyle w:val="63"/>
                  </w:pPr>
                  <w:r>
                    <w:t>硅藻门</w:t>
                  </w:r>
                </w:p>
              </w:tc>
              <w:tc>
                <w:tcPr>
                  <w:tcW w:w="779" w:type="dxa"/>
                  <w:vAlign w:val="center"/>
                </w:tcPr>
                <w:p>
                  <w:pPr>
                    <w:pStyle w:val="63"/>
                  </w:pPr>
                  <w:r>
                    <w:t>绿藻门</w:t>
                  </w:r>
                </w:p>
              </w:tc>
              <w:tc>
                <w:tcPr>
                  <w:tcW w:w="779" w:type="dxa"/>
                  <w:vAlign w:val="center"/>
                </w:tcPr>
                <w:p>
                  <w:pPr>
                    <w:pStyle w:val="63"/>
                  </w:pPr>
                  <w:r>
                    <w:t>蓝藻门</w:t>
                  </w:r>
                </w:p>
              </w:tc>
              <w:tc>
                <w:tcPr>
                  <w:tcW w:w="779" w:type="dxa"/>
                  <w:vAlign w:val="center"/>
                </w:tcPr>
                <w:p>
                  <w:pPr>
                    <w:pStyle w:val="63"/>
                  </w:pPr>
                  <w:r>
                    <w:t>裸藻门</w:t>
                  </w:r>
                </w:p>
              </w:tc>
              <w:tc>
                <w:tcPr>
                  <w:tcW w:w="779" w:type="dxa"/>
                  <w:vAlign w:val="center"/>
                </w:tcPr>
                <w:p>
                  <w:pPr>
                    <w:pStyle w:val="63"/>
                  </w:pPr>
                  <w:r>
                    <w:rPr>
                      <w:rFonts w:hint="eastAsia"/>
                    </w:rPr>
                    <w:t>金藻门</w:t>
                  </w:r>
                </w:p>
              </w:tc>
              <w:tc>
                <w:tcPr>
                  <w:tcW w:w="882" w:type="dxa"/>
                  <w:vAlign w:val="center"/>
                </w:tcPr>
                <w:p>
                  <w:pPr>
                    <w:pStyle w:val="63"/>
                  </w:pPr>
                  <w:r>
                    <w:t>合计</w:t>
                  </w:r>
                </w:p>
              </w:tc>
              <w:tc>
                <w:tcPr>
                  <w:tcW w:w="1390" w:type="dxa"/>
                  <w:vAlign w:val="center"/>
                </w:tcPr>
                <w:p>
                  <w:pPr>
                    <w:pStyle w:val="63"/>
                  </w:pPr>
                  <w:r>
                    <w:t>平均密度</w:t>
                  </w:r>
                </w:p>
                <w:p>
                  <w:pPr>
                    <w:pStyle w:val="63"/>
                  </w:pPr>
                  <w:r>
                    <w:t>10</w:t>
                  </w:r>
                  <w:r>
                    <w:rPr>
                      <w:vertAlign w:val="superscript"/>
                    </w:rPr>
                    <w:t>4</w:t>
                  </w:r>
                  <w:r>
                    <w:t>（ind/L）</w:t>
                  </w:r>
                </w:p>
              </w:tc>
              <w:tc>
                <w:tcPr>
                  <w:tcW w:w="885" w:type="dxa"/>
                  <w:vAlign w:val="center"/>
                </w:tcPr>
                <w:p>
                  <w:pPr>
                    <w:pStyle w:val="63"/>
                  </w:pPr>
                  <w:r>
                    <w:t>生物量</w:t>
                  </w:r>
                </w:p>
                <w:p>
                  <w:pPr>
                    <w:pStyle w:val="63"/>
                  </w:pPr>
                  <w: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jc w:val="center"/>
              </w:trPr>
              <w:tc>
                <w:tcPr>
                  <w:tcW w:w="912" w:type="dxa"/>
                  <w:vAlign w:val="center"/>
                </w:tcPr>
                <w:p>
                  <w:pPr>
                    <w:pStyle w:val="63"/>
                  </w:pPr>
                  <w:r>
                    <w:rPr>
                      <w:rFonts w:hint="eastAsia"/>
                    </w:rPr>
                    <w:t>朱衣河下游断面</w:t>
                  </w:r>
                </w:p>
              </w:tc>
              <w:tc>
                <w:tcPr>
                  <w:tcW w:w="779" w:type="dxa"/>
                  <w:vAlign w:val="center"/>
                </w:tcPr>
                <w:p>
                  <w:pPr>
                    <w:pStyle w:val="63"/>
                  </w:pPr>
                  <w:r>
                    <w:t>1</w:t>
                  </w:r>
                  <w:r>
                    <w:rPr>
                      <w:rFonts w:hint="eastAsia"/>
                    </w:rPr>
                    <w:t>4</w:t>
                  </w:r>
                </w:p>
              </w:tc>
              <w:tc>
                <w:tcPr>
                  <w:tcW w:w="779" w:type="dxa"/>
                  <w:vAlign w:val="center"/>
                </w:tcPr>
                <w:p>
                  <w:pPr>
                    <w:pStyle w:val="63"/>
                  </w:pPr>
                  <w:r>
                    <w:rPr>
                      <w:rFonts w:hint="eastAsia"/>
                    </w:rPr>
                    <w:t>7</w:t>
                  </w:r>
                </w:p>
              </w:tc>
              <w:tc>
                <w:tcPr>
                  <w:tcW w:w="779" w:type="dxa"/>
                  <w:vAlign w:val="center"/>
                </w:tcPr>
                <w:p>
                  <w:pPr>
                    <w:pStyle w:val="63"/>
                  </w:pPr>
                  <w:r>
                    <w:rPr>
                      <w:rFonts w:hint="eastAsia"/>
                    </w:rPr>
                    <w:t>4</w:t>
                  </w:r>
                </w:p>
              </w:tc>
              <w:tc>
                <w:tcPr>
                  <w:tcW w:w="779" w:type="dxa"/>
                  <w:vAlign w:val="center"/>
                </w:tcPr>
                <w:p>
                  <w:pPr>
                    <w:pStyle w:val="63"/>
                  </w:pPr>
                  <w:r>
                    <w:rPr>
                      <w:rFonts w:hint="eastAsia"/>
                    </w:rPr>
                    <w:t>1</w:t>
                  </w:r>
                </w:p>
              </w:tc>
              <w:tc>
                <w:tcPr>
                  <w:tcW w:w="779" w:type="dxa"/>
                  <w:vAlign w:val="center"/>
                </w:tcPr>
                <w:p>
                  <w:pPr>
                    <w:pStyle w:val="63"/>
                  </w:pPr>
                  <w:r>
                    <w:rPr>
                      <w:rFonts w:hint="eastAsia"/>
                    </w:rPr>
                    <w:t>1</w:t>
                  </w:r>
                </w:p>
              </w:tc>
              <w:tc>
                <w:tcPr>
                  <w:tcW w:w="882" w:type="dxa"/>
                  <w:vAlign w:val="center"/>
                </w:tcPr>
                <w:p>
                  <w:pPr>
                    <w:pStyle w:val="63"/>
                  </w:pPr>
                  <w:r>
                    <w:t>2</w:t>
                  </w:r>
                  <w:r>
                    <w:rPr>
                      <w:rFonts w:hint="eastAsia"/>
                    </w:rPr>
                    <w:t>7</w:t>
                  </w:r>
                </w:p>
              </w:tc>
              <w:tc>
                <w:tcPr>
                  <w:tcW w:w="1390" w:type="dxa"/>
                  <w:vAlign w:val="center"/>
                </w:tcPr>
                <w:p>
                  <w:pPr>
                    <w:pStyle w:val="63"/>
                  </w:pPr>
                  <w:r>
                    <w:t>20.52</w:t>
                  </w:r>
                </w:p>
              </w:tc>
              <w:tc>
                <w:tcPr>
                  <w:tcW w:w="885" w:type="dxa"/>
                  <w:vAlign w:val="center"/>
                </w:tcPr>
                <w:p>
                  <w:pPr>
                    <w:pStyle w:val="63"/>
                  </w:pPr>
                  <w: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912" w:type="dxa"/>
                  <w:vAlign w:val="center"/>
                </w:tcPr>
                <w:p>
                  <w:pPr>
                    <w:pStyle w:val="63"/>
                  </w:pPr>
                  <w:r>
                    <w:rPr>
                      <w:rFonts w:hint="eastAsia"/>
                    </w:rPr>
                    <w:t>黄井水库坝后断面</w:t>
                  </w:r>
                </w:p>
              </w:tc>
              <w:tc>
                <w:tcPr>
                  <w:tcW w:w="779" w:type="dxa"/>
                  <w:vAlign w:val="center"/>
                </w:tcPr>
                <w:p>
                  <w:pPr>
                    <w:pStyle w:val="63"/>
                  </w:pPr>
                  <w:r>
                    <w:t>12</w:t>
                  </w:r>
                </w:p>
              </w:tc>
              <w:tc>
                <w:tcPr>
                  <w:tcW w:w="779" w:type="dxa"/>
                  <w:vAlign w:val="center"/>
                </w:tcPr>
                <w:p>
                  <w:pPr>
                    <w:pStyle w:val="63"/>
                  </w:pPr>
                  <w:r>
                    <w:t>4</w:t>
                  </w:r>
                </w:p>
              </w:tc>
              <w:tc>
                <w:tcPr>
                  <w:tcW w:w="779" w:type="dxa"/>
                  <w:vAlign w:val="center"/>
                </w:tcPr>
                <w:p>
                  <w:pPr>
                    <w:pStyle w:val="63"/>
                  </w:pPr>
                  <w:r>
                    <w:t>2</w:t>
                  </w:r>
                </w:p>
              </w:tc>
              <w:tc>
                <w:tcPr>
                  <w:tcW w:w="779" w:type="dxa"/>
                  <w:vAlign w:val="center"/>
                </w:tcPr>
                <w:p>
                  <w:pPr>
                    <w:pStyle w:val="63"/>
                  </w:pPr>
                  <w:r>
                    <w:rPr>
                      <w:rFonts w:hint="eastAsia"/>
                    </w:rPr>
                    <w:t>0</w:t>
                  </w:r>
                </w:p>
              </w:tc>
              <w:tc>
                <w:tcPr>
                  <w:tcW w:w="779" w:type="dxa"/>
                  <w:vAlign w:val="center"/>
                </w:tcPr>
                <w:p>
                  <w:pPr>
                    <w:pStyle w:val="63"/>
                  </w:pPr>
                  <w:r>
                    <w:rPr>
                      <w:rFonts w:hint="eastAsia"/>
                    </w:rPr>
                    <w:t>0</w:t>
                  </w:r>
                </w:p>
              </w:tc>
              <w:tc>
                <w:tcPr>
                  <w:tcW w:w="882" w:type="dxa"/>
                  <w:vAlign w:val="center"/>
                </w:tcPr>
                <w:p>
                  <w:pPr>
                    <w:pStyle w:val="63"/>
                  </w:pPr>
                  <w:r>
                    <w:t>18</w:t>
                  </w:r>
                </w:p>
              </w:tc>
              <w:tc>
                <w:tcPr>
                  <w:tcW w:w="1390" w:type="dxa"/>
                  <w:vAlign w:val="center"/>
                </w:tcPr>
                <w:p>
                  <w:pPr>
                    <w:pStyle w:val="63"/>
                  </w:pPr>
                  <w:r>
                    <w:t>14.63</w:t>
                  </w:r>
                </w:p>
              </w:tc>
              <w:tc>
                <w:tcPr>
                  <w:tcW w:w="885" w:type="dxa"/>
                  <w:vAlign w:val="center"/>
                </w:tcPr>
                <w:p>
                  <w:pPr>
                    <w:pStyle w:val="63"/>
                  </w:pPr>
                  <w:r>
                    <w:t>0.33</w:t>
                  </w:r>
                </w:p>
              </w:tc>
            </w:tr>
          </w:tbl>
          <w:p>
            <w:pPr>
              <w:ind w:firstLine="480"/>
            </w:pPr>
          </w:p>
          <w:p>
            <w:pPr>
              <w:pStyle w:val="5"/>
              <w:ind w:firstLine="480"/>
            </w:pPr>
            <w:r>
              <w:t>从浮游植物类别看，硅藻占了总种数的近</w:t>
            </w:r>
            <w:r>
              <w:rPr>
                <w:rFonts w:hint="eastAsia"/>
              </w:rPr>
              <w:t>51.9</w:t>
            </w:r>
            <w:r>
              <w:t>%，为优势类群，硅藻中以普通等片藻的细胞密度最大，其次为舟形藻属的简单舟形藻、小环藻和尖针杆藻等，这几种藻类在被调查藻类中占绝对优势，构成该河段的优势种。</w:t>
            </w:r>
          </w:p>
          <w:p>
            <w:pPr>
              <w:pStyle w:val="14"/>
              <w:keepNext/>
            </w:pPr>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5</w:t>
            </w:r>
            <w:r>
              <w:fldChar w:fldCharType="end"/>
            </w:r>
            <w:r>
              <w:rPr>
                <w:rFonts w:hint="eastAsia"/>
              </w:rPr>
              <w:t xml:space="preserve">   朱衣河流域浮游植物名录</w:t>
            </w:r>
          </w:p>
          <w:tbl>
            <w:tblPr>
              <w:tblStyle w:val="38"/>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5"/>
              <w:gridCol w:w="1961"/>
              <w:gridCol w:w="4213"/>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tcPr>
                <w:p>
                  <w:pPr>
                    <w:pStyle w:val="63"/>
                  </w:pPr>
                  <w:r>
                    <w:t>序号</w:t>
                  </w:r>
                </w:p>
              </w:tc>
              <w:tc>
                <w:tcPr>
                  <w:tcW w:w="1961" w:type="dxa"/>
                  <w:vAlign w:val="center"/>
                </w:tcPr>
                <w:p>
                  <w:pPr>
                    <w:pStyle w:val="63"/>
                  </w:pPr>
                  <w:r>
                    <w:t>门类</w:t>
                  </w:r>
                </w:p>
              </w:tc>
              <w:tc>
                <w:tcPr>
                  <w:tcW w:w="4213" w:type="dxa"/>
                </w:tcPr>
                <w:p>
                  <w:pPr>
                    <w:pStyle w:val="63"/>
                  </w:pPr>
                  <w:r>
                    <w:t>种类</w:t>
                  </w:r>
                </w:p>
              </w:tc>
              <w:tc>
                <w:tcPr>
                  <w:tcW w:w="1225" w:type="dxa"/>
                </w:tcPr>
                <w:p>
                  <w:pPr>
                    <w:pStyle w:val="63"/>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w:t>
                  </w:r>
                </w:p>
              </w:tc>
              <w:tc>
                <w:tcPr>
                  <w:tcW w:w="1961" w:type="dxa"/>
                  <w:vMerge w:val="restart"/>
                  <w:vAlign w:val="center"/>
                </w:tcPr>
                <w:p>
                  <w:pPr>
                    <w:pStyle w:val="63"/>
                  </w:pPr>
                  <w:r>
                    <w:t>硅藻门</w:t>
                  </w:r>
                </w:p>
                <w:p>
                  <w:pPr>
                    <w:pStyle w:val="63"/>
                    <w:rPr>
                      <w:i/>
                      <w:iCs/>
                    </w:rPr>
                  </w:pPr>
                  <w:r>
                    <w:rPr>
                      <w:i/>
                      <w:iCs/>
                    </w:rPr>
                    <w:t>Bacillariophyta</w:t>
                  </w:r>
                </w:p>
              </w:tc>
              <w:tc>
                <w:tcPr>
                  <w:tcW w:w="4213" w:type="dxa"/>
                </w:tcPr>
                <w:p>
                  <w:pPr>
                    <w:pStyle w:val="63"/>
                  </w:pPr>
                  <w:r>
                    <w:t>细布纹藻</w:t>
                  </w:r>
                  <w:r>
                    <w:rPr>
                      <w:i/>
                      <w:iCs/>
                    </w:rPr>
                    <w:t xml:space="preserve"> Gyrosigma kutzingii</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2</w:t>
                  </w:r>
                </w:p>
              </w:tc>
              <w:tc>
                <w:tcPr>
                  <w:tcW w:w="1961" w:type="dxa"/>
                  <w:vMerge w:val="continue"/>
                  <w:vAlign w:val="center"/>
                </w:tcPr>
                <w:p>
                  <w:pPr>
                    <w:pStyle w:val="63"/>
                  </w:pPr>
                </w:p>
              </w:tc>
              <w:tc>
                <w:tcPr>
                  <w:tcW w:w="4213" w:type="dxa"/>
                </w:tcPr>
                <w:p>
                  <w:pPr>
                    <w:pStyle w:val="63"/>
                  </w:pPr>
                  <w:r>
                    <w:t xml:space="preserve">克洛脆杆藻 </w:t>
                  </w:r>
                  <w:r>
                    <w:rPr>
                      <w:i/>
                      <w:iCs/>
                    </w:rPr>
                    <w:t>Fragilaria crotomensis</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3</w:t>
                  </w:r>
                </w:p>
              </w:tc>
              <w:tc>
                <w:tcPr>
                  <w:tcW w:w="1961" w:type="dxa"/>
                  <w:vMerge w:val="continue"/>
                  <w:vAlign w:val="center"/>
                </w:tcPr>
                <w:p>
                  <w:pPr>
                    <w:pStyle w:val="63"/>
                  </w:pPr>
                </w:p>
              </w:tc>
              <w:tc>
                <w:tcPr>
                  <w:tcW w:w="4213" w:type="dxa"/>
                </w:tcPr>
                <w:p>
                  <w:pPr>
                    <w:pStyle w:val="63"/>
                  </w:pPr>
                  <w:r>
                    <w:t>普通等片藻</w:t>
                  </w:r>
                  <w:r>
                    <w:rPr>
                      <w:i/>
                      <w:iCs/>
                    </w:rPr>
                    <w:t xml:space="preserve"> Diatoma vulagare</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4</w:t>
                  </w:r>
                </w:p>
              </w:tc>
              <w:tc>
                <w:tcPr>
                  <w:tcW w:w="1961" w:type="dxa"/>
                  <w:vMerge w:val="continue"/>
                  <w:vAlign w:val="center"/>
                </w:tcPr>
                <w:p>
                  <w:pPr>
                    <w:pStyle w:val="63"/>
                  </w:pPr>
                </w:p>
              </w:tc>
              <w:tc>
                <w:tcPr>
                  <w:tcW w:w="4213" w:type="dxa"/>
                </w:tcPr>
                <w:p>
                  <w:pPr>
                    <w:pStyle w:val="63"/>
                  </w:pPr>
                  <w:r>
                    <w:t>小头菱形藻</w:t>
                  </w:r>
                  <w:r>
                    <w:rPr>
                      <w:i/>
                      <w:iCs/>
                    </w:rPr>
                    <w:t xml:space="preserve"> Nitzschia microephala</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5</w:t>
                  </w:r>
                </w:p>
              </w:tc>
              <w:tc>
                <w:tcPr>
                  <w:tcW w:w="1961" w:type="dxa"/>
                  <w:vMerge w:val="continue"/>
                  <w:vAlign w:val="center"/>
                </w:tcPr>
                <w:p>
                  <w:pPr>
                    <w:pStyle w:val="63"/>
                  </w:pPr>
                </w:p>
              </w:tc>
              <w:tc>
                <w:tcPr>
                  <w:tcW w:w="4213" w:type="dxa"/>
                </w:tcPr>
                <w:p>
                  <w:pPr>
                    <w:pStyle w:val="63"/>
                  </w:pPr>
                  <w:r>
                    <w:t>扁圆卵形藻</w:t>
                  </w:r>
                  <w:r>
                    <w:rPr>
                      <w:i/>
                      <w:iCs/>
                    </w:rPr>
                    <w:t xml:space="preserve"> Cocconeis placentula</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6</w:t>
                  </w:r>
                </w:p>
              </w:tc>
              <w:tc>
                <w:tcPr>
                  <w:tcW w:w="1961" w:type="dxa"/>
                  <w:vMerge w:val="continue"/>
                  <w:vAlign w:val="center"/>
                </w:tcPr>
                <w:p>
                  <w:pPr>
                    <w:pStyle w:val="63"/>
                  </w:pPr>
                </w:p>
              </w:tc>
              <w:tc>
                <w:tcPr>
                  <w:tcW w:w="4213" w:type="dxa"/>
                </w:tcPr>
                <w:p>
                  <w:pPr>
                    <w:pStyle w:val="63"/>
                  </w:pPr>
                  <w:r>
                    <w:t>优美桥弯藻</w:t>
                  </w:r>
                  <w:r>
                    <w:rPr>
                      <w:i/>
                      <w:iCs/>
                    </w:rPr>
                    <w:t xml:space="preserve"> Cymbella delicatula</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7</w:t>
                  </w:r>
                </w:p>
              </w:tc>
              <w:tc>
                <w:tcPr>
                  <w:tcW w:w="1961" w:type="dxa"/>
                  <w:vMerge w:val="continue"/>
                  <w:vAlign w:val="center"/>
                </w:tcPr>
                <w:p>
                  <w:pPr>
                    <w:pStyle w:val="63"/>
                  </w:pPr>
                </w:p>
              </w:tc>
              <w:tc>
                <w:tcPr>
                  <w:tcW w:w="4213" w:type="dxa"/>
                </w:tcPr>
                <w:p>
                  <w:pPr>
                    <w:pStyle w:val="63"/>
                  </w:pPr>
                  <w:r>
                    <w:t xml:space="preserve">埃伦桥弯藻 </w:t>
                  </w:r>
                  <w:r>
                    <w:rPr>
                      <w:i/>
                      <w:iCs/>
                    </w:rPr>
                    <w:t>Cymbella ehrenbergii Kutz</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8</w:t>
                  </w:r>
                </w:p>
              </w:tc>
              <w:tc>
                <w:tcPr>
                  <w:tcW w:w="1961" w:type="dxa"/>
                  <w:vMerge w:val="continue"/>
                  <w:vAlign w:val="center"/>
                </w:tcPr>
                <w:p>
                  <w:pPr>
                    <w:pStyle w:val="63"/>
                  </w:pPr>
                </w:p>
              </w:tc>
              <w:tc>
                <w:tcPr>
                  <w:tcW w:w="4213" w:type="dxa"/>
                </w:tcPr>
                <w:p>
                  <w:pPr>
                    <w:pStyle w:val="63"/>
                  </w:pPr>
                  <w:r>
                    <w:t xml:space="preserve">披针曲壳藻 </w:t>
                  </w:r>
                  <w:r>
                    <w:rPr>
                      <w:i/>
                      <w:iCs/>
                    </w:rPr>
                    <w:t>Achnanthes lanceolata Breb</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9</w:t>
                  </w:r>
                </w:p>
              </w:tc>
              <w:tc>
                <w:tcPr>
                  <w:tcW w:w="1961" w:type="dxa"/>
                  <w:vMerge w:val="continue"/>
                  <w:vAlign w:val="center"/>
                </w:tcPr>
                <w:p>
                  <w:pPr>
                    <w:pStyle w:val="63"/>
                  </w:pPr>
                </w:p>
              </w:tc>
              <w:tc>
                <w:tcPr>
                  <w:tcW w:w="4213" w:type="dxa"/>
                </w:tcPr>
                <w:p>
                  <w:pPr>
                    <w:pStyle w:val="63"/>
                  </w:pPr>
                  <w:r>
                    <w:t xml:space="preserve">粗壮双菱藻 </w:t>
                  </w:r>
                  <w:r>
                    <w:rPr>
                      <w:i/>
                      <w:iCs/>
                    </w:rPr>
                    <w:t>Sarirella robusta Her</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10</w:t>
                  </w:r>
                </w:p>
              </w:tc>
              <w:tc>
                <w:tcPr>
                  <w:tcW w:w="1961" w:type="dxa"/>
                  <w:vMerge w:val="continue"/>
                  <w:vAlign w:val="center"/>
                </w:tcPr>
                <w:p>
                  <w:pPr>
                    <w:pStyle w:val="63"/>
                  </w:pPr>
                </w:p>
              </w:tc>
              <w:tc>
                <w:tcPr>
                  <w:tcW w:w="4213" w:type="dxa"/>
                </w:tcPr>
                <w:p>
                  <w:pPr>
                    <w:pStyle w:val="63"/>
                  </w:pPr>
                  <w:r>
                    <w:t xml:space="preserve">双生双楔藻 </w:t>
                  </w:r>
                  <w:r>
                    <w:rPr>
                      <w:i/>
                      <w:iCs/>
                    </w:rPr>
                    <w:t>Didymosphenia geminata</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11</w:t>
                  </w:r>
                </w:p>
              </w:tc>
              <w:tc>
                <w:tcPr>
                  <w:tcW w:w="1961" w:type="dxa"/>
                  <w:vMerge w:val="continue"/>
                  <w:vAlign w:val="center"/>
                </w:tcPr>
                <w:p>
                  <w:pPr>
                    <w:pStyle w:val="63"/>
                  </w:pPr>
                </w:p>
              </w:tc>
              <w:tc>
                <w:tcPr>
                  <w:tcW w:w="4213" w:type="dxa"/>
                </w:tcPr>
                <w:p>
                  <w:pPr>
                    <w:pStyle w:val="63"/>
                  </w:pPr>
                  <w:r>
                    <w:t>扭曲小环藻</w:t>
                  </w:r>
                  <w:r>
                    <w:rPr>
                      <w:i/>
                      <w:iCs/>
                    </w:rPr>
                    <w:t xml:space="preserve"> Cyclotella comta （Ehr.） Kutz</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12</w:t>
                  </w:r>
                </w:p>
              </w:tc>
              <w:tc>
                <w:tcPr>
                  <w:tcW w:w="1961" w:type="dxa"/>
                  <w:vMerge w:val="continue"/>
                  <w:vAlign w:val="center"/>
                </w:tcPr>
                <w:p>
                  <w:pPr>
                    <w:pStyle w:val="63"/>
                  </w:pPr>
                </w:p>
              </w:tc>
              <w:tc>
                <w:tcPr>
                  <w:tcW w:w="4213" w:type="dxa"/>
                </w:tcPr>
                <w:p>
                  <w:pPr>
                    <w:pStyle w:val="63"/>
                  </w:pPr>
                  <w:r>
                    <w:t>尖针杆藻</w:t>
                  </w:r>
                  <w:r>
                    <w:rPr>
                      <w:i/>
                      <w:iCs/>
                    </w:rPr>
                    <w:t xml:space="preserve"> Synedra acus</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13</w:t>
                  </w:r>
                </w:p>
              </w:tc>
              <w:tc>
                <w:tcPr>
                  <w:tcW w:w="1961" w:type="dxa"/>
                  <w:vMerge w:val="continue"/>
                  <w:vAlign w:val="center"/>
                </w:tcPr>
                <w:p>
                  <w:pPr>
                    <w:pStyle w:val="63"/>
                  </w:pPr>
                </w:p>
              </w:tc>
              <w:tc>
                <w:tcPr>
                  <w:tcW w:w="4213" w:type="dxa"/>
                </w:tcPr>
                <w:p>
                  <w:pPr>
                    <w:pStyle w:val="63"/>
                  </w:pPr>
                  <w:r>
                    <w:t xml:space="preserve">短小舟形藻 </w:t>
                  </w:r>
                  <w:r>
                    <w:rPr>
                      <w:i/>
                      <w:iCs/>
                    </w:rPr>
                    <w:t>Naviculaexigua（Grey.）Mull</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14</w:t>
                  </w:r>
                </w:p>
              </w:tc>
              <w:tc>
                <w:tcPr>
                  <w:tcW w:w="1961" w:type="dxa"/>
                  <w:vMerge w:val="continue"/>
                  <w:vAlign w:val="center"/>
                </w:tcPr>
                <w:p>
                  <w:pPr>
                    <w:pStyle w:val="63"/>
                  </w:pPr>
                </w:p>
              </w:tc>
              <w:tc>
                <w:tcPr>
                  <w:tcW w:w="4213" w:type="dxa"/>
                </w:tcPr>
                <w:p>
                  <w:pPr>
                    <w:pStyle w:val="63"/>
                  </w:pPr>
                  <w:r>
                    <w:t xml:space="preserve">微绿舟形藻 </w:t>
                  </w:r>
                  <w:r>
                    <w:rPr>
                      <w:i/>
                      <w:iCs/>
                    </w:rPr>
                    <w:t>Navicula viridula Kütz</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15</w:t>
                  </w:r>
                </w:p>
              </w:tc>
              <w:tc>
                <w:tcPr>
                  <w:tcW w:w="1961" w:type="dxa"/>
                  <w:vMerge w:val="restart"/>
                  <w:vAlign w:val="center"/>
                </w:tcPr>
                <w:p>
                  <w:pPr>
                    <w:pStyle w:val="63"/>
                  </w:pPr>
                  <w:r>
                    <w:t>蓝藻门</w:t>
                  </w:r>
                </w:p>
                <w:p>
                  <w:pPr>
                    <w:pStyle w:val="63"/>
                    <w:rPr>
                      <w:i/>
                      <w:iCs/>
                    </w:rPr>
                  </w:pPr>
                  <w:r>
                    <w:rPr>
                      <w:i/>
                      <w:iCs/>
                    </w:rPr>
                    <w:t>Cyanophyta</w:t>
                  </w:r>
                </w:p>
              </w:tc>
              <w:tc>
                <w:tcPr>
                  <w:tcW w:w="4213" w:type="dxa"/>
                </w:tcPr>
                <w:p>
                  <w:pPr>
                    <w:pStyle w:val="63"/>
                  </w:pPr>
                  <w:r>
                    <w:t xml:space="preserve">镰形纤维藻 </w:t>
                  </w:r>
                  <w:r>
                    <w:rPr>
                      <w:i/>
                      <w:iCs/>
                    </w:rPr>
                    <w:t>Ankistrodesmus falcatus</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16</w:t>
                  </w:r>
                </w:p>
              </w:tc>
              <w:tc>
                <w:tcPr>
                  <w:tcW w:w="1961" w:type="dxa"/>
                  <w:vMerge w:val="continue"/>
                  <w:vAlign w:val="center"/>
                </w:tcPr>
                <w:p>
                  <w:pPr>
                    <w:pStyle w:val="63"/>
                  </w:pPr>
                </w:p>
              </w:tc>
              <w:tc>
                <w:tcPr>
                  <w:tcW w:w="4213" w:type="dxa"/>
                </w:tcPr>
                <w:p>
                  <w:pPr>
                    <w:pStyle w:val="63"/>
                  </w:pPr>
                  <w:r>
                    <w:t xml:space="preserve">束缚色球藻 </w:t>
                  </w:r>
                  <w:r>
                    <w:rPr>
                      <w:i/>
                      <w:iCs/>
                    </w:rPr>
                    <w:t>Ch. Tenax</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17</w:t>
                  </w:r>
                </w:p>
              </w:tc>
              <w:tc>
                <w:tcPr>
                  <w:tcW w:w="1961" w:type="dxa"/>
                  <w:vMerge w:val="continue"/>
                  <w:vAlign w:val="center"/>
                </w:tcPr>
                <w:p>
                  <w:pPr>
                    <w:pStyle w:val="63"/>
                  </w:pPr>
                </w:p>
              </w:tc>
              <w:tc>
                <w:tcPr>
                  <w:tcW w:w="4213" w:type="dxa"/>
                </w:tcPr>
                <w:p>
                  <w:pPr>
                    <w:pStyle w:val="63"/>
                  </w:pPr>
                  <w:r>
                    <w:t xml:space="preserve">水网藻属 </w:t>
                  </w:r>
                  <w:r>
                    <w:rPr>
                      <w:i/>
                      <w:iCs/>
                    </w:rPr>
                    <w:t>Hydrodictyon</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18</w:t>
                  </w:r>
                </w:p>
              </w:tc>
              <w:tc>
                <w:tcPr>
                  <w:tcW w:w="1961" w:type="dxa"/>
                  <w:vMerge w:val="continue"/>
                  <w:vAlign w:val="center"/>
                </w:tcPr>
                <w:p>
                  <w:pPr>
                    <w:pStyle w:val="63"/>
                  </w:pPr>
                </w:p>
              </w:tc>
              <w:tc>
                <w:tcPr>
                  <w:tcW w:w="4213" w:type="dxa"/>
                </w:tcPr>
                <w:p>
                  <w:pPr>
                    <w:pStyle w:val="63"/>
                  </w:pPr>
                  <w:r>
                    <w:t>颤藻</w:t>
                  </w:r>
                  <w:r>
                    <w:rPr>
                      <w:i/>
                      <w:iCs/>
                    </w:rPr>
                    <w:t xml:space="preserve"> Oscillatoria</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19</w:t>
                  </w:r>
                </w:p>
              </w:tc>
              <w:tc>
                <w:tcPr>
                  <w:tcW w:w="1961" w:type="dxa"/>
                  <w:vMerge w:val="restart"/>
                  <w:vAlign w:val="center"/>
                </w:tcPr>
                <w:p>
                  <w:pPr>
                    <w:pStyle w:val="63"/>
                  </w:pPr>
                  <w:r>
                    <w:t>绿藻门</w:t>
                  </w:r>
                </w:p>
                <w:p>
                  <w:pPr>
                    <w:pStyle w:val="63"/>
                    <w:rPr>
                      <w:i/>
                      <w:iCs/>
                    </w:rPr>
                  </w:pPr>
                  <w:r>
                    <w:rPr>
                      <w:i/>
                      <w:iCs/>
                    </w:rPr>
                    <w:t>Chlorophyta</w:t>
                  </w:r>
                </w:p>
              </w:tc>
              <w:tc>
                <w:tcPr>
                  <w:tcW w:w="4213" w:type="dxa"/>
                </w:tcPr>
                <w:p>
                  <w:pPr>
                    <w:pStyle w:val="63"/>
                  </w:pPr>
                  <w:r>
                    <w:t>小球藻</w:t>
                  </w:r>
                  <w:r>
                    <w:rPr>
                      <w:i/>
                      <w:iCs/>
                    </w:rPr>
                    <w:t xml:space="preserve"> Chlorella ellipsoidea Gern</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20</w:t>
                  </w:r>
                </w:p>
              </w:tc>
              <w:tc>
                <w:tcPr>
                  <w:tcW w:w="1961" w:type="dxa"/>
                  <w:vMerge w:val="continue"/>
                  <w:vAlign w:val="center"/>
                </w:tcPr>
                <w:p>
                  <w:pPr>
                    <w:pStyle w:val="63"/>
                  </w:pPr>
                </w:p>
              </w:tc>
              <w:tc>
                <w:tcPr>
                  <w:tcW w:w="4213" w:type="dxa"/>
                </w:tcPr>
                <w:p>
                  <w:pPr>
                    <w:pStyle w:val="63"/>
                  </w:pPr>
                  <w:r>
                    <w:t xml:space="preserve">细新月藻 </w:t>
                  </w:r>
                  <w:r>
                    <w:rPr>
                      <w:i/>
                      <w:iCs/>
                    </w:rPr>
                    <w:t>Closterium macilentum</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21</w:t>
                  </w:r>
                </w:p>
              </w:tc>
              <w:tc>
                <w:tcPr>
                  <w:tcW w:w="1961" w:type="dxa"/>
                  <w:vMerge w:val="continue"/>
                  <w:vAlign w:val="center"/>
                </w:tcPr>
                <w:p>
                  <w:pPr>
                    <w:pStyle w:val="63"/>
                  </w:pPr>
                </w:p>
              </w:tc>
              <w:tc>
                <w:tcPr>
                  <w:tcW w:w="4213" w:type="dxa"/>
                </w:tcPr>
                <w:p>
                  <w:pPr>
                    <w:pStyle w:val="63"/>
                  </w:pPr>
                  <w:r>
                    <w:t xml:space="preserve">二角盘星藻 </w:t>
                  </w:r>
                  <w:r>
                    <w:rPr>
                      <w:i/>
                      <w:iCs/>
                    </w:rPr>
                    <w:t>Pediastrum duplex</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22</w:t>
                  </w:r>
                </w:p>
              </w:tc>
              <w:tc>
                <w:tcPr>
                  <w:tcW w:w="1961" w:type="dxa"/>
                  <w:vMerge w:val="continue"/>
                  <w:vAlign w:val="center"/>
                </w:tcPr>
                <w:p>
                  <w:pPr>
                    <w:pStyle w:val="63"/>
                  </w:pPr>
                </w:p>
              </w:tc>
              <w:tc>
                <w:tcPr>
                  <w:tcW w:w="4213" w:type="dxa"/>
                </w:tcPr>
                <w:p>
                  <w:pPr>
                    <w:pStyle w:val="63"/>
                  </w:pPr>
                  <w:r>
                    <w:t xml:space="preserve">具尾四角藻 </w:t>
                  </w:r>
                  <w:r>
                    <w:rPr>
                      <w:i/>
                      <w:iCs/>
                    </w:rPr>
                    <w:t>Tetraedron caudatum</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23</w:t>
                  </w:r>
                </w:p>
              </w:tc>
              <w:tc>
                <w:tcPr>
                  <w:tcW w:w="1961" w:type="dxa"/>
                  <w:vMerge w:val="continue"/>
                  <w:vAlign w:val="center"/>
                </w:tcPr>
                <w:p>
                  <w:pPr>
                    <w:pStyle w:val="63"/>
                  </w:pPr>
                </w:p>
              </w:tc>
              <w:tc>
                <w:tcPr>
                  <w:tcW w:w="4213" w:type="dxa"/>
                </w:tcPr>
                <w:p>
                  <w:pPr>
                    <w:pStyle w:val="63"/>
                  </w:pPr>
                  <w:r>
                    <w:t xml:space="preserve">栅藻 </w:t>
                  </w:r>
                  <w:r>
                    <w:rPr>
                      <w:i/>
                      <w:iCs/>
                    </w:rPr>
                    <w:t>Scenedesmus Meyen</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24</w:t>
                  </w:r>
                </w:p>
              </w:tc>
              <w:tc>
                <w:tcPr>
                  <w:tcW w:w="1961" w:type="dxa"/>
                  <w:vMerge w:val="continue"/>
                  <w:vAlign w:val="center"/>
                </w:tcPr>
                <w:p>
                  <w:pPr>
                    <w:pStyle w:val="63"/>
                  </w:pPr>
                </w:p>
              </w:tc>
              <w:tc>
                <w:tcPr>
                  <w:tcW w:w="4213" w:type="dxa"/>
                </w:tcPr>
                <w:p>
                  <w:pPr>
                    <w:pStyle w:val="63"/>
                  </w:pPr>
                  <w:r>
                    <w:t xml:space="preserve">普通水绵 </w:t>
                  </w:r>
                  <w:r>
                    <w:rPr>
                      <w:i/>
                      <w:iCs/>
                    </w:rPr>
                    <w:t>Spirogyra communis</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25</w:t>
                  </w:r>
                </w:p>
              </w:tc>
              <w:tc>
                <w:tcPr>
                  <w:tcW w:w="1961" w:type="dxa"/>
                  <w:vMerge w:val="continue"/>
                  <w:vAlign w:val="center"/>
                </w:tcPr>
                <w:p>
                  <w:pPr>
                    <w:pStyle w:val="63"/>
                  </w:pPr>
                </w:p>
              </w:tc>
              <w:tc>
                <w:tcPr>
                  <w:tcW w:w="4213" w:type="dxa"/>
                </w:tcPr>
                <w:p>
                  <w:pPr>
                    <w:pStyle w:val="63"/>
                  </w:pPr>
                  <w:r>
                    <w:t xml:space="preserve">鼓藻 </w:t>
                  </w:r>
                  <w:r>
                    <w:rPr>
                      <w:i/>
                      <w:iCs/>
                    </w:rPr>
                    <w:t>cosmarium</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26</w:t>
                  </w:r>
                </w:p>
              </w:tc>
              <w:tc>
                <w:tcPr>
                  <w:tcW w:w="1961" w:type="dxa"/>
                  <w:vAlign w:val="center"/>
                </w:tcPr>
                <w:p>
                  <w:pPr>
                    <w:pStyle w:val="63"/>
                  </w:pPr>
                  <w:r>
                    <w:t xml:space="preserve">裸藻门 </w:t>
                  </w:r>
                  <w:r>
                    <w:rPr>
                      <w:i/>
                      <w:iCs/>
                    </w:rPr>
                    <w:t>Pyrrophyta</w:t>
                  </w:r>
                </w:p>
              </w:tc>
              <w:tc>
                <w:tcPr>
                  <w:tcW w:w="4213" w:type="dxa"/>
                </w:tcPr>
                <w:p>
                  <w:pPr>
                    <w:pStyle w:val="63"/>
                  </w:pPr>
                  <w:r>
                    <w:t xml:space="preserve">外穴裸甲藻 </w:t>
                  </w:r>
                  <w:r>
                    <w:rPr>
                      <w:i/>
                      <w:iCs/>
                    </w:rPr>
                    <w:t>Gymnodinium excavatum</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565" w:type="dxa"/>
                  <w:vAlign w:val="center"/>
                </w:tcPr>
                <w:p>
                  <w:pPr>
                    <w:pStyle w:val="63"/>
                  </w:pPr>
                  <w:r>
                    <w:rPr>
                      <w:rFonts w:hint="eastAsia"/>
                    </w:rPr>
                    <w:t>27</w:t>
                  </w:r>
                </w:p>
              </w:tc>
              <w:tc>
                <w:tcPr>
                  <w:tcW w:w="1961" w:type="dxa"/>
                  <w:vAlign w:val="center"/>
                </w:tcPr>
                <w:p>
                  <w:pPr>
                    <w:pStyle w:val="63"/>
                  </w:pPr>
                  <w:r>
                    <w:t xml:space="preserve">金藻门 </w:t>
                  </w:r>
                  <w:r>
                    <w:rPr>
                      <w:i/>
                      <w:iCs/>
                    </w:rPr>
                    <w:t>hrysophyta</w:t>
                  </w:r>
                </w:p>
              </w:tc>
              <w:tc>
                <w:tcPr>
                  <w:tcW w:w="4213" w:type="dxa"/>
                </w:tcPr>
                <w:p>
                  <w:pPr>
                    <w:pStyle w:val="63"/>
                  </w:pPr>
                  <w:r>
                    <w:t xml:space="preserve">鱼鳞藻 </w:t>
                  </w:r>
                  <w:r>
                    <w:rPr>
                      <w:i/>
                      <w:iCs/>
                    </w:rPr>
                    <w:t>Mallomonas</w:t>
                  </w:r>
                </w:p>
              </w:tc>
              <w:tc>
                <w:tcPr>
                  <w:tcW w:w="1225" w:type="dxa"/>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964" w:type="dxa"/>
                  <w:gridSpan w:val="4"/>
                  <w:vAlign w:val="center"/>
                </w:tcPr>
                <w:p>
                  <w:pPr>
                    <w:pStyle w:val="64"/>
                  </w:pPr>
                  <w:r>
                    <w:rPr>
                      <w:rFonts w:hint="eastAsia"/>
                    </w:rPr>
                    <w:t>注：</w:t>
                  </w:r>
                  <w:r>
                    <w:t>+存在，++较多，+++很多。（100个视野计数，若统计到的细胞个数≤6个则归为存在，若在7~12个归为较多，若大于≥13个则归为很多。</w:t>
                  </w:r>
                </w:p>
              </w:tc>
            </w:tr>
          </w:tbl>
          <w:p/>
          <w:p>
            <w:pPr>
              <w:pStyle w:val="5"/>
              <w:ind w:firstLine="480"/>
            </w:pPr>
            <w:r>
              <w:rPr>
                <w:rFonts w:hint="eastAsia"/>
              </w:rPr>
              <w:t>（2）浮游动物</w:t>
            </w:r>
          </w:p>
          <w:p>
            <w:pPr>
              <w:pStyle w:val="5"/>
              <w:ind w:firstLine="480"/>
            </w:pPr>
            <w:r>
              <w:t>调查断面</w:t>
            </w:r>
            <w:r>
              <w:rPr>
                <w:rFonts w:hint="eastAsia"/>
              </w:rPr>
              <w:t>共检出</w:t>
            </w:r>
            <w:bookmarkStart w:id="38" w:name="_Hlk23332353"/>
            <w:r>
              <w:t>浮游动物种类3门，1</w:t>
            </w:r>
            <w:r>
              <w:rPr>
                <w:rFonts w:hint="eastAsia"/>
              </w:rPr>
              <w:t>7</w:t>
            </w:r>
            <w:r>
              <w:t>科，</w:t>
            </w:r>
            <w:r>
              <w:rPr>
                <w:rFonts w:hint="eastAsia"/>
              </w:rPr>
              <w:t>21</w:t>
            </w:r>
            <w:r>
              <w:t>种。</w:t>
            </w:r>
            <w:bookmarkEnd w:id="38"/>
            <w:r>
              <w:t>其中，</w:t>
            </w:r>
            <w:r>
              <w:rPr>
                <w:rFonts w:hint="eastAsia"/>
              </w:rPr>
              <w:t>轮虫动物10</w:t>
            </w:r>
            <w:r>
              <w:t>种，占浮游动物种类总数的</w:t>
            </w:r>
            <w:r>
              <w:rPr>
                <w:rFonts w:hint="eastAsia"/>
              </w:rPr>
              <w:t>47.6</w:t>
            </w:r>
            <w:r>
              <w:t>%；原生动物</w:t>
            </w:r>
            <w:r>
              <w:rPr>
                <w:rFonts w:hint="eastAsia"/>
              </w:rPr>
              <w:t>7</w:t>
            </w:r>
            <w:r>
              <w:t>种，占浮游动物种类总数的</w:t>
            </w:r>
            <w:r>
              <w:rPr>
                <w:rFonts w:hint="eastAsia"/>
              </w:rPr>
              <w:t>33.3</w:t>
            </w:r>
            <w:r>
              <w:t>%；</w:t>
            </w:r>
            <w:r>
              <w:rPr>
                <w:rFonts w:hint="eastAsia"/>
              </w:rPr>
              <w:t>节肢动物4</w:t>
            </w:r>
            <w:r>
              <w:t>种，占浮游动物种类总数的</w:t>
            </w:r>
            <w:r>
              <w:rPr>
                <w:rFonts w:hint="eastAsia"/>
              </w:rPr>
              <w:t>19.1</w:t>
            </w:r>
            <w:r>
              <w:t>%</w:t>
            </w:r>
            <w:r>
              <w:rPr>
                <w:rFonts w:hint="eastAsia"/>
              </w:rPr>
              <w:t>。</w:t>
            </w:r>
            <w:r>
              <w:t xml:space="preserve">  </w:t>
            </w:r>
          </w:p>
          <w:p>
            <w:pPr>
              <w:pStyle w:val="14"/>
              <w:keepNext/>
            </w:pPr>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6</w:t>
            </w:r>
            <w:r>
              <w:fldChar w:fldCharType="end"/>
            </w:r>
            <w:r>
              <w:rPr>
                <w:rFonts w:hint="eastAsia"/>
              </w:rPr>
              <w:t xml:space="preserve">   朱衣河流域监测断面浮游动物概况</w:t>
            </w:r>
          </w:p>
          <w:tbl>
            <w:tblPr>
              <w:tblStyle w:val="38"/>
              <w:tblW w:w="79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985"/>
              <w:gridCol w:w="984"/>
              <w:gridCol w:w="1110"/>
              <w:gridCol w:w="984"/>
              <w:gridCol w:w="1403"/>
              <w:gridCol w:w="1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90" w:hRule="atLeast"/>
                <w:jc w:val="center"/>
              </w:trPr>
              <w:tc>
                <w:tcPr>
                  <w:tcW w:w="985" w:type="dxa"/>
                  <w:vAlign w:val="center"/>
                </w:tcPr>
                <w:p>
                  <w:pPr>
                    <w:pStyle w:val="63"/>
                  </w:pPr>
                  <w:r>
                    <w:t>采样点</w:t>
                  </w:r>
                </w:p>
              </w:tc>
              <w:tc>
                <w:tcPr>
                  <w:tcW w:w="985" w:type="dxa"/>
                  <w:vAlign w:val="center"/>
                </w:tcPr>
                <w:p>
                  <w:pPr>
                    <w:pStyle w:val="63"/>
                  </w:pPr>
                  <w:r>
                    <w:rPr>
                      <w:rFonts w:hint="eastAsia"/>
                    </w:rPr>
                    <w:t>轮虫动物</w:t>
                  </w:r>
                </w:p>
              </w:tc>
              <w:tc>
                <w:tcPr>
                  <w:tcW w:w="984" w:type="dxa"/>
                  <w:vAlign w:val="center"/>
                </w:tcPr>
                <w:p>
                  <w:pPr>
                    <w:pStyle w:val="63"/>
                  </w:pPr>
                  <w:r>
                    <w:rPr>
                      <w:rFonts w:hint="eastAsia"/>
                    </w:rPr>
                    <w:t>节肢动物</w:t>
                  </w:r>
                </w:p>
              </w:tc>
              <w:tc>
                <w:tcPr>
                  <w:tcW w:w="1110" w:type="dxa"/>
                  <w:vAlign w:val="center"/>
                </w:tcPr>
                <w:p>
                  <w:pPr>
                    <w:pStyle w:val="63"/>
                  </w:pPr>
                  <w:r>
                    <w:t>原生动物</w:t>
                  </w:r>
                </w:p>
              </w:tc>
              <w:tc>
                <w:tcPr>
                  <w:tcW w:w="984" w:type="dxa"/>
                  <w:vAlign w:val="center"/>
                </w:tcPr>
                <w:p>
                  <w:pPr>
                    <w:pStyle w:val="63"/>
                  </w:pPr>
                  <w:r>
                    <w:t>合计</w:t>
                  </w:r>
                </w:p>
              </w:tc>
              <w:tc>
                <w:tcPr>
                  <w:tcW w:w="1403" w:type="dxa"/>
                  <w:vAlign w:val="center"/>
                </w:tcPr>
                <w:p>
                  <w:pPr>
                    <w:pStyle w:val="63"/>
                  </w:pPr>
                  <w:r>
                    <w:t>平均密度（ind/L）</w:t>
                  </w:r>
                </w:p>
              </w:tc>
              <w:tc>
                <w:tcPr>
                  <w:tcW w:w="1513" w:type="dxa"/>
                  <w:vAlign w:val="center"/>
                </w:tcPr>
                <w:p>
                  <w:pPr>
                    <w:pStyle w:val="63"/>
                  </w:pPr>
                  <w:r>
                    <w:t>生物量（mg/L）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985" w:type="dxa"/>
                  <w:vAlign w:val="center"/>
                </w:tcPr>
                <w:p>
                  <w:pPr>
                    <w:pStyle w:val="63"/>
                  </w:pPr>
                  <w:r>
                    <w:rPr>
                      <w:rFonts w:hint="eastAsia"/>
                    </w:rPr>
                    <w:t>朱衣河下游断面</w:t>
                  </w:r>
                </w:p>
              </w:tc>
              <w:tc>
                <w:tcPr>
                  <w:tcW w:w="985" w:type="dxa"/>
                  <w:vAlign w:val="center"/>
                </w:tcPr>
                <w:p>
                  <w:pPr>
                    <w:pStyle w:val="63"/>
                  </w:pPr>
                  <w:r>
                    <w:t>10</w:t>
                  </w:r>
                </w:p>
              </w:tc>
              <w:tc>
                <w:tcPr>
                  <w:tcW w:w="984" w:type="dxa"/>
                  <w:vAlign w:val="center"/>
                </w:tcPr>
                <w:p>
                  <w:pPr>
                    <w:pStyle w:val="63"/>
                  </w:pPr>
                  <w:r>
                    <w:rPr>
                      <w:rFonts w:hint="eastAsia"/>
                    </w:rPr>
                    <w:t>4</w:t>
                  </w:r>
                </w:p>
              </w:tc>
              <w:tc>
                <w:tcPr>
                  <w:tcW w:w="1110" w:type="dxa"/>
                  <w:vAlign w:val="center"/>
                </w:tcPr>
                <w:p>
                  <w:pPr>
                    <w:pStyle w:val="63"/>
                  </w:pPr>
                  <w:r>
                    <w:t>7</w:t>
                  </w:r>
                </w:p>
              </w:tc>
              <w:tc>
                <w:tcPr>
                  <w:tcW w:w="984" w:type="dxa"/>
                  <w:vAlign w:val="center"/>
                </w:tcPr>
                <w:p>
                  <w:pPr>
                    <w:pStyle w:val="63"/>
                  </w:pPr>
                  <w:r>
                    <w:t>21</w:t>
                  </w:r>
                </w:p>
              </w:tc>
              <w:tc>
                <w:tcPr>
                  <w:tcW w:w="1403" w:type="dxa"/>
                  <w:vAlign w:val="center"/>
                </w:tcPr>
                <w:p>
                  <w:pPr>
                    <w:pStyle w:val="63"/>
                  </w:pPr>
                  <w:r>
                    <w:t>636</w:t>
                  </w:r>
                </w:p>
              </w:tc>
              <w:tc>
                <w:tcPr>
                  <w:tcW w:w="1513" w:type="dxa"/>
                  <w:vAlign w:val="center"/>
                </w:tcPr>
                <w:p>
                  <w:pPr>
                    <w:pStyle w:val="63"/>
                  </w:pPr>
                  <w:r>
                    <w:t>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985" w:type="dxa"/>
                  <w:vAlign w:val="center"/>
                </w:tcPr>
                <w:p>
                  <w:pPr>
                    <w:pStyle w:val="63"/>
                  </w:pPr>
                  <w:r>
                    <w:rPr>
                      <w:rFonts w:hint="eastAsia"/>
                    </w:rPr>
                    <w:t>黄井水库坝后断面</w:t>
                  </w:r>
                </w:p>
              </w:tc>
              <w:tc>
                <w:tcPr>
                  <w:tcW w:w="985" w:type="dxa"/>
                  <w:vAlign w:val="center"/>
                </w:tcPr>
                <w:p>
                  <w:pPr>
                    <w:pStyle w:val="63"/>
                  </w:pPr>
                  <w:r>
                    <w:t>8</w:t>
                  </w:r>
                </w:p>
              </w:tc>
              <w:tc>
                <w:tcPr>
                  <w:tcW w:w="984" w:type="dxa"/>
                  <w:vAlign w:val="center"/>
                </w:tcPr>
                <w:p>
                  <w:pPr>
                    <w:pStyle w:val="63"/>
                  </w:pPr>
                  <w:r>
                    <w:t>2</w:t>
                  </w:r>
                </w:p>
              </w:tc>
              <w:tc>
                <w:tcPr>
                  <w:tcW w:w="1110" w:type="dxa"/>
                  <w:vAlign w:val="center"/>
                </w:tcPr>
                <w:p>
                  <w:pPr>
                    <w:pStyle w:val="63"/>
                  </w:pPr>
                  <w:r>
                    <w:t>5</w:t>
                  </w:r>
                </w:p>
              </w:tc>
              <w:tc>
                <w:tcPr>
                  <w:tcW w:w="984" w:type="dxa"/>
                  <w:vAlign w:val="center"/>
                </w:tcPr>
                <w:p>
                  <w:pPr>
                    <w:pStyle w:val="63"/>
                  </w:pPr>
                  <w:r>
                    <w:t>16</w:t>
                  </w:r>
                </w:p>
              </w:tc>
              <w:tc>
                <w:tcPr>
                  <w:tcW w:w="1403" w:type="dxa"/>
                  <w:vAlign w:val="center"/>
                </w:tcPr>
                <w:p>
                  <w:pPr>
                    <w:pStyle w:val="63"/>
                  </w:pPr>
                  <w:r>
                    <w:t>463</w:t>
                  </w:r>
                </w:p>
              </w:tc>
              <w:tc>
                <w:tcPr>
                  <w:tcW w:w="1513" w:type="dxa"/>
                  <w:vAlign w:val="center"/>
                </w:tcPr>
                <w:p>
                  <w:pPr>
                    <w:pStyle w:val="63"/>
                  </w:pPr>
                  <w:r>
                    <w:t>0.67</w:t>
                  </w:r>
                </w:p>
              </w:tc>
            </w:tr>
          </w:tbl>
          <w:p>
            <w:pPr>
              <w:pStyle w:val="14"/>
              <w:keepNext/>
            </w:pPr>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7</w:t>
            </w:r>
            <w:r>
              <w:fldChar w:fldCharType="end"/>
            </w:r>
            <w:r>
              <w:rPr>
                <w:rFonts w:hint="eastAsia"/>
              </w:rPr>
              <w:t xml:space="preserve">   朱衣河流域监测断面浮游动物名录</w:t>
            </w:r>
          </w:p>
          <w:tbl>
            <w:tblPr>
              <w:tblStyle w:val="38"/>
              <w:tblW w:w="79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3"/>
              <w:gridCol w:w="920"/>
              <w:gridCol w:w="1539"/>
              <w:gridCol w:w="1410"/>
              <w:gridCol w:w="2561"/>
              <w:gridCol w:w="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00" w:hRule="atLeast"/>
                <w:jc w:val="center"/>
              </w:trPr>
              <w:tc>
                <w:tcPr>
                  <w:tcW w:w="983" w:type="dxa"/>
                  <w:vAlign w:val="center"/>
                </w:tcPr>
                <w:p>
                  <w:pPr>
                    <w:pStyle w:val="63"/>
                  </w:pPr>
                  <w:r>
                    <w:t>门</w:t>
                  </w:r>
                </w:p>
              </w:tc>
              <w:tc>
                <w:tcPr>
                  <w:tcW w:w="920" w:type="dxa"/>
                  <w:vAlign w:val="center"/>
                </w:tcPr>
                <w:p>
                  <w:pPr>
                    <w:pStyle w:val="63"/>
                  </w:pPr>
                  <w:r>
                    <w:t>纲</w:t>
                  </w:r>
                </w:p>
              </w:tc>
              <w:tc>
                <w:tcPr>
                  <w:tcW w:w="1539" w:type="dxa"/>
                  <w:vAlign w:val="center"/>
                </w:tcPr>
                <w:p>
                  <w:pPr>
                    <w:pStyle w:val="63"/>
                  </w:pPr>
                  <w:r>
                    <w:rPr>
                      <w:w w:val="99"/>
                    </w:rPr>
                    <w:t>目</w:t>
                  </w:r>
                </w:p>
              </w:tc>
              <w:tc>
                <w:tcPr>
                  <w:tcW w:w="1410" w:type="dxa"/>
                  <w:vAlign w:val="center"/>
                </w:tcPr>
                <w:p>
                  <w:pPr>
                    <w:pStyle w:val="63"/>
                  </w:pPr>
                  <w:r>
                    <w:rPr>
                      <w:w w:val="99"/>
                    </w:rPr>
                    <w:t>科</w:t>
                  </w:r>
                </w:p>
              </w:tc>
              <w:tc>
                <w:tcPr>
                  <w:tcW w:w="2561" w:type="dxa"/>
                  <w:vAlign w:val="center"/>
                </w:tcPr>
                <w:p>
                  <w:pPr>
                    <w:pStyle w:val="63"/>
                  </w:pPr>
                  <w:r>
                    <w:rPr>
                      <w:w w:val="99"/>
                    </w:rPr>
                    <w:t>种</w:t>
                  </w:r>
                </w:p>
              </w:tc>
              <w:tc>
                <w:tcPr>
                  <w:tcW w:w="551" w:type="dxa"/>
                  <w:vAlign w:val="center"/>
                </w:tcPr>
                <w:p>
                  <w:pPr>
                    <w:pStyle w:val="63"/>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520" w:hRule="atLeast"/>
                <w:jc w:val="center"/>
              </w:trPr>
              <w:tc>
                <w:tcPr>
                  <w:tcW w:w="983" w:type="dxa"/>
                  <w:vMerge w:val="restart"/>
                  <w:vAlign w:val="center"/>
                </w:tcPr>
                <w:p>
                  <w:pPr>
                    <w:pStyle w:val="63"/>
                    <w:rPr>
                      <w:rFonts w:eastAsiaTheme="minorEastAsia"/>
                      <w:i/>
                    </w:rPr>
                  </w:pPr>
                  <w:r>
                    <w:rPr>
                      <w:rFonts w:eastAsia="Times New Roman"/>
                    </w:rPr>
                    <w:t>1</w:t>
                  </w:r>
                  <w:r>
                    <w:t xml:space="preserve">、原生动物门 </w:t>
                  </w:r>
                  <w:r>
                    <w:rPr>
                      <w:rFonts w:eastAsia="Times New Roman"/>
                      <w:i/>
                    </w:rPr>
                    <w:t>protozoa</w:t>
                  </w:r>
                </w:p>
              </w:tc>
              <w:tc>
                <w:tcPr>
                  <w:tcW w:w="920" w:type="dxa"/>
                  <w:vMerge w:val="restart"/>
                  <w:vAlign w:val="center"/>
                </w:tcPr>
                <w:p>
                  <w:pPr>
                    <w:pStyle w:val="63"/>
                  </w:pPr>
                  <w:r>
                    <w:rPr>
                      <w:rFonts w:eastAsia="Times New Roman"/>
                    </w:rPr>
                    <w:t>1</w:t>
                  </w:r>
                  <w:r>
                    <w:t>、根足纲</w:t>
                  </w:r>
                </w:p>
                <w:p>
                  <w:pPr>
                    <w:pStyle w:val="63"/>
                    <w:rPr>
                      <w:i/>
                    </w:rPr>
                  </w:pPr>
                  <w:r>
                    <w:rPr>
                      <w:i/>
                    </w:rPr>
                    <w:t>Rhixopoda</w:t>
                  </w:r>
                </w:p>
              </w:tc>
              <w:tc>
                <w:tcPr>
                  <w:tcW w:w="1539" w:type="dxa"/>
                  <w:vMerge w:val="restart"/>
                  <w:vAlign w:val="center"/>
                </w:tcPr>
                <w:p>
                  <w:pPr>
                    <w:pStyle w:val="63"/>
                  </w:pPr>
                  <w:r>
                    <w:t>表壳目</w:t>
                  </w:r>
                </w:p>
                <w:p>
                  <w:pPr>
                    <w:pStyle w:val="63"/>
                    <w:rPr>
                      <w:i/>
                    </w:rPr>
                  </w:pPr>
                  <w:r>
                    <w:rPr>
                      <w:i/>
                    </w:rPr>
                    <w:t>Amoebime</w:t>
                  </w:r>
                </w:p>
              </w:tc>
              <w:tc>
                <w:tcPr>
                  <w:tcW w:w="1410" w:type="dxa"/>
                  <w:vAlign w:val="center"/>
                </w:tcPr>
                <w:p>
                  <w:pPr>
                    <w:pStyle w:val="63"/>
                  </w:pPr>
                  <w:r>
                    <w:t>表壳科</w:t>
                  </w:r>
                </w:p>
                <w:p>
                  <w:pPr>
                    <w:pStyle w:val="63"/>
                    <w:rPr>
                      <w:i/>
                    </w:rPr>
                  </w:pPr>
                  <w:r>
                    <w:rPr>
                      <w:i/>
                    </w:rPr>
                    <w:t>Arcellidae</w:t>
                  </w:r>
                </w:p>
              </w:tc>
              <w:tc>
                <w:tcPr>
                  <w:tcW w:w="2561" w:type="dxa"/>
                  <w:vAlign w:val="center"/>
                </w:tcPr>
                <w:p>
                  <w:pPr>
                    <w:pStyle w:val="63"/>
                    <w:rPr>
                      <w:rFonts w:eastAsia="Times New Roman"/>
                      <w:i/>
                    </w:rPr>
                  </w:pPr>
                  <w:r>
                    <w:t xml:space="preserve">普通表壳虫 </w:t>
                  </w:r>
                  <w:r>
                    <w:rPr>
                      <w:rFonts w:eastAsia="Times New Roman"/>
                      <w:i/>
                    </w:rPr>
                    <w:t>Arcella vulgaris</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Merge w:val="restart"/>
                  <w:vAlign w:val="center"/>
                </w:tcPr>
                <w:p>
                  <w:pPr>
                    <w:pStyle w:val="63"/>
                  </w:pPr>
                  <w:r>
                    <w:t>砂壳虫科</w:t>
                  </w:r>
                </w:p>
                <w:p>
                  <w:pPr>
                    <w:pStyle w:val="63"/>
                    <w:rPr>
                      <w:i/>
                    </w:rPr>
                  </w:pPr>
                  <w:r>
                    <w:rPr>
                      <w:i/>
                    </w:rPr>
                    <w:t>Difflugiidae</w:t>
                  </w:r>
                </w:p>
              </w:tc>
              <w:tc>
                <w:tcPr>
                  <w:tcW w:w="2561" w:type="dxa"/>
                  <w:vAlign w:val="center"/>
                </w:tcPr>
                <w:p>
                  <w:pPr>
                    <w:pStyle w:val="63"/>
                    <w:rPr>
                      <w:rFonts w:eastAsia="Times New Roman"/>
                      <w:i/>
                    </w:rPr>
                  </w:pPr>
                  <w:r>
                    <w:t xml:space="preserve">长圆砂壳虫 </w:t>
                  </w:r>
                  <w:r>
                    <w:rPr>
                      <w:rFonts w:eastAsia="Times New Roman"/>
                      <w:i/>
                    </w:rPr>
                    <w:t>Difflugia oblonga oblonga</w:t>
                  </w:r>
                </w:p>
              </w:tc>
              <w:tc>
                <w:tcPr>
                  <w:tcW w:w="551" w:type="dxa"/>
                  <w:vAlign w:val="center"/>
                </w:tcPr>
                <w:p>
                  <w:pPr>
                    <w:pStyle w:val="63"/>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Merge w:val="continue"/>
                  <w:vAlign w:val="center"/>
                </w:tcPr>
                <w:p>
                  <w:pPr>
                    <w:pStyle w:val="63"/>
                  </w:pPr>
                </w:p>
              </w:tc>
              <w:tc>
                <w:tcPr>
                  <w:tcW w:w="2561" w:type="dxa"/>
                  <w:vAlign w:val="center"/>
                </w:tcPr>
                <w:p>
                  <w:pPr>
                    <w:pStyle w:val="63"/>
                    <w:rPr>
                      <w:rFonts w:eastAsia="Times New Roman"/>
                      <w:i/>
                    </w:rPr>
                  </w:pPr>
                  <w:r>
                    <w:t>半球法帽虫</w:t>
                  </w:r>
                  <w:r>
                    <w:rPr>
                      <w:rFonts w:eastAsia="Times New Roman"/>
                      <w:i/>
                    </w:rPr>
                    <w:t>Phuganella hemisphaerica</w:t>
                  </w:r>
                </w:p>
              </w:tc>
              <w:tc>
                <w:tcPr>
                  <w:tcW w:w="551" w:type="dxa"/>
                  <w:vAlign w:val="center"/>
                </w:tcPr>
                <w:p>
                  <w:pPr>
                    <w:pStyle w:val="63"/>
                  </w:pPr>
                </w:p>
                <w:p>
                  <w:pPr>
                    <w:pStyle w:val="63"/>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5"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Align w:val="center"/>
                </w:tcPr>
                <w:p>
                  <w:pPr>
                    <w:pStyle w:val="63"/>
                  </w:pPr>
                  <w:r>
                    <w:t>有壳丝足目</w:t>
                  </w:r>
                </w:p>
                <w:p>
                  <w:pPr>
                    <w:pStyle w:val="63"/>
                    <w:rPr>
                      <w:i/>
                    </w:rPr>
                  </w:pPr>
                  <w:r>
                    <w:rPr>
                      <w:i/>
                    </w:rPr>
                    <w:t>Testaceafilosa</w:t>
                  </w:r>
                </w:p>
              </w:tc>
              <w:tc>
                <w:tcPr>
                  <w:tcW w:w="1410" w:type="dxa"/>
                  <w:vAlign w:val="center"/>
                </w:tcPr>
                <w:p>
                  <w:pPr>
                    <w:pStyle w:val="63"/>
                  </w:pPr>
                  <w:r>
                    <w:t>梨壳科</w:t>
                  </w:r>
                </w:p>
                <w:p>
                  <w:pPr>
                    <w:pStyle w:val="63"/>
                    <w:rPr>
                      <w:i/>
                    </w:rPr>
                  </w:pPr>
                  <w:r>
                    <w:rPr>
                      <w:i/>
                    </w:rPr>
                    <w:t>Nebelidae</w:t>
                  </w:r>
                </w:p>
              </w:tc>
              <w:tc>
                <w:tcPr>
                  <w:tcW w:w="2561" w:type="dxa"/>
                  <w:vAlign w:val="center"/>
                </w:tcPr>
                <w:p>
                  <w:pPr>
                    <w:pStyle w:val="63"/>
                    <w:rPr>
                      <w:rFonts w:eastAsia="Times New Roman"/>
                      <w:i/>
                    </w:rPr>
                  </w:pPr>
                  <w:r>
                    <w:t xml:space="preserve">透明梨壳虫 </w:t>
                  </w:r>
                  <w:r>
                    <w:rPr>
                      <w:rFonts w:eastAsia="Times New Roman"/>
                      <w:i/>
                    </w:rPr>
                    <w:t>Nebela lagariformis</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8" w:hRule="atLeast"/>
                <w:jc w:val="center"/>
              </w:trPr>
              <w:tc>
                <w:tcPr>
                  <w:tcW w:w="983" w:type="dxa"/>
                  <w:vMerge w:val="continue"/>
                  <w:vAlign w:val="center"/>
                </w:tcPr>
                <w:p>
                  <w:pPr>
                    <w:pStyle w:val="63"/>
                    <w:rPr>
                      <w:i/>
                    </w:rPr>
                  </w:pPr>
                </w:p>
              </w:tc>
              <w:tc>
                <w:tcPr>
                  <w:tcW w:w="920" w:type="dxa"/>
                  <w:vMerge w:val="restart"/>
                  <w:vAlign w:val="center"/>
                </w:tcPr>
                <w:p>
                  <w:pPr>
                    <w:pStyle w:val="63"/>
                  </w:pPr>
                  <w:r>
                    <w:rPr>
                      <w:rFonts w:eastAsia="Times New Roman"/>
                    </w:rPr>
                    <w:t>2</w:t>
                  </w:r>
                  <w:r>
                    <w:t>、纤毛纲</w:t>
                  </w:r>
                </w:p>
                <w:p>
                  <w:pPr>
                    <w:pStyle w:val="63"/>
                    <w:rPr>
                      <w:i/>
                    </w:rPr>
                  </w:pPr>
                  <w:r>
                    <w:rPr>
                      <w:i/>
                    </w:rPr>
                    <w:t>ciliophora</w:t>
                  </w:r>
                </w:p>
              </w:tc>
              <w:tc>
                <w:tcPr>
                  <w:tcW w:w="1539" w:type="dxa"/>
                  <w:vAlign w:val="center"/>
                </w:tcPr>
                <w:p>
                  <w:pPr>
                    <w:pStyle w:val="63"/>
                  </w:pPr>
                  <w:r>
                    <w:t>前口目</w:t>
                  </w:r>
                </w:p>
                <w:p>
                  <w:pPr>
                    <w:pStyle w:val="63"/>
                    <w:rPr>
                      <w:i/>
                    </w:rPr>
                  </w:pPr>
                  <w:r>
                    <w:rPr>
                      <w:i/>
                    </w:rPr>
                    <w:t>Prostomatidae</w:t>
                  </w:r>
                </w:p>
              </w:tc>
              <w:tc>
                <w:tcPr>
                  <w:tcW w:w="1410" w:type="dxa"/>
                  <w:vAlign w:val="center"/>
                </w:tcPr>
                <w:p>
                  <w:pPr>
                    <w:pStyle w:val="63"/>
                  </w:pPr>
                  <w:r>
                    <w:t>前管科</w:t>
                  </w:r>
                </w:p>
                <w:p>
                  <w:pPr>
                    <w:pStyle w:val="63"/>
                    <w:rPr>
                      <w:i/>
                    </w:rPr>
                  </w:pPr>
                  <w:r>
                    <w:rPr>
                      <w:i/>
                    </w:rPr>
                    <w:t>Prorodontidae</w:t>
                  </w:r>
                </w:p>
              </w:tc>
              <w:tc>
                <w:tcPr>
                  <w:tcW w:w="2561" w:type="dxa"/>
                  <w:vAlign w:val="center"/>
                </w:tcPr>
                <w:p>
                  <w:pPr>
                    <w:pStyle w:val="63"/>
                    <w:rPr>
                      <w:rFonts w:eastAsia="Times New Roman"/>
                      <w:i/>
                    </w:rPr>
                  </w:pPr>
                  <w:r>
                    <w:t xml:space="preserve">卵圆前管虫 </w:t>
                  </w:r>
                  <w:r>
                    <w:rPr>
                      <w:rFonts w:eastAsia="Times New Roman"/>
                      <w:i/>
                    </w:rPr>
                    <w:t>Prorodon ovum</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2"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Align w:val="center"/>
                </w:tcPr>
                <w:p>
                  <w:pPr>
                    <w:pStyle w:val="63"/>
                  </w:pPr>
                  <w:r>
                    <w:t>膜口目</w:t>
                  </w:r>
                </w:p>
                <w:p>
                  <w:pPr>
                    <w:pStyle w:val="63"/>
                    <w:rPr>
                      <w:i/>
                    </w:rPr>
                  </w:pPr>
                  <w:r>
                    <w:rPr>
                      <w:i/>
                    </w:rPr>
                    <w:t>Hymenostomatida</w:t>
                  </w:r>
                </w:p>
              </w:tc>
              <w:tc>
                <w:tcPr>
                  <w:tcW w:w="1410" w:type="dxa"/>
                  <w:vAlign w:val="center"/>
                </w:tcPr>
                <w:p>
                  <w:pPr>
                    <w:pStyle w:val="63"/>
                  </w:pPr>
                  <w:r>
                    <w:t>四膜科</w:t>
                  </w:r>
                </w:p>
                <w:p>
                  <w:pPr>
                    <w:pStyle w:val="63"/>
                    <w:rPr>
                      <w:i/>
                    </w:rPr>
                  </w:pPr>
                  <w:r>
                    <w:rPr>
                      <w:i/>
                    </w:rPr>
                    <w:t>Tetrahymenidae</w:t>
                  </w:r>
                </w:p>
              </w:tc>
              <w:tc>
                <w:tcPr>
                  <w:tcW w:w="2561" w:type="dxa"/>
                  <w:vAlign w:val="center"/>
                </w:tcPr>
                <w:p>
                  <w:pPr>
                    <w:pStyle w:val="63"/>
                    <w:rPr>
                      <w:rFonts w:eastAsia="Times New Roman"/>
                      <w:i/>
                    </w:rPr>
                  </w:pPr>
                  <w:r>
                    <w:t xml:space="preserve">肾形豆形虫 </w:t>
                  </w:r>
                  <w:r>
                    <w:rPr>
                      <w:rFonts w:eastAsia="Times New Roman"/>
                      <w:i/>
                    </w:rPr>
                    <w:t>Colpidium colpoda</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6" w:hRule="atLeast"/>
                <w:jc w:val="center"/>
              </w:trPr>
              <w:tc>
                <w:tcPr>
                  <w:tcW w:w="983" w:type="dxa"/>
                  <w:vMerge w:val="restart"/>
                  <w:vAlign w:val="center"/>
                </w:tcPr>
                <w:p>
                  <w:pPr>
                    <w:pStyle w:val="63"/>
                    <w:rPr>
                      <w:rFonts w:eastAsia="Times New Roman"/>
                    </w:rPr>
                  </w:pPr>
                  <w:r>
                    <w:rPr>
                      <w:rFonts w:eastAsia="Times New Roman"/>
                    </w:rPr>
                    <w:t>2</w:t>
                  </w:r>
                  <w:r>
                    <w:t xml:space="preserve">、轮虫动物门 </w:t>
                  </w:r>
                  <w:r>
                    <w:rPr>
                      <w:rFonts w:eastAsia="Times New Roman"/>
                      <w:i/>
                    </w:rPr>
                    <w:t>Rotifera</w:t>
                  </w:r>
                </w:p>
              </w:tc>
              <w:tc>
                <w:tcPr>
                  <w:tcW w:w="920" w:type="dxa"/>
                  <w:vMerge w:val="restart"/>
                  <w:vAlign w:val="center"/>
                </w:tcPr>
                <w:p>
                  <w:pPr>
                    <w:pStyle w:val="63"/>
                    <w:rPr>
                      <w:rFonts w:eastAsia="Times New Roman"/>
                      <w:i/>
                    </w:rPr>
                  </w:pPr>
                  <w:r>
                    <w:rPr>
                      <w:rFonts w:eastAsia="Times New Roman"/>
                    </w:rPr>
                    <w:t>3</w:t>
                  </w:r>
                  <w:r>
                    <w:rPr>
                      <w:spacing w:val="-4"/>
                    </w:rPr>
                    <w:t>、轮虫纲</w:t>
                  </w:r>
                  <w:r>
                    <w:rPr>
                      <w:rFonts w:eastAsia="Times New Roman"/>
                      <w:i/>
                    </w:rPr>
                    <w:t>Rotifera</w:t>
                  </w:r>
                </w:p>
              </w:tc>
              <w:tc>
                <w:tcPr>
                  <w:tcW w:w="1539" w:type="dxa"/>
                  <w:vAlign w:val="center"/>
                </w:tcPr>
                <w:p>
                  <w:pPr>
                    <w:pStyle w:val="63"/>
                    <w:rPr>
                      <w:rFonts w:eastAsia="Times New Roman"/>
                      <w:i/>
                    </w:rPr>
                  </w:pPr>
                  <w:r>
                    <w:t xml:space="preserve">双巢目 </w:t>
                  </w:r>
                  <w:r>
                    <w:rPr>
                      <w:rFonts w:eastAsia="Times New Roman"/>
                      <w:i/>
                    </w:rPr>
                    <w:t>Digonota</w:t>
                  </w:r>
                </w:p>
              </w:tc>
              <w:tc>
                <w:tcPr>
                  <w:tcW w:w="1410" w:type="dxa"/>
                  <w:vAlign w:val="center"/>
                </w:tcPr>
                <w:p>
                  <w:pPr>
                    <w:pStyle w:val="63"/>
                  </w:pPr>
                  <w:r>
                    <w:t>旋轮科</w:t>
                  </w:r>
                </w:p>
                <w:p>
                  <w:pPr>
                    <w:pStyle w:val="63"/>
                    <w:rPr>
                      <w:i/>
                    </w:rPr>
                  </w:pPr>
                  <w:r>
                    <w:rPr>
                      <w:i/>
                    </w:rPr>
                    <w:t>hilodinidae</w:t>
                  </w:r>
                </w:p>
              </w:tc>
              <w:tc>
                <w:tcPr>
                  <w:tcW w:w="2561" w:type="dxa"/>
                  <w:vAlign w:val="center"/>
                </w:tcPr>
                <w:p>
                  <w:pPr>
                    <w:pStyle w:val="63"/>
                    <w:rPr>
                      <w:rFonts w:eastAsia="Times New Roman"/>
                      <w:i/>
                    </w:rPr>
                  </w:pPr>
                  <w:r>
                    <w:t xml:space="preserve">转轮虫 </w:t>
                  </w:r>
                  <w:r>
                    <w:rPr>
                      <w:rFonts w:eastAsia="Times New Roman"/>
                      <w:i/>
                    </w:rPr>
                    <w:t>Rotaria ratatoria</w:t>
                  </w:r>
                </w:p>
              </w:tc>
              <w:tc>
                <w:tcPr>
                  <w:tcW w:w="551" w:type="dxa"/>
                  <w:vAlign w:val="center"/>
                </w:tcPr>
                <w:p>
                  <w:pPr>
                    <w:pStyle w:val="63"/>
                  </w:pPr>
                </w:p>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restart"/>
                  <w:vAlign w:val="center"/>
                </w:tcPr>
                <w:p>
                  <w:pPr>
                    <w:pStyle w:val="63"/>
                  </w:pPr>
                  <w:r>
                    <w:t>单巢目</w:t>
                  </w:r>
                </w:p>
                <w:p>
                  <w:pPr>
                    <w:pStyle w:val="63"/>
                    <w:rPr>
                      <w:i/>
                    </w:rPr>
                  </w:pPr>
                  <w:r>
                    <w:rPr>
                      <w:i/>
                    </w:rPr>
                    <w:t>Monogononta</w:t>
                  </w:r>
                </w:p>
              </w:tc>
              <w:tc>
                <w:tcPr>
                  <w:tcW w:w="1410" w:type="dxa"/>
                  <w:vMerge w:val="restart"/>
                  <w:vAlign w:val="center"/>
                </w:tcPr>
                <w:p>
                  <w:pPr>
                    <w:pStyle w:val="63"/>
                  </w:pPr>
                  <w:r>
                    <w:t>臂尾轮科</w:t>
                  </w:r>
                </w:p>
                <w:p>
                  <w:pPr>
                    <w:pStyle w:val="63"/>
                    <w:rPr>
                      <w:i/>
                    </w:rPr>
                  </w:pPr>
                  <w:r>
                    <w:t>B</w:t>
                  </w:r>
                  <w:r>
                    <w:rPr>
                      <w:i/>
                    </w:rPr>
                    <w:t>rachionidae</w:t>
                  </w:r>
                </w:p>
              </w:tc>
              <w:tc>
                <w:tcPr>
                  <w:tcW w:w="2561" w:type="dxa"/>
                  <w:vAlign w:val="center"/>
                </w:tcPr>
                <w:p>
                  <w:pPr>
                    <w:pStyle w:val="63"/>
                    <w:rPr>
                      <w:rFonts w:eastAsia="Times New Roman"/>
                      <w:i/>
                    </w:rPr>
                  </w:pPr>
                  <w:r>
                    <w:t xml:space="preserve">壶状臂尾轮虫 </w:t>
                  </w:r>
                  <w:r>
                    <w:rPr>
                      <w:rFonts w:eastAsia="Times New Roman"/>
                      <w:i/>
                    </w:rPr>
                    <w:t>Brachionus urceus</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0"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Merge w:val="continue"/>
                  <w:vAlign w:val="center"/>
                </w:tcPr>
                <w:p>
                  <w:pPr>
                    <w:pStyle w:val="63"/>
                  </w:pPr>
                </w:p>
              </w:tc>
              <w:tc>
                <w:tcPr>
                  <w:tcW w:w="2561" w:type="dxa"/>
                  <w:vAlign w:val="center"/>
                </w:tcPr>
                <w:p>
                  <w:pPr>
                    <w:pStyle w:val="63"/>
                    <w:rPr>
                      <w:rFonts w:eastAsia="Times New Roman"/>
                      <w:i/>
                    </w:rPr>
                  </w:pPr>
                  <w:r>
                    <w:t xml:space="preserve">螺形龟甲轮虫 </w:t>
                  </w:r>
                  <w:r>
                    <w:rPr>
                      <w:rFonts w:eastAsia="Times New Roman"/>
                      <w:i/>
                    </w:rPr>
                    <w:t>Keratella cochlearis</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2"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Merge w:val="restart"/>
                  <w:vAlign w:val="center"/>
                </w:tcPr>
                <w:p>
                  <w:pPr>
                    <w:pStyle w:val="63"/>
                  </w:pPr>
                  <w:r>
                    <w:t>腔轮科</w:t>
                  </w:r>
                </w:p>
                <w:p>
                  <w:pPr>
                    <w:pStyle w:val="63"/>
                    <w:rPr>
                      <w:i/>
                    </w:rPr>
                  </w:pPr>
                  <w:r>
                    <w:rPr>
                      <w:i/>
                    </w:rPr>
                    <w:t>Lecanidae</w:t>
                  </w:r>
                </w:p>
              </w:tc>
              <w:tc>
                <w:tcPr>
                  <w:tcW w:w="2561" w:type="dxa"/>
                  <w:vAlign w:val="center"/>
                </w:tcPr>
                <w:p>
                  <w:pPr>
                    <w:pStyle w:val="63"/>
                    <w:rPr>
                      <w:rFonts w:eastAsia="Times New Roman"/>
                      <w:i/>
                    </w:rPr>
                  </w:pPr>
                  <w:r>
                    <w:t xml:space="preserve">月形腔轮虫 </w:t>
                  </w:r>
                  <w:r>
                    <w:rPr>
                      <w:rFonts w:eastAsia="Times New Roman"/>
                      <w:i/>
                    </w:rPr>
                    <w:t>Lecane luna</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Merge w:val="continue"/>
                  <w:vAlign w:val="center"/>
                </w:tcPr>
                <w:p>
                  <w:pPr>
                    <w:pStyle w:val="63"/>
                  </w:pPr>
                </w:p>
              </w:tc>
              <w:tc>
                <w:tcPr>
                  <w:tcW w:w="2561" w:type="dxa"/>
                  <w:vAlign w:val="center"/>
                </w:tcPr>
                <w:p>
                  <w:pPr>
                    <w:pStyle w:val="63"/>
                    <w:rPr>
                      <w:rFonts w:eastAsia="Times New Roman"/>
                      <w:i/>
                    </w:rPr>
                  </w:pPr>
                  <w:r>
                    <w:t xml:space="preserve">蹄形腔轮虫 </w:t>
                  </w:r>
                  <w:r>
                    <w:rPr>
                      <w:rFonts w:eastAsia="Times New Roman"/>
                      <w:i/>
                    </w:rPr>
                    <w:t>L. ungulata</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Merge w:val="continue"/>
                  <w:vAlign w:val="center"/>
                </w:tcPr>
                <w:p>
                  <w:pPr>
                    <w:pStyle w:val="63"/>
                  </w:pPr>
                </w:p>
              </w:tc>
              <w:tc>
                <w:tcPr>
                  <w:tcW w:w="2561" w:type="dxa"/>
                  <w:vAlign w:val="center"/>
                </w:tcPr>
                <w:p>
                  <w:pPr>
                    <w:pStyle w:val="63"/>
                    <w:rPr>
                      <w:rFonts w:eastAsia="Times New Roman"/>
                      <w:i/>
                    </w:rPr>
                  </w:pPr>
                  <w:r>
                    <w:t xml:space="preserve">尖角单趾轮虫 </w:t>
                  </w:r>
                  <w:r>
                    <w:rPr>
                      <w:rFonts w:eastAsia="Times New Roman"/>
                      <w:i/>
                    </w:rPr>
                    <w:t>Monostyla hamata</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6"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Align w:val="center"/>
                </w:tcPr>
                <w:p>
                  <w:pPr>
                    <w:pStyle w:val="63"/>
                  </w:pPr>
                  <w:r>
                    <w:t>椎轮科</w:t>
                  </w:r>
                </w:p>
                <w:p>
                  <w:pPr>
                    <w:pStyle w:val="63"/>
                    <w:rPr>
                      <w:i/>
                    </w:rPr>
                  </w:pPr>
                  <w:r>
                    <w:rPr>
                      <w:i/>
                    </w:rPr>
                    <w:t>Notommatidae</w:t>
                  </w:r>
                </w:p>
              </w:tc>
              <w:tc>
                <w:tcPr>
                  <w:tcW w:w="2561" w:type="dxa"/>
                  <w:vAlign w:val="center"/>
                </w:tcPr>
                <w:p>
                  <w:pPr>
                    <w:pStyle w:val="63"/>
                    <w:rPr>
                      <w:rFonts w:eastAsia="Times New Roman"/>
                      <w:i/>
                    </w:rPr>
                  </w:pPr>
                  <w:r>
                    <w:t xml:space="preserve">耳叉椎轮虫 </w:t>
                  </w:r>
                  <w:r>
                    <w:rPr>
                      <w:rFonts w:eastAsia="Times New Roman"/>
                      <w:i/>
                    </w:rPr>
                    <w:t>Notommata aurita</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Align w:val="center"/>
                </w:tcPr>
                <w:p>
                  <w:pPr>
                    <w:pStyle w:val="63"/>
                  </w:pPr>
                  <w:r>
                    <w:t>腹尾轮科</w:t>
                  </w:r>
                </w:p>
              </w:tc>
              <w:tc>
                <w:tcPr>
                  <w:tcW w:w="2561" w:type="dxa"/>
                  <w:vAlign w:val="center"/>
                </w:tcPr>
                <w:p>
                  <w:pPr>
                    <w:pStyle w:val="63"/>
                    <w:rPr>
                      <w:rFonts w:eastAsia="Times New Roman"/>
                      <w:i/>
                    </w:rPr>
                  </w:pPr>
                  <w:r>
                    <w:t xml:space="preserve">腹足腹尾轮虫 </w:t>
                  </w:r>
                  <w:r>
                    <w:rPr>
                      <w:rFonts w:eastAsia="Times New Roman"/>
                      <w:i/>
                    </w:rPr>
                    <w:t>Gastropus hyptopus</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8"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Align w:val="center"/>
                </w:tcPr>
                <w:p>
                  <w:pPr>
                    <w:pStyle w:val="63"/>
                  </w:pPr>
                  <w:r>
                    <w:t>鼠轮科</w:t>
                  </w:r>
                </w:p>
                <w:p>
                  <w:pPr>
                    <w:pStyle w:val="63"/>
                    <w:rPr>
                      <w:i/>
                    </w:rPr>
                  </w:pPr>
                  <w:r>
                    <w:rPr>
                      <w:i/>
                    </w:rPr>
                    <w:t>Trichocercidae</w:t>
                  </w:r>
                </w:p>
              </w:tc>
              <w:tc>
                <w:tcPr>
                  <w:tcW w:w="2561" w:type="dxa"/>
                  <w:vAlign w:val="center"/>
                </w:tcPr>
                <w:p>
                  <w:pPr>
                    <w:pStyle w:val="63"/>
                    <w:rPr>
                      <w:rFonts w:eastAsia="Times New Roman"/>
                      <w:i/>
                    </w:rPr>
                  </w:pPr>
                  <w:r>
                    <w:t xml:space="preserve">刺盖异尾轮虫 </w:t>
                  </w:r>
                  <w:r>
                    <w:rPr>
                      <w:rFonts w:eastAsia="Times New Roman"/>
                      <w:i/>
                    </w:rPr>
                    <w:t>Trichocerca capucina</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0"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Align w:val="center"/>
                </w:tcPr>
                <w:p>
                  <w:pPr>
                    <w:pStyle w:val="63"/>
                  </w:pPr>
                  <w:r>
                    <w:t>三肢轮科</w:t>
                  </w:r>
                </w:p>
                <w:p>
                  <w:pPr>
                    <w:pStyle w:val="63"/>
                    <w:rPr>
                      <w:rFonts w:ascii="Arial"/>
                      <w:i/>
                    </w:rPr>
                  </w:pPr>
                  <w:r>
                    <w:rPr>
                      <w:rFonts w:ascii="Arial"/>
                      <w:i/>
                    </w:rPr>
                    <w:t>Triarthridae</w:t>
                  </w:r>
                </w:p>
              </w:tc>
              <w:tc>
                <w:tcPr>
                  <w:tcW w:w="2561" w:type="dxa"/>
                  <w:vAlign w:val="center"/>
                </w:tcPr>
                <w:p>
                  <w:pPr>
                    <w:pStyle w:val="63"/>
                    <w:rPr>
                      <w:rFonts w:eastAsia="Times New Roman"/>
                      <w:i/>
                    </w:rPr>
                  </w:pPr>
                  <w:r>
                    <w:t xml:space="preserve">三肢轮虫 </w:t>
                  </w:r>
                  <w:r>
                    <w:rPr>
                      <w:rFonts w:eastAsia="Times New Roman"/>
                      <w:i/>
                    </w:rPr>
                    <w:t>Filinia longisela</w:t>
                  </w:r>
                </w:p>
              </w:tc>
              <w:tc>
                <w:tcPr>
                  <w:tcW w:w="551" w:type="dxa"/>
                  <w:vAlign w:val="center"/>
                </w:tcPr>
                <w:p>
                  <w:pPr>
                    <w:pStyle w:val="63"/>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9"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Align w:val="center"/>
                </w:tcPr>
                <w:p>
                  <w:pPr>
                    <w:pStyle w:val="63"/>
                  </w:pPr>
                  <w:r>
                    <w:t>疣毛轮虫科</w:t>
                  </w:r>
                </w:p>
                <w:p>
                  <w:pPr>
                    <w:pStyle w:val="63"/>
                    <w:rPr>
                      <w:rFonts w:ascii="Arial"/>
                      <w:i/>
                    </w:rPr>
                  </w:pPr>
                  <w:r>
                    <w:rPr>
                      <w:rFonts w:ascii="Arial"/>
                      <w:i/>
                    </w:rPr>
                    <w:t>Synchaetidae</w:t>
                  </w:r>
                </w:p>
              </w:tc>
              <w:tc>
                <w:tcPr>
                  <w:tcW w:w="2561" w:type="dxa"/>
                  <w:vAlign w:val="center"/>
                </w:tcPr>
                <w:p>
                  <w:pPr>
                    <w:pStyle w:val="63"/>
                    <w:rPr>
                      <w:rFonts w:ascii="Arial" w:eastAsia="Arial"/>
                      <w:i/>
                    </w:rPr>
                  </w:pPr>
                  <w:r>
                    <w:t xml:space="preserve">多肢轮虫 </w:t>
                  </w:r>
                  <w:r>
                    <w:rPr>
                      <w:rFonts w:ascii="Arial" w:eastAsia="Arial"/>
                      <w:i/>
                    </w:rPr>
                    <w:t>Polyarthra trigla</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8" w:hRule="atLeast"/>
                <w:jc w:val="center"/>
              </w:trPr>
              <w:tc>
                <w:tcPr>
                  <w:tcW w:w="983" w:type="dxa"/>
                  <w:vMerge w:val="restart"/>
                  <w:vAlign w:val="center"/>
                </w:tcPr>
                <w:p>
                  <w:pPr>
                    <w:pStyle w:val="63"/>
                    <w:rPr>
                      <w:rFonts w:eastAsia="Times New Roman"/>
                    </w:rPr>
                  </w:pPr>
                  <w:r>
                    <w:rPr>
                      <w:rFonts w:eastAsia="Times New Roman"/>
                    </w:rPr>
                    <w:t>3</w:t>
                  </w:r>
                  <w:r>
                    <w:t>、节肢动物</w:t>
                  </w:r>
                  <w:r>
                    <w:rPr>
                      <w:spacing w:val="-32"/>
                    </w:rPr>
                    <w:t xml:space="preserve">门 </w:t>
                  </w:r>
                  <w:r>
                    <w:rPr>
                      <w:rFonts w:eastAsia="Times New Roman"/>
                      <w:i/>
                    </w:rPr>
                    <w:t>Arthropoda</w:t>
                  </w:r>
                </w:p>
              </w:tc>
              <w:tc>
                <w:tcPr>
                  <w:tcW w:w="920" w:type="dxa"/>
                  <w:vMerge w:val="restart"/>
                  <w:vAlign w:val="center"/>
                </w:tcPr>
                <w:p>
                  <w:pPr>
                    <w:pStyle w:val="63"/>
                    <w:rPr>
                      <w:rFonts w:eastAsia="Times New Roman"/>
                      <w:i/>
                    </w:rPr>
                  </w:pPr>
                  <w:r>
                    <w:rPr>
                      <w:rFonts w:eastAsia="Times New Roman"/>
                    </w:rPr>
                    <w:t>4</w:t>
                  </w:r>
                  <w:r>
                    <w:t>、甲壳纲</w:t>
                  </w:r>
                  <w:r>
                    <w:rPr>
                      <w:rFonts w:eastAsia="Times New Roman"/>
                      <w:i/>
                    </w:rPr>
                    <w:t>Crustacea</w:t>
                  </w:r>
                </w:p>
              </w:tc>
              <w:tc>
                <w:tcPr>
                  <w:tcW w:w="1539" w:type="dxa"/>
                  <w:vMerge w:val="restart"/>
                  <w:vAlign w:val="center"/>
                </w:tcPr>
                <w:p>
                  <w:pPr>
                    <w:pStyle w:val="63"/>
                  </w:pPr>
                  <w:r>
                    <w:t>双甲目</w:t>
                  </w:r>
                </w:p>
                <w:p>
                  <w:pPr>
                    <w:pStyle w:val="63"/>
                    <w:rPr>
                      <w:i/>
                    </w:rPr>
                  </w:pPr>
                  <w:r>
                    <w:rPr>
                      <w:i/>
                    </w:rPr>
                    <w:t>Diplostraca</w:t>
                  </w:r>
                </w:p>
              </w:tc>
              <w:tc>
                <w:tcPr>
                  <w:tcW w:w="1410" w:type="dxa"/>
                  <w:vAlign w:val="center"/>
                </w:tcPr>
                <w:p>
                  <w:pPr>
                    <w:pStyle w:val="63"/>
                  </w:pPr>
                  <w:r>
                    <w:t>溞科</w:t>
                  </w:r>
                </w:p>
                <w:p>
                  <w:pPr>
                    <w:pStyle w:val="63"/>
                    <w:rPr>
                      <w:i/>
                    </w:rPr>
                  </w:pPr>
                  <w:r>
                    <w:rPr>
                      <w:i/>
                    </w:rPr>
                    <w:t>Daphniidae</w:t>
                  </w:r>
                </w:p>
              </w:tc>
              <w:tc>
                <w:tcPr>
                  <w:tcW w:w="2561" w:type="dxa"/>
                  <w:vAlign w:val="center"/>
                </w:tcPr>
                <w:p>
                  <w:pPr>
                    <w:pStyle w:val="63"/>
                    <w:rPr>
                      <w:rFonts w:eastAsia="Times New Roman"/>
                      <w:i/>
                    </w:rPr>
                  </w:pPr>
                  <w:r>
                    <w:t xml:space="preserve">僧帽溞 </w:t>
                  </w:r>
                  <w:r>
                    <w:rPr>
                      <w:rFonts w:eastAsia="Times New Roman"/>
                      <w:i/>
                    </w:rPr>
                    <w:t>Daphnia cucullata</w:t>
                  </w:r>
                </w:p>
              </w:tc>
              <w:tc>
                <w:tcPr>
                  <w:tcW w:w="551" w:type="dxa"/>
                  <w:vAlign w:val="center"/>
                </w:tcPr>
                <w:p>
                  <w:pPr>
                    <w:pStyle w:val="63"/>
                  </w:pP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Merge w:val="continue"/>
                  <w:vAlign w:val="center"/>
                </w:tcPr>
                <w:p>
                  <w:pPr>
                    <w:pStyle w:val="63"/>
                  </w:pPr>
                </w:p>
              </w:tc>
              <w:tc>
                <w:tcPr>
                  <w:tcW w:w="1410" w:type="dxa"/>
                  <w:vAlign w:val="center"/>
                </w:tcPr>
                <w:p>
                  <w:pPr>
                    <w:pStyle w:val="63"/>
                  </w:pPr>
                  <w:r>
                    <w:t>象鼻溞科</w:t>
                  </w:r>
                </w:p>
                <w:p>
                  <w:pPr>
                    <w:pStyle w:val="63"/>
                    <w:rPr>
                      <w:i/>
                    </w:rPr>
                  </w:pPr>
                  <w:r>
                    <w:rPr>
                      <w:i/>
                    </w:rPr>
                    <w:t>Bosminidae</w:t>
                  </w:r>
                </w:p>
              </w:tc>
              <w:tc>
                <w:tcPr>
                  <w:tcW w:w="2561" w:type="dxa"/>
                  <w:vAlign w:val="center"/>
                </w:tcPr>
                <w:p>
                  <w:pPr>
                    <w:pStyle w:val="63"/>
                    <w:rPr>
                      <w:rFonts w:eastAsia="Times New Roman"/>
                      <w:i/>
                    </w:rPr>
                  </w:pPr>
                  <w:r>
                    <w:t xml:space="preserve">简弧象鼻溞 </w:t>
                  </w:r>
                  <w:r>
                    <w:rPr>
                      <w:rFonts w:eastAsia="Times New Roman"/>
                      <w:i/>
                    </w:rPr>
                    <w:t>B. coregoni</w:t>
                  </w:r>
                </w:p>
              </w:tc>
              <w:tc>
                <w:tcPr>
                  <w:tcW w:w="551" w:type="dxa"/>
                  <w:vAlign w:val="center"/>
                </w:tcPr>
                <w:p>
                  <w:pPr>
                    <w:pStyle w:val="63"/>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8"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Align w:val="center"/>
                </w:tcPr>
                <w:p>
                  <w:pPr>
                    <w:pStyle w:val="63"/>
                    <w:rPr>
                      <w:i/>
                    </w:rPr>
                  </w:pPr>
                  <w:r>
                    <w:t>剑水蚤目</w:t>
                  </w:r>
                  <w:r>
                    <w:rPr>
                      <w:i/>
                    </w:rPr>
                    <w:t>Cyclopoida</w:t>
                  </w:r>
                </w:p>
              </w:tc>
              <w:tc>
                <w:tcPr>
                  <w:tcW w:w="1410" w:type="dxa"/>
                  <w:vAlign w:val="center"/>
                </w:tcPr>
                <w:p>
                  <w:pPr>
                    <w:pStyle w:val="63"/>
                  </w:pPr>
                  <w:r>
                    <w:t>剑水蚤科</w:t>
                  </w:r>
                </w:p>
                <w:p>
                  <w:pPr>
                    <w:pStyle w:val="63"/>
                    <w:rPr>
                      <w:i/>
                    </w:rPr>
                  </w:pPr>
                  <w:r>
                    <w:rPr>
                      <w:i/>
                    </w:rPr>
                    <w:t>Cyclopidae</w:t>
                  </w:r>
                </w:p>
              </w:tc>
              <w:tc>
                <w:tcPr>
                  <w:tcW w:w="2561" w:type="dxa"/>
                  <w:vAlign w:val="center"/>
                </w:tcPr>
                <w:p>
                  <w:pPr>
                    <w:pStyle w:val="63"/>
                    <w:rPr>
                      <w:rFonts w:eastAsia="Times New Roman"/>
                      <w:i/>
                    </w:rPr>
                  </w:pPr>
                  <w:r>
                    <w:t xml:space="preserve">等刺温剑水蚤 </w:t>
                  </w:r>
                  <w:r>
                    <w:rPr>
                      <w:rFonts w:eastAsia="Times New Roman"/>
                      <w:i/>
                    </w:rPr>
                    <w:t>Thermocyclops kawamurai</w:t>
                  </w:r>
                </w:p>
              </w:tc>
              <w:tc>
                <w:tcPr>
                  <w:tcW w:w="551" w:type="dxa"/>
                  <w:vAlign w:val="center"/>
                </w:tcPr>
                <w:p>
                  <w:pPr>
                    <w:pStyle w:val="63"/>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8" w:hRule="atLeast"/>
                <w:jc w:val="center"/>
              </w:trPr>
              <w:tc>
                <w:tcPr>
                  <w:tcW w:w="983" w:type="dxa"/>
                  <w:vMerge w:val="continue"/>
                  <w:vAlign w:val="center"/>
                </w:tcPr>
                <w:p>
                  <w:pPr>
                    <w:pStyle w:val="63"/>
                  </w:pPr>
                </w:p>
              </w:tc>
              <w:tc>
                <w:tcPr>
                  <w:tcW w:w="920" w:type="dxa"/>
                  <w:vMerge w:val="continue"/>
                  <w:vAlign w:val="center"/>
                </w:tcPr>
                <w:p>
                  <w:pPr>
                    <w:pStyle w:val="63"/>
                  </w:pPr>
                </w:p>
              </w:tc>
              <w:tc>
                <w:tcPr>
                  <w:tcW w:w="1539" w:type="dxa"/>
                  <w:vAlign w:val="center"/>
                </w:tcPr>
                <w:p>
                  <w:pPr>
                    <w:pStyle w:val="63"/>
                  </w:pPr>
                  <w:r>
                    <w:t>猛水蚤目</w:t>
                  </w:r>
                </w:p>
                <w:p>
                  <w:pPr>
                    <w:pStyle w:val="63"/>
                    <w:rPr>
                      <w:i/>
                    </w:rPr>
                  </w:pPr>
                  <w:r>
                    <w:rPr>
                      <w:i/>
                    </w:rPr>
                    <w:t>Harpacticoida</w:t>
                  </w:r>
                </w:p>
              </w:tc>
              <w:tc>
                <w:tcPr>
                  <w:tcW w:w="1410" w:type="dxa"/>
                  <w:vAlign w:val="center"/>
                </w:tcPr>
                <w:p>
                  <w:pPr>
                    <w:pStyle w:val="63"/>
                  </w:pPr>
                  <w:r>
                    <w:t>异足猛水蚤科</w:t>
                  </w:r>
                </w:p>
                <w:p>
                  <w:pPr>
                    <w:pStyle w:val="63"/>
                    <w:rPr>
                      <w:i/>
                    </w:rPr>
                  </w:pPr>
                  <w:r>
                    <w:rPr>
                      <w:i/>
                    </w:rPr>
                    <w:t>Canthocamptida</w:t>
                  </w:r>
                </w:p>
              </w:tc>
              <w:tc>
                <w:tcPr>
                  <w:tcW w:w="2561" w:type="dxa"/>
                  <w:vAlign w:val="center"/>
                </w:tcPr>
                <w:p>
                  <w:pPr>
                    <w:pStyle w:val="63"/>
                    <w:rPr>
                      <w:rFonts w:eastAsia="Times New Roman"/>
                      <w:i/>
                    </w:rPr>
                  </w:pPr>
                  <w:r>
                    <w:t xml:space="preserve">沟溪异足猛水蚤 </w:t>
                  </w:r>
                  <w:r>
                    <w:rPr>
                      <w:rFonts w:eastAsia="Times New Roman"/>
                      <w:i/>
                    </w:rPr>
                    <w:t>Canthocamptus staphylinus</w:t>
                  </w:r>
                </w:p>
              </w:tc>
              <w:tc>
                <w:tcPr>
                  <w:tcW w:w="551" w:type="dxa"/>
                  <w:vAlign w:val="center"/>
                </w:tcPr>
                <w:p>
                  <w:pPr>
                    <w:pStyle w:val="63"/>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8" w:hRule="atLeast"/>
                <w:jc w:val="center"/>
              </w:trPr>
              <w:tc>
                <w:tcPr>
                  <w:tcW w:w="7964" w:type="dxa"/>
                  <w:gridSpan w:val="6"/>
                  <w:vAlign w:val="center"/>
                </w:tcPr>
                <w:p>
                  <w:pPr>
                    <w:pStyle w:val="64"/>
                  </w:pPr>
                  <w:r>
                    <w:t>注：1-5个表示为“+”；6-10个表示为“++”；11-20个表示为 “+++”；20个以上表示为“++++”。</w:t>
                  </w:r>
                </w:p>
              </w:tc>
            </w:tr>
          </w:tbl>
          <w:p>
            <w:pPr>
              <w:pStyle w:val="63"/>
              <w:keepNext/>
            </w:pPr>
            <w:r>
              <w:rPr>
                <w:rFonts w:hint="eastAsia"/>
              </w:rPr>
              <w:drawing>
                <wp:inline distT="0" distB="0" distL="0" distR="0">
                  <wp:extent cx="3013075" cy="2251075"/>
                  <wp:effectExtent l="0" t="0" r="0" b="0"/>
                  <wp:docPr id="858193543" name="图片 2" descr="163524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93543" name="图片 2" descr="1635241314"/>
                          <pic:cNvPicPr>
                            <a:picLocks noChangeAspect="1" noChangeArrowheads="1"/>
                          </pic:cNvPicPr>
                        </pic:nvPicPr>
                        <pic:blipFill>
                          <a:blip r:embed="rId16">
                            <a:extLst>
                              <a:ext uri="{28A0092B-C50C-407E-A947-70E740481C1C}">
                                <a14:useLocalDpi xmlns:a14="http://schemas.microsoft.com/office/drawing/2010/main" val="0"/>
                              </a:ext>
                            </a:extLst>
                          </a:blip>
                          <a:srcRect b="1407"/>
                          <a:stretch>
                            <a:fillRect/>
                          </a:stretch>
                        </pic:blipFill>
                        <pic:spPr>
                          <a:xfrm>
                            <a:off x="0" y="0"/>
                            <a:ext cx="3013241" cy="2251494"/>
                          </a:xfrm>
                          <a:prstGeom prst="rect">
                            <a:avLst/>
                          </a:prstGeom>
                          <a:noFill/>
                          <a:ln>
                            <a:noFill/>
                          </a:ln>
                          <a:effectLst/>
                        </pic:spPr>
                      </pic:pic>
                    </a:graphicData>
                  </a:graphic>
                </wp:inline>
              </w:drawing>
            </w:r>
          </w:p>
          <w:p>
            <w:pPr>
              <w:pStyle w:val="14"/>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 xml:space="preserve">   朱衣河流域监测断面浮游动物组成及所占百分比</w:t>
            </w:r>
          </w:p>
          <w:p/>
          <w:p>
            <w:pPr>
              <w:pStyle w:val="5"/>
              <w:ind w:firstLine="480"/>
            </w:pPr>
            <w:r>
              <w:rPr>
                <w:rFonts w:hint="eastAsia"/>
              </w:rPr>
              <w:t>朱衣河</w:t>
            </w:r>
            <w:r>
              <w:t>浮游动物种类数较多，但种群密度不高，比较而言，</w:t>
            </w:r>
            <w:bookmarkStart w:id="39" w:name="_Hlk23332399"/>
            <w:r>
              <w:t>原生动物和轮虫的种类相对较多</w:t>
            </w:r>
            <w:bookmarkEnd w:id="39"/>
            <w:r>
              <w:t>，</w:t>
            </w:r>
            <w:r>
              <w:rPr>
                <w:rFonts w:hint="eastAsia"/>
              </w:rPr>
              <w:t>节肢动物</w:t>
            </w:r>
            <w:r>
              <w:t>在</w:t>
            </w:r>
            <w:r>
              <w:rPr>
                <w:rFonts w:hint="eastAsia"/>
              </w:rPr>
              <w:t>各个</w:t>
            </w:r>
            <w:r>
              <w:t>调查断面均有出现，但频率不高；原生动物和轮虫类</w:t>
            </w:r>
            <w:bookmarkStart w:id="40" w:name="_Hlk23332417"/>
            <w:r>
              <w:t>种群密度</w:t>
            </w:r>
            <w:r>
              <w:rPr>
                <w:rFonts w:hint="eastAsia"/>
              </w:rPr>
              <w:t>较</w:t>
            </w:r>
            <w:r>
              <w:t>低</w:t>
            </w:r>
            <w:bookmarkEnd w:id="40"/>
            <w:r>
              <w:t>。</w:t>
            </w:r>
          </w:p>
          <w:p>
            <w:pPr>
              <w:pStyle w:val="14"/>
              <w:keepNext/>
            </w:pPr>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8</w:t>
            </w:r>
            <w:r>
              <w:fldChar w:fldCharType="end"/>
            </w:r>
            <w:r>
              <w:rPr>
                <w:rFonts w:hint="eastAsia"/>
              </w:rPr>
              <w:t xml:space="preserve">   调查断面的浮游动物优势种</w:t>
            </w:r>
          </w:p>
          <w:tbl>
            <w:tblPr>
              <w:tblStyle w:val="38"/>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6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896" w:type="dxa"/>
                  <w:noWrap/>
                  <w:vAlign w:val="center"/>
                </w:tcPr>
                <w:p>
                  <w:pPr>
                    <w:pStyle w:val="63"/>
                  </w:pPr>
                  <w:r>
                    <w:t>采样断面</w:t>
                  </w:r>
                </w:p>
              </w:tc>
              <w:tc>
                <w:tcPr>
                  <w:tcW w:w="6068" w:type="dxa"/>
                  <w:noWrap/>
                  <w:vAlign w:val="center"/>
                </w:tcPr>
                <w:p>
                  <w:pPr>
                    <w:pStyle w:val="63"/>
                  </w:pPr>
                  <w:r>
                    <w:t>优  势  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6" w:type="dxa"/>
                  <w:noWrap/>
                  <w:vAlign w:val="center"/>
                </w:tcPr>
                <w:p>
                  <w:pPr>
                    <w:pStyle w:val="63"/>
                  </w:pPr>
                  <w:r>
                    <w:rPr>
                      <w:rFonts w:hint="eastAsia"/>
                    </w:rPr>
                    <w:t>朱衣河下游断面</w:t>
                  </w:r>
                </w:p>
              </w:tc>
              <w:tc>
                <w:tcPr>
                  <w:tcW w:w="6068" w:type="dxa"/>
                  <w:noWrap/>
                  <w:vAlign w:val="center"/>
                </w:tcPr>
                <w:p>
                  <w:pPr>
                    <w:pStyle w:val="63"/>
                  </w:pPr>
                  <w:r>
                    <w:rPr>
                      <w:rFonts w:hint="eastAsia"/>
                    </w:rPr>
                    <w:t>长圆砂壳虫 、半球法帽虫、三肢轮虫等刺温剑水蚤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6" w:type="dxa"/>
                  <w:noWrap/>
                  <w:vAlign w:val="center"/>
                </w:tcPr>
                <w:p>
                  <w:pPr>
                    <w:pStyle w:val="63"/>
                  </w:pPr>
                  <w:r>
                    <w:rPr>
                      <w:rFonts w:hint="eastAsia"/>
                    </w:rPr>
                    <w:t>黄井水库坝后断面</w:t>
                  </w:r>
                </w:p>
              </w:tc>
              <w:tc>
                <w:tcPr>
                  <w:tcW w:w="6068" w:type="dxa"/>
                  <w:noWrap/>
                  <w:vAlign w:val="center"/>
                </w:tcPr>
                <w:p>
                  <w:pPr>
                    <w:pStyle w:val="63"/>
                  </w:pPr>
                  <w:r>
                    <w:rPr>
                      <w:rFonts w:hint="eastAsia"/>
                    </w:rPr>
                    <w:t>长圆砂壳虫 、三肢轮虫</w:t>
                  </w:r>
                </w:p>
              </w:tc>
            </w:tr>
          </w:tbl>
          <w:p/>
          <w:p>
            <w:pPr>
              <w:pStyle w:val="5"/>
              <w:ind w:firstLine="480"/>
            </w:pPr>
            <w:r>
              <w:rPr>
                <w:rFonts w:hint="eastAsia"/>
              </w:rPr>
              <w:t>（3）底栖动物</w:t>
            </w:r>
          </w:p>
          <w:p>
            <w:pPr>
              <w:pStyle w:val="5"/>
              <w:ind w:firstLine="480"/>
            </w:pPr>
            <w:r>
              <w:rPr>
                <w:rFonts w:hint="eastAsia"/>
              </w:rPr>
              <w:t>底栖动物调查情况见</w:t>
            </w:r>
            <w:r>
              <w:fldChar w:fldCharType="begin"/>
            </w:r>
            <w:r>
              <w:instrText xml:space="preserve"> </w:instrText>
            </w:r>
            <w:r>
              <w:rPr>
                <w:rFonts w:hint="eastAsia"/>
              </w:rPr>
              <w:instrText xml:space="preserve">REF _Ref170111602 \h</w:instrText>
            </w:r>
            <w:r>
              <w:instrText xml:space="preserve"> </w:instrText>
            </w:r>
            <w:r>
              <w:fldChar w:fldCharType="separate"/>
            </w:r>
            <w:r>
              <w:t>表 3.1</w:t>
            </w:r>
            <w:r>
              <w:noBreakHyphen/>
            </w:r>
            <w:r>
              <w:t>9</w:t>
            </w:r>
            <w:r>
              <w:fldChar w:fldCharType="end"/>
            </w:r>
            <w:r>
              <w:t>。</w:t>
            </w:r>
          </w:p>
          <w:p>
            <w:pPr>
              <w:pStyle w:val="14"/>
              <w:keepNext/>
            </w:pPr>
            <w:bookmarkStart w:id="41" w:name="_Ref170111602"/>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9</w:t>
            </w:r>
            <w:r>
              <w:fldChar w:fldCharType="end"/>
            </w:r>
            <w:bookmarkEnd w:id="41"/>
            <w:r>
              <w:rPr>
                <w:rFonts w:hint="eastAsia"/>
              </w:rPr>
              <w:t xml:space="preserve">   朱衣河流域监测断面底栖动物分布</w:t>
            </w:r>
          </w:p>
          <w:tbl>
            <w:tblPr>
              <w:tblStyle w:val="38"/>
              <w:tblW w:w="79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5"/>
              <w:gridCol w:w="974"/>
              <w:gridCol w:w="973"/>
              <w:gridCol w:w="973"/>
              <w:gridCol w:w="973"/>
              <w:gridCol w:w="1069"/>
              <w:gridCol w:w="11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855" w:type="dxa"/>
                  <w:vAlign w:val="center"/>
                </w:tcPr>
                <w:p>
                  <w:pPr>
                    <w:pStyle w:val="63"/>
                  </w:pPr>
                  <w:r>
                    <w:rPr>
                      <w:rFonts w:hint="eastAsia"/>
                    </w:rPr>
                    <w:t>采样点</w:t>
                  </w:r>
                </w:p>
              </w:tc>
              <w:tc>
                <w:tcPr>
                  <w:tcW w:w="974" w:type="dxa"/>
                  <w:vAlign w:val="center"/>
                </w:tcPr>
                <w:p>
                  <w:pPr>
                    <w:pStyle w:val="63"/>
                  </w:pPr>
                  <w:r>
                    <w:rPr>
                      <w:rFonts w:hint="eastAsia"/>
                    </w:rPr>
                    <w:t>节肢动物</w:t>
                  </w:r>
                </w:p>
              </w:tc>
              <w:tc>
                <w:tcPr>
                  <w:tcW w:w="973" w:type="dxa"/>
                  <w:vAlign w:val="center"/>
                </w:tcPr>
                <w:p>
                  <w:pPr>
                    <w:pStyle w:val="63"/>
                  </w:pPr>
                  <w:r>
                    <w:rPr>
                      <w:rFonts w:hint="eastAsia"/>
                    </w:rPr>
                    <w:t>软体动物</w:t>
                  </w:r>
                </w:p>
              </w:tc>
              <w:tc>
                <w:tcPr>
                  <w:tcW w:w="973" w:type="dxa"/>
                  <w:vAlign w:val="center"/>
                </w:tcPr>
                <w:p>
                  <w:pPr>
                    <w:pStyle w:val="63"/>
                  </w:pPr>
                  <w:r>
                    <w:rPr>
                      <w:rFonts w:hint="eastAsia"/>
                    </w:rPr>
                    <w:t>环节动物</w:t>
                  </w:r>
                </w:p>
              </w:tc>
              <w:tc>
                <w:tcPr>
                  <w:tcW w:w="973" w:type="dxa"/>
                  <w:vAlign w:val="center"/>
                </w:tcPr>
                <w:p>
                  <w:pPr>
                    <w:pStyle w:val="63"/>
                  </w:pPr>
                  <w:r>
                    <w:t>合计</w:t>
                  </w:r>
                </w:p>
              </w:tc>
              <w:tc>
                <w:tcPr>
                  <w:tcW w:w="1069" w:type="dxa"/>
                  <w:vAlign w:val="center"/>
                </w:tcPr>
                <w:p>
                  <w:pPr>
                    <w:pStyle w:val="63"/>
                  </w:pPr>
                  <w:r>
                    <w:t>平均密度</w:t>
                  </w:r>
                </w:p>
                <w:p>
                  <w:pPr>
                    <w:pStyle w:val="63"/>
                  </w:pPr>
                  <w:r>
                    <w:t>（个</w:t>
                  </w:r>
                  <w:r>
                    <w:rPr>
                      <w:rFonts w:eastAsia="Times New Roman"/>
                    </w:rPr>
                    <w:t>/</w:t>
                  </w:r>
                  <w:r>
                    <w:rPr>
                      <w:rFonts w:hint="eastAsia"/>
                    </w:rPr>
                    <w:t>m</w:t>
                  </w:r>
                  <w:r>
                    <w:rPr>
                      <w:rFonts w:hint="eastAsia"/>
                      <w:vertAlign w:val="superscript"/>
                    </w:rPr>
                    <w:t>2</w:t>
                  </w:r>
                  <w:r>
                    <w:t>）</w:t>
                  </w:r>
                </w:p>
              </w:tc>
              <w:tc>
                <w:tcPr>
                  <w:tcW w:w="1147" w:type="dxa"/>
                  <w:vAlign w:val="center"/>
                </w:tcPr>
                <w:p>
                  <w:pPr>
                    <w:pStyle w:val="63"/>
                  </w:pPr>
                  <w:r>
                    <w:t>生物量</w:t>
                  </w:r>
                </w:p>
                <w:p>
                  <w:pPr>
                    <w:pStyle w:val="63"/>
                  </w:pPr>
                  <w:r>
                    <w:t>（</w:t>
                  </w:r>
                  <w:r>
                    <w:rPr>
                      <w:rFonts w:eastAsia="Times New Roman"/>
                    </w:rPr>
                    <w:t>g/</w:t>
                  </w:r>
                  <w:r>
                    <w:rPr>
                      <w:rFonts w:hint="eastAsia"/>
                    </w:rPr>
                    <w:t>m</w:t>
                  </w:r>
                  <w:r>
                    <w:rPr>
                      <w:rFonts w:hint="eastAsia"/>
                      <w:vertAlign w:val="superscript"/>
                    </w:rPr>
                    <w:t>2</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855" w:type="dxa"/>
                  <w:vAlign w:val="center"/>
                </w:tcPr>
                <w:p>
                  <w:pPr>
                    <w:pStyle w:val="63"/>
                  </w:pPr>
                  <w:r>
                    <w:rPr>
                      <w:rFonts w:hint="eastAsia"/>
                    </w:rPr>
                    <w:t>朱衣河下游断面</w:t>
                  </w:r>
                </w:p>
              </w:tc>
              <w:tc>
                <w:tcPr>
                  <w:tcW w:w="974" w:type="dxa"/>
                  <w:vAlign w:val="center"/>
                </w:tcPr>
                <w:p>
                  <w:pPr>
                    <w:pStyle w:val="63"/>
                  </w:pPr>
                  <w:r>
                    <w:rPr>
                      <w:rFonts w:hint="eastAsia"/>
                      <w:w w:val="99"/>
                    </w:rPr>
                    <w:t>9</w:t>
                  </w:r>
                </w:p>
              </w:tc>
              <w:tc>
                <w:tcPr>
                  <w:tcW w:w="973" w:type="dxa"/>
                  <w:vAlign w:val="center"/>
                </w:tcPr>
                <w:p>
                  <w:pPr>
                    <w:pStyle w:val="63"/>
                  </w:pPr>
                  <w:r>
                    <w:rPr>
                      <w:w w:val="99"/>
                    </w:rPr>
                    <w:t>2</w:t>
                  </w:r>
                </w:p>
              </w:tc>
              <w:tc>
                <w:tcPr>
                  <w:tcW w:w="973" w:type="dxa"/>
                  <w:vAlign w:val="center"/>
                </w:tcPr>
                <w:p>
                  <w:pPr>
                    <w:pStyle w:val="63"/>
                  </w:pPr>
                  <w:r>
                    <w:rPr>
                      <w:rFonts w:hint="eastAsia"/>
                      <w:w w:val="99"/>
                    </w:rPr>
                    <w:t>2</w:t>
                  </w:r>
                </w:p>
              </w:tc>
              <w:tc>
                <w:tcPr>
                  <w:tcW w:w="973" w:type="dxa"/>
                  <w:vAlign w:val="center"/>
                </w:tcPr>
                <w:p>
                  <w:pPr>
                    <w:pStyle w:val="63"/>
                  </w:pPr>
                  <w:r>
                    <w:t>1</w:t>
                  </w:r>
                  <w:r>
                    <w:rPr>
                      <w:rFonts w:hint="eastAsia"/>
                    </w:rPr>
                    <w:t>3</w:t>
                  </w:r>
                </w:p>
              </w:tc>
              <w:tc>
                <w:tcPr>
                  <w:tcW w:w="1069" w:type="dxa"/>
                  <w:vAlign w:val="center"/>
                </w:tcPr>
                <w:p>
                  <w:pPr>
                    <w:pStyle w:val="63"/>
                  </w:pPr>
                  <w:r>
                    <w:t>113</w:t>
                  </w:r>
                </w:p>
              </w:tc>
              <w:tc>
                <w:tcPr>
                  <w:tcW w:w="1147" w:type="dxa"/>
                  <w:vAlign w:val="center"/>
                </w:tcPr>
                <w:p>
                  <w:pPr>
                    <w:pStyle w:val="63"/>
                  </w:pPr>
                  <w:r>
                    <w:t>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855" w:type="dxa"/>
                  <w:vAlign w:val="center"/>
                </w:tcPr>
                <w:p>
                  <w:pPr>
                    <w:pStyle w:val="63"/>
                  </w:pPr>
                  <w:r>
                    <w:rPr>
                      <w:rFonts w:hint="eastAsia"/>
                    </w:rPr>
                    <w:t>黄井水库坝后断面</w:t>
                  </w:r>
                </w:p>
              </w:tc>
              <w:tc>
                <w:tcPr>
                  <w:tcW w:w="974" w:type="dxa"/>
                  <w:vAlign w:val="center"/>
                </w:tcPr>
                <w:p>
                  <w:pPr>
                    <w:pStyle w:val="63"/>
                  </w:pPr>
                  <w:r>
                    <w:rPr>
                      <w:rFonts w:hint="eastAsia"/>
                      <w:w w:val="99"/>
                    </w:rPr>
                    <w:t>5</w:t>
                  </w:r>
                </w:p>
              </w:tc>
              <w:tc>
                <w:tcPr>
                  <w:tcW w:w="973" w:type="dxa"/>
                  <w:vAlign w:val="center"/>
                </w:tcPr>
                <w:p>
                  <w:pPr>
                    <w:pStyle w:val="63"/>
                  </w:pPr>
                  <w:r>
                    <w:rPr>
                      <w:rFonts w:hint="eastAsia"/>
                      <w:w w:val="99"/>
                    </w:rPr>
                    <w:t>1</w:t>
                  </w:r>
                </w:p>
              </w:tc>
              <w:tc>
                <w:tcPr>
                  <w:tcW w:w="973" w:type="dxa"/>
                  <w:vAlign w:val="center"/>
                </w:tcPr>
                <w:p>
                  <w:pPr>
                    <w:pStyle w:val="63"/>
                  </w:pPr>
                  <w:r>
                    <w:rPr>
                      <w:rFonts w:hint="eastAsia"/>
                      <w:w w:val="99"/>
                    </w:rPr>
                    <w:t>1</w:t>
                  </w:r>
                </w:p>
              </w:tc>
              <w:tc>
                <w:tcPr>
                  <w:tcW w:w="973" w:type="dxa"/>
                  <w:vAlign w:val="center"/>
                </w:tcPr>
                <w:p>
                  <w:pPr>
                    <w:pStyle w:val="63"/>
                  </w:pPr>
                  <w:r>
                    <w:rPr>
                      <w:rFonts w:hint="eastAsia"/>
                    </w:rPr>
                    <w:t>7</w:t>
                  </w:r>
                </w:p>
              </w:tc>
              <w:tc>
                <w:tcPr>
                  <w:tcW w:w="1069" w:type="dxa"/>
                  <w:vAlign w:val="center"/>
                </w:tcPr>
                <w:p>
                  <w:pPr>
                    <w:pStyle w:val="63"/>
                  </w:pPr>
                  <w:r>
                    <w:t>98</w:t>
                  </w:r>
                </w:p>
              </w:tc>
              <w:tc>
                <w:tcPr>
                  <w:tcW w:w="1147" w:type="dxa"/>
                  <w:vAlign w:val="center"/>
                </w:tcPr>
                <w:p>
                  <w:pPr>
                    <w:pStyle w:val="63"/>
                  </w:pPr>
                  <w:r>
                    <w:t>0.75</w:t>
                  </w:r>
                </w:p>
              </w:tc>
            </w:tr>
          </w:tbl>
          <w:p/>
          <w:p>
            <w:pPr>
              <w:pStyle w:val="5"/>
              <w:ind w:firstLine="480"/>
            </w:pPr>
            <w:r>
              <w:t>根据各流域取样断面的底栖动物调查结果，评价区内各流域都呈现出节肢动物最多，并在同一条河流上游至下游不同河段分布不同。</w:t>
            </w:r>
            <w:r>
              <w:rPr>
                <w:rFonts w:hint="eastAsia"/>
              </w:rPr>
              <w:t>朱衣河下游</w:t>
            </w:r>
            <w:r>
              <w:t>监测断面为所在河流的回水河段，底栖动物的种类明显多于</w:t>
            </w:r>
            <w:r>
              <w:rPr>
                <w:rFonts w:hint="eastAsia"/>
              </w:rPr>
              <w:t>黄井水库坝后断面</w:t>
            </w:r>
            <w:r>
              <w:t>。</w:t>
            </w:r>
          </w:p>
          <w:p>
            <w:pPr>
              <w:pStyle w:val="5"/>
              <w:ind w:firstLine="480"/>
            </w:pPr>
            <w:r>
              <w:t>底栖动物的密度和生物量，与水流状态、河床底质结构、水质等生境要素的变化相关，所有的河流都呈现出这样一种现象，即在水流缓慢、泥沙较多的监测断面密度和生物量都较多，是因为水流流速降低以及泥沙的沉积，特别是淤泥质泥沙的沉积有利于底栖动物的栖息。</w:t>
            </w:r>
          </w:p>
          <w:p>
            <w:pPr>
              <w:pStyle w:val="5"/>
              <w:ind w:firstLine="480"/>
            </w:pPr>
            <w:r>
              <w:rPr>
                <w:rFonts w:hint="eastAsia"/>
              </w:rPr>
              <w:t>（4）</w:t>
            </w:r>
            <w:r>
              <w:t>水生维管束植物</w:t>
            </w:r>
          </w:p>
          <w:p>
            <w:pPr>
              <w:pStyle w:val="5"/>
              <w:ind w:firstLine="480"/>
            </w:pPr>
            <w:r>
              <w:rPr>
                <w:rFonts w:hint="eastAsia"/>
              </w:rPr>
              <w:t>水生维管束植物是水体中的生产者之一，可作鱼类的饵料和繁殖生活场所，是水生生态系统中的基本环节。本次调查在规划流域发现的水生维管束植物的主要种类有浮萍、凤眼莲、菹草、慈菇、菖蒲、喜旱莲子草、金鱼藻等。</w:t>
            </w:r>
          </w:p>
          <w:p>
            <w:pPr>
              <w:pStyle w:val="5"/>
              <w:ind w:firstLine="480"/>
            </w:pPr>
            <w:r>
              <w:rPr>
                <w:rFonts w:hint="eastAsia"/>
              </w:rPr>
              <w:t>（5）鱼类资源</w:t>
            </w:r>
          </w:p>
          <w:p>
            <w:pPr>
              <w:pStyle w:val="5"/>
              <w:ind w:firstLine="482"/>
              <w:rPr>
                <w:b/>
                <w:bCs/>
              </w:rPr>
            </w:pPr>
            <w:r>
              <w:rPr>
                <w:rFonts w:hint="eastAsia"/>
                <w:b/>
                <w:bCs/>
              </w:rPr>
              <w:t>一、</w:t>
            </w:r>
            <w:r>
              <w:rPr>
                <w:b/>
                <w:bCs/>
              </w:rPr>
              <w:t>种类</w:t>
            </w:r>
          </w:p>
          <w:p>
            <w:pPr>
              <w:pStyle w:val="5"/>
              <w:ind w:firstLine="480"/>
            </w:pPr>
            <w:r>
              <w:rPr>
                <w:rFonts w:hint="eastAsia"/>
              </w:rPr>
              <w:t>朱衣河鱼类种类繁多，</w:t>
            </w:r>
            <w:bookmarkStart w:id="42" w:name="_Hlk23332725"/>
            <w:r>
              <w:rPr>
                <w:rFonts w:hint="eastAsia"/>
              </w:rPr>
              <w:t>资料记载的鱼类有25多种。调查人员通过访问钓鱼群众了解到，目前朱衣河上、中游和支沟由于河道水量较小，鱼类很少。朱衣河鱼类主要栖息在朱衣河河口河段，鱼类主要为白条鱼、黄颡鱼、鲤鱼、鲫鱼等，也有翘嘴红鲌等鱼类存在。</w:t>
            </w:r>
          </w:p>
          <w:p>
            <w:pPr>
              <w:pStyle w:val="5"/>
              <w:ind w:firstLine="480"/>
            </w:pPr>
            <w:r>
              <w:rPr>
                <w:rFonts w:hint="eastAsia"/>
              </w:rPr>
              <w:t>朱衣河鱼类以鲤科鱼类为主。三峡库区蓄水后鱼类资源发生变化，目前在朱衣河水域常见的鱼类25种，分属3目6科</w:t>
            </w:r>
            <w:bookmarkEnd w:id="42"/>
            <w:r>
              <w:rPr>
                <w:rFonts w:hint="eastAsia"/>
              </w:rPr>
              <w:t>，鱼类优势种为</w:t>
            </w:r>
            <w:r>
              <w:rPr>
                <w:spacing w:val="-6"/>
              </w:rPr>
              <w:t>白条鱼</w:t>
            </w:r>
            <w:r>
              <w:rPr>
                <w:rFonts w:hint="eastAsia"/>
              </w:rPr>
              <w:t>、鲢鱼、</w:t>
            </w:r>
            <w:r>
              <w:t>翘嘴红鲌</w:t>
            </w:r>
            <w:r>
              <w:rPr>
                <w:rFonts w:hint="eastAsia"/>
              </w:rPr>
              <w:t>、黄颡鱼等。</w:t>
            </w:r>
          </w:p>
          <w:p>
            <w:pPr>
              <w:pStyle w:val="5"/>
              <w:ind w:firstLine="480"/>
            </w:pPr>
            <w:r>
              <w:rPr>
                <w:rFonts w:hint="eastAsia"/>
              </w:rPr>
              <w:t>据近几年县渔政部门和科研院所调查，奉节库区渔获物中鲢、鲤、鳙、鲫、</w:t>
            </w:r>
            <w:r>
              <w:t>翘嘴红鲌</w:t>
            </w:r>
            <w:r>
              <w:rPr>
                <w:rFonts w:hint="eastAsia"/>
              </w:rPr>
              <w:t>、白条鱼分别占渔获物总量的25.0％、12.8％、12.2%、8.0％、7.1%、6.0％，是主要的捕捞对象。依据其捕获量及经济价值，目前奉节库区的主要经济鱼类是鲢、鳙、鲤、鲫、黄颡鱼、</w:t>
            </w:r>
            <w:r>
              <w:t>翘嘴红鲌</w:t>
            </w:r>
            <w:r>
              <w:rPr>
                <w:rFonts w:hint="eastAsia"/>
              </w:rPr>
              <w:t>等。从渔获物规格来看，主要经济鱼类个体一般较小，低龄鱼所占比例较大，如鲢、鳙、鲫、鲇、黄颡鱼等。</w:t>
            </w:r>
          </w:p>
          <w:p>
            <w:pPr>
              <w:pStyle w:val="5"/>
              <w:ind w:firstLine="480"/>
            </w:pPr>
            <w:r>
              <w:rPr>
                <w:rFonts w:hint="eastAsia"/>
              </w:rPr>
              <w:t>岩原鲤近几年均无采集记录，相关资源调查文献中也未发现。调查组在河边向垂钓者咨询，虽然近几年未见岩原鲤，但是垂钓者在多年前见过，因此在鱼类名单中也将其列入。</w:t>
            </w:r>
          </w:p>
          <w:p>
            <w:pPr>
              <w:pStyle w:val="5"/>
              <w:ind w:firstLine="480"/>
            </w:pPr>
            <w:r>
              <w:t>鲤形目为该区的主要类群，有</w:t>
            </w:r>
            <w:r>
              <w:rPr>
                <w:rFonts w:hint="eastAsia"/>
              </w:rPr>
              <w:t>20</w:t>
            </w:r>
            <w:r>
              <w:t>种，鲇形目</w:t>
            </w:r>
            <w:r>
              <w:rPr>
                <w:rFonts w:hint="eastAsia"/>
              </w:rPr>
              <w:t>2</w:t>
            </w:r>
            <w:r>
              <w:t>种，合鳃目</w:t>
            </w:r>
            <w:r>
              <w:rPr>
                <w:rFonts w:hint="eastAsia"/>
              </w:rPr>
              <w:t>1</w:t>
            </w:r>
            <w:r>
              <w:t>种。其中重庆市重点保护鱼类</w:t>
            </w:r>
            <w:r>
              <w:rPr>
                <w:rFonts w:hint="eastAsia"/>
              </w:rPr>
              <w:t>1</w:t>
            </w:r>
            <w:r>
              <w:t>种，无珍稀鱼类。</w:t>
            </w:r>
          </w:p>
          <w:p>
            <w:pPr>
              <w:pStyle w:val="5"/>
              <w:ind w:firstLine="482"/>
              <w:rPr>
                <w:b/>
                <w:bCs/>
              </w:rPr>
            </w:pPr>
            <w:r>
              <w:rPr>
                <w:rFonts w:hint="eastAsia"/>
                <w:b/>
                <w:bCs/>
              </w:rPr>
              <w:t>二、</w:t>
            </w:r>
            <w:r>
              <w:rPr>
                <w:b/>
                <w:bCs/>
              </w:rPr>
              <w:t>区系分布</w:t>
            </w:r>
          </w:p>
          <w:p>
            <w:pPr>
              <w:pStyle w:val="5"/>
              <w:ind w:firstLine="480"/>
            </w:pPr>
            <w:r>
              <w:t>三峡水库蓄水后，适应敞水表层生活的种类占据绝对优势，以渔民反映的渔获数量来看，在</w:t>
            </w:r>
            <w:r>
              <w:rPr>
                <w:rFonts w:hint="eastAsia"/>
              </w:rPr>
              <w:t>朱衣河</w:t>
            </w:r>
            <w:r>
              <w:t>出现频率较高的鱼类物种有</w:t>
            </w:r>
            <w:r>
              <w:rPr>
                <w:rFonts w:hint="eastAsia"/>
              </w:rPr>
              <w:t>11</w:t>
            </w:r>
            <w:r>
              <w:t>种，其中适应静水以及敞水性鱼类</w:t>
            </w:r>
            <w:r>
              <w:rPr>
                <w:rFonts w:hint="eastAsia"/>
              </w:rPr>
              <w:t>8</w:t>
            </w:r>
            <w:r>
              <w:t>种，占常见种类数的</w:t>
            </w:r>
            <w:r>
              <w:rPr>
                <w:rFonts w:hint="eastAsia"/>
              </w:rPr>
              <w:t>72</w:t>
            </w:r>
            <w:r>
              <w:t>%。由此可见，三峡水库蓄水后的</w:t>
            </w:r>
            <w:r>
              <w:rPr>
                <w:rFonts w:hint="eastAsia"/>
              </w:rPr>
              <w:t>朱衣河</w:t>
            </w:r>
            <w:r>
              <w:t>随着水文条件的改变，鱼类区系构成发生了较为剧烈的变化。</w:t>
            </w:r>
          </w:p>
          <w:p>
            <w:pPr>
              <w:pStyle w:val="5"/>
              <w:ind w:firstLine="480"/>
            </w:pPr>
            <w:r>
              <w:t>在</w:t>
            </w:r>
            <w:r>
              <w:rPr>
                <w:rFonts w:hint="eastAsia"/>
              </w:rPr>
              <w:t>朱衣河</w:t>
            </w:r>
            <w:r>
              <w:t>鱼类现状组成中，江河平原类群</w:t>
            </w:r>
            <w:r>
              <w:rPr>
                <w:rFonts w:hint="eastAsia"/>
              </w:rPr>
              <w:t>占据绝对优势</w:t>
            </w:r>
            <w:r>
              <w:t>，其次是古第三纪类群的鲤、鲫、泥鳅等，以及遗留的南方平原类群（黄鳝）。</w:t>
            </w:r>
          </w:p>
          <w:p>
            <w:pPr>
              <w:pStyle w:val="5"/>
              <w:ind w:firstLine="482"/>
              <w:rPr>
                <w:b/>
                <w:bCs/>
              </w:rPr>
            </w:pPr>
            <w:r>
              <w:rPr>
                <w:rFonts w:hint="eastAsia"/>
                <w:b/>
                <w:bCs/>
              </w:rPr>
              <w:t>三、</w:t>
            </w:r>
            <w:r>
              <w:rPr>
                <w:b/>
                <w:bCs/>
              </w:rPr>
              <w:t>繁殖类型</w:t>
            </w:r>
          </w:p>
          <w:p>
            <w:pPr>
              <w:pStyle w:val="5"/>
              <w:ind w:firstLine="480"/>
            </w:pPr>
            <w:r>
              <w:rPr>
                <w:rFonts w:hint="eastAsia"/>
              </w:rPr>
              <w:t>①</w:t>
            </w:r>
            <w:r>
              <w:t>产漂流性卵类型：</w:t>
            </w:r>
            <w:r>
              <w:rPr>
                <w:rFonts w:hint="eastAsia"/>
              </w:rPr>
              <w:t>朱衣河</w:t>
            </w:r>
            <w:r>
              <w:t>鱼类中产漂流性卵的鱼类包括草、鲢、鳙、铜鱼等。其中由于受到水文条件限制（必要的流态、流速、泡漩、流程等），除少数小型鱼类如</w:t>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fldChar w:fldCharType="begin"/>
            </w:r>
            <w:r>
              <w:instrText xml:space="preserve"> INCLUDEPICTURE  "http://www.kepu.com.cn/gb/lives/fish/small/200210240026_6851.gif" \* MERGEFORMATINET </w:instrText>
            </w:r>
            <w:r>
              <w:fldChar w:fldCharType="separate"/>
            </w:r>
            <w:r>
              <w:pict>
                <v:shape id="_x0000_i1025" o:spt="75" type="#_x0000_t75" style="height:9.2pt;width:10.9pt;" filled="f" o:preferrelative="t" stroked="f" coordsize="21600,21600">
                  <v:path/>
                  <v:fill on="f" focussize="0,0"/>
                  <v:stroke on="f" joinstyle="miter"/>
                  <v:imagedata r:id="rId17" r:href="rId18" o:title=""/>
                  <o:lock v:ext="edit" aspectratio="t"/>
                  <w10:wrap type="none"/>
                  <w10:anchorlock/>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类外，其它产漂流性卵的鱼类均不能在</w:t>
            </w:r>
            <w:r>
              <w:rPr>
                <w:rFonts w:hint="eastAsia"/>
              </w:rPr>
              <w:t>朱衣河</w:t>
            </w:r>
            <w:r>
              <w:t>产卵繁殖。这些鱼类仅在索饵季节进入</w:t>
            </w:r>
            <w:r>
              <w:rPr>
                <w:rFonts w:hint="eastAsia"/>
              </w:rPr>
              <w:t>朱衣河</w:t>
            </w:r>
            <w:r>
              <w:t>，其繁殖场在三峡库区上游的长江干流。</w:t>
            </w:r>
            <w:r>
              <w:rPr>
                <w:rFonts w:hint="eastAsia"/>
              </w:rPr>
              <w:t>朱衣河</w:t>
            </w:r>
            <w:r>
              <w:t>也缺乏上述鱼类繁殖的水体环境条件。</w:t>
            </w:r>
          </w:p>
          <w:p>
            <w:pPr>
              <w:pStyle w:val="5"/>
              <w:ind w:firstLine="480"/>
            </w:pPr>
            <w:r>
              <w:rPr>
                <w:rFonts w:hint="eastAsia"/>
              </w:rPr>
              <w:t>②</w:t>
            </w:r>
            <w:r>
              <w:t>静水或缓流环境产粘性卵类型：包括</w:t>
            </w:r>
            <w:r>
              <w:rPr>
                <w:spacing w:val="-7"/>
              </w:rPr>
              <w:t>白条鱼、</w:t>
            </w:r>
            <w:r>
              <w:rPr>
                <w:spacing w:val="-8"/>
              </w:rPr>
              <w:t>鲤鱼</w:t>
            </w:r>
            <w:r>
              <w:rPr>
                <w:spacing w:val="-7"/>
              </w:rPr>
              <w:t>、鲫鱼、黄颡鱼</w:t>
            </w:r>
            <w:r>
              <w:t>、泥鳅、麦穗鱼等，</w:t>
            </w:r>
            <w:r>
              <w:rPr>
                <w:rFonts w:hint="eastAsia"/>
              </w:rPr>
              <w:t>朱衣河河口位于三峡库区范围内，水流较缓，适合静水或缓流环境产卵的鱼类在此产卵。</w:t>
            </w:r>
          </w:p>
          <w:p>
            <w:pPr>
              <w:pStyle w:val="5"/>
              <w:ind w:firstLine="480"/>
            </w:pPr>
            <w:r>
              <w:fldChar w:fldCharType="begin"/>
            </w:r>
            <w:r>
              <w:instrText xml:space="preserve"> = 3 \* GB3 </w:instrText>
            </w:r>
            <w:r>
              <w:fldChar w:fldCharType="separate"/>
            </w:r>
            <w:r>
              <w:rPr>
                <w:rFonts w:hint="eastAsia"/>
              </w:rPr>
              <w:t>③</w:t>
            </w:r>
            <w:r>
              <w:fldChar w:fldCharType="end"/>
            </w:r>
            <w:r>
              <w:t>激流中产强粘性卵类型：</w:t>
            </w:r>
            <w:r>
              <w:rPr>
                <w:rFonts w:hint="eastAsia"/>
              </w:rPr>
              <w:t>主要为</w:t>
            </w:r>
            <w:r>
              <w:t>大口鲇。</w:t>
            </w:r>
            <w:r>
              <w:rPr>
                <w:rFonts w:hint="eastAsia"/>
              </w:rPr>
              <w:t>朱衣河</w:t>
            </w:r>
            <w:r>
              <w:t>缺乏上述鱼类繁殖的水体环境条件。</w:t>
            </w:r>
          </w:p>
          <w:p>
            <w:pPr>
              <w:pStyle w:val="5"/>
              <w:ind w:firstLine="480"/>
              <w:rPr>
                <w:spacing w:val="-4"/>
              </w:rPr>
            </w:pPr>
            <w:r>
              <w:rPr>
                <w:spacing w:val="-4"/>
              </w:rPr>
              <w:fldChar w:fldCharType="begin"/>
            </w:r>
            <w:r>
              <w:rPr>
                <w:spacing w:val="-4"/>
              </w:rPr>
              <w:instrText xml:space="preserve"> = 4 \* GB3 </w:instrText>
            </w:r>
            <w:r>
              <w:rPr>
                <w:spacing w:val="-4"/>
              </w:rPr>
              <w:fldChar w:fldCharType="separate"/>
            </w:r>
            <w:r>
              <w:rPr>
                <w:rFonts w:hint="eastAsia"/>
                <w:spacing w:val="-4"/>
              </w:rPr>
              <w:t>④</w:t>
            </w:r>
            <w:r>
              <w:rPr>
                <w:spacing w:val="-4"/>
              </w:rPr>
              <w:fldChar w:fldCharType="end"/>
            </w:r>
            <w:r>
              <w:rPr>
                <w:spacing w:val="-4"/>
              </w:rPr>
              <w:t>产浮性卵类型：</w:t>
            </w:r>
            <w:r>
              <w:rPr>
                <w:rFonts w:hint="eastAsia"/>
                <w:spacing w:val="-4"/>
              </w:rPr>
              <w:t>主要为</w:t>
            </w:r>
            <w:r>
              <w:rPr>
                <w:spacing w:val="-4"/>
              </w:rPr>
              <w:t>黄鳝，占本地区鱼类繁殖种类数的</w:t>
            </w:r>
            <w:r>
              <w:rPr>
                <w:rFonts w:hint="eastAsia"/>
                <w:spacing w:val="-4"/>
              </w:rPr>
              <w:t>比例较小</w:t>
            </w:r>
            <w:r>
              <w:rPr>
                <w:spacing w:val="-4"/>
              </w:rPr>
              <w:t>。</w:t>
            </w:r>
          </w:p>
          <w:p>
            <w:pPr>
              <w:pStyle w:val="5"/>
              <w:ind w:firstLine="480"/>
            </w:pPr>
            <w:r>
              <w:rPr>
                <w:rFonts w:hint="eastAsia"/>
              </w:rPr>
              <w:t>朱衣河</w:t>
            </w:r>
            <w:r>
              <w:t>鱼类繁殖行为与该水域环境状况密切相关，适应静水产卵并对产卵环境水体流速无特殊要求的静水或缓流环境产粘性卵类型以及产浮性卵类型成为本区域主要繁殖类群。</w:t>
            </w:r>
          </w:p>
          <w:p>
            <w:pPr>
              <w:pStyle w:val="14"/>
              <w:keepNext/>
            </w:pPr>
            <w:r>
              <w:t xml:space="preserve">表 </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10</w:t>
            </w:r>
            <w:r>
              <w:fldChar w:fldCharType="end"/>
            </w:r>
            <w:r>
              <w:rPr>
                <w:rFonts w:hint="eastAsia"/>
              </w:rPr>
              <w:t xml:space="preserve">   朱衣河渔获物统计表</w:t>
            </w:r>
          </w:p>
          <w:tbl>
            <w:tblPr>
              <w:tblStyle w:val="38"/>
              <w:tblW w:w="79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2"/>
              <w:gridCol w:w="1593"/>
              <w:gridCol w:w="1593"/>
              <w:gridCol w:w="1593"/>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1592" w:type="dxa"/>
                </w:tcPr>
                <w:p>
                  <w:pPr>
                    <w:pStyle w:val="63"/>
                  </w:pPr>
                  <w:r>
                    <w:rPr>
                      <w:rFonts w:hint="eastAsia"/>
                    </w:rPr>
                    <w:t>物种名</w:t>
                  </w:r>
                </w:p>
              </w:tc>
              <w:tc>
                <w:tcPr>
                  <w:tcW w:w="1593" w:type="dxa"/>
                </w:tcPr>
                <w:p>
                  <w:pPr>
                    <w:pStyle w:val="63"/>
                  </w:pPr>
                  <w:r>
                    <w:rPr>
                      <w:rFonts w:hint="eastAsia"/>
                    </w:rPr>
                    <w:t>样本数量/尾</w:t>
                  </w:r>
                </w:p>
              </w:tc>
              <w:tc>
                <w:tcPr>
                  <w:tcW w:w="1593" w:type="dxa"/>
                </w:tcPr>
                <w:p>
                  <w:pPr>
                    <w:pStyle w:val="63"/>
                  </w:pPr>
                  <w:r>
                    <w:rPr>
                      <w:rFonts w:hint="eastAsia"/>
                    </w:rPr>
                    <w:t>重量/g</w:t>
                  </w:r>
                </w:p>
              </w:tc>
              <w:tc>
                <w:tcPr>
                  <w:tcW w:w="1593" w:type="dxa"/>
                </w:tcPr>
                <w:p>
                  <w:pPr>
                    <w:pStyle w:val="63"/>
                  </w:pPr>
                  <w:r>
                    <w:rPr>
                      <w:rFonts w:hint="eastAsia"/>
                    </w:rPr>
                    <w:t>数量比/%</w:t>
                  </w:r>
                </w:p>
              </w:tc>
              <w:tc>
                <w:tcPr>
                  <w:tcW w:w="1593" w:type="dxa"/>
                </w:tcPr>
                <w:p>
                  <w:pPr>
                    <w:pStyle w:val="63"/>
                  </w:pPr>
                  <w:r>
                    <w:rPr>
                      <w:rFonts w:hint="eastAsia"/>
                    </w:rPr>
                    <w:t>重量比/%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1592" w:type="dxa"/>
                </w:tcPr>
                <w:p>
                  <w:pPr>
                    <w:pStyle w:val="63"/>
                  </w:pPr>
                  <w:r>
                    <w:rPr>
                      <w:rFonts w:hint="eastAsia"/>
                    </w:rPr>
                    <w:t>白条鱼</w:t>
                  </w:r>
                </w:p>
              </w:tc>
              <w:tc>
                <w:tcPr>
                  <w:tcW w:w="1593" w:type="dxa"/>
                </w:tcPr>
                <w:p>
                  <w:pPr>
                    <w:pStyle w:val="63"/>
                  </w:pPr>
                  <w:r>
                    <w:rPr>
                      <w:rFonts w:hint="eastAsia"/>
                    </w:rPr>
                    <w:t>43</w:t>
                  </w:r>
                </w:p>
              </w:tc>
              <w:tc>
                <w:tcPr>
                  <w:tcW w:w="1593" w:type="dxa"/>
                </w:tcPr>
                <w:p>
                  <w:pPr>
                    <w:pStyle w:val="63"/>
                  </w:pPr>
                  <w:r>
                    <w:rPr>
                      <w:rFonts w:hint="eastAsia"/>
                    </w:rPr>
                    <w:t>667</w:t>
                  </w:r>
                </w:p>
              </w:tc>
              <w:tc>
                <w:tcPr>
                  <w:tcW w:w="1593" w:type="dxa"/>
                </w:tcPr>
                <w:p>
                  <w:pPr>
                    <w:pStyle w:val="63"/>
                  </w:pPr>
                  <w:r>
                    <w:rPr>
                      <w:rFonts w:hint="eastAsia"/>
                    </w:rPr>
                    <w:t>81.13%</w:t>
                  </w:r>
                </w:p>
              </w:tc>
              <w:tc>
                <w:tcPr>
                  <w:tcW w:w="1593" w:type="dxa"/>
                </w:tcPr>
                <w:p>
                  <w:pPr>
                    <w:pStyle w:val="63"/>
                  </w:pPr>
                  <w:r>
                    <w:rPr>
                      <w:rFonts w:hint="eastAsia"/>
                    </w:rPr>
                    <w:t>62.45%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1592" w:type="dxa"/>
                </w:tcPr>
                <w:p>
                  <w:pPr>
                    <w:pStyle w:val="63"/>
                  </w:pPr>
                  <w:r>
                    <w:rPr>
                      <w:rFonts w:hint="eastAsia"/>
                    </w:rPr>
                    <w:t>鲤鱼</w:t>
                  </w:r>
                </w:p>
              </w:tc>
              <w:tc>
                <w:tcPr>
                  <w:tcW w:w="1593" w:type="dxa"/>
                </w:tcPr>
                <w:p>
                  <w:pPr>
                    <w:pStyle w:val="63"/>
                  </w:pPr>
                  <w:r>
                    <w:rPr>
                      <w:rFonts w:hint="eastAsia"/>
                    </w:rPr>
                    <w:t>2</w:t>
                  </w:r>
                </w:p>
              </w:tc>
              <w:tc>
                <w:tcPr>
                  <w:tcW w:w="1593" w:type="dxa"/>
                </w:tcPr>
                <w:p>
                  <w:pPr>
                    <w:pStyle w:val="63"/>
                  </w:pPr>
                  <w:r>
                    <w:rPr>
                      <w:rFonts w:hint="eastAsia"/>
                    </w:rPr>
                    <w:t>185</w:t>
                  </w:r>
                </w:p>
              </w:tc>
              <w:tc>
                <w:tcPr>
                  <w:tcW w:w="1593" w:type="dxa"/>
                </w:tcPr>
                <w:p>
                  <w:pPr>
                    <w:pStyle w:val="63"/>
                  </w:pPr>
                  <w:r>
                    <w:rPr>
                      <w:rFonts w:hint="eastAsia"/>
                    </w:rPr>
                    <w:t>3.77%</w:t>
                  </w:r>
                </w:p>
              </w:tc>
              <w:tc>
                <w:tcPr>
                  <w:tcW w:w="1593" w:type="dxa"/>
                </w:tcPr>
                <w:p>
                  <w:pPr>
                    <w:pStyle w:val="63"/>
                  </w:pPr>
                  <w:r>
                    <w:rPr>
                      <w:rFonts w:hint="eastAsia"/>
                    </w:rPr>
                    <w:t>17.32%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1592" w:type="dxa"/>
                </w:tcPr>
                <w:p>
                  <w:pPr>
                    <w:pStyle w:val="63"/>
                  </w:pPr>
                  <w:r>
                    <w:rPr>
                      <w:rFonts w:hint="eastAsia"/>
                    </w:rPr>
                    <w:t>翘嘴红鲌</w:t>
                  </w:r>
                </w:p>
              </w:tc>
              <w:tc>
                <w:tcPr>
                  <w:tcW w:w="1593" w:type="dxa"/>
                </w:tcPr>
                <w:p>
                  <w:pPr>
                    <w:pStyle w:val="63"/>
                  </w:pPr>
                  <w:r>
                    <w:rPr>
                      <w:rFonts w:hint="eastAsia"/>
                    </w:rPr>
                    <w:t>1</w:t>
                  </w:r>
                </w:p>
              </w:tc>
              <w:tc>
                <w:tcPr>
                  <w:tcW w:w="1593" w:type="dxa"/>
                </w:tcPr>
                <w:p>
                  <w:pPr>
                    <w:pStyle w:val="63"/>
                  </w:pPr>
                  <w:r>
                    <w:rPr>
                      <w:rFonts w:hint="eastAsia"/>
                    </w:rPr>
                    <w:t>113</w:t>
                  </w:r>
                </w:p>
              </w:tc>
              <w:tc>
                <w:tcPr>
                  <w:tcW w:w="1593" w:type="dxa"/>
                </w:tcPr>
                <w:p>
                  <w:pPr>
                    <w:pStyle w:val="63"/>
                  </w:pPr>
                  <w:r>
                    <w:rPr>
                      <w:rFonts w:hint="eastAsia"/>
                    </w:rPr>
                    <w:t>1.89%</w:t>
                  </w:r>
                </w:p>
              </w:tc>
              <w:tc>
                <w:tcPr>
                  <w:tcW w:w="1593" w:type="dxa"/>
                </w:tcPr>
                <w:p>
                  <w:pPr>
                    <w:pStyle w:val="63"/>
                  </w:pPr>
                  <w:r>
                    <w:rPr>
                      <w:rFonts w:hint="eastAsia"/>
                    </w:rPr>
                    <w:t>10.58%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1592" w:type="dxa"/>
                </w:tcPr>
                <w:p>
                  <w:pPr>
                    <w:pStyle w:val="63"/>
                  </w:pPr>
                  <w:r>
                    <w:rPr>
                      <w:rFonts w:hint="eastAsia"/>
                    </w:rPr>
                    <w:t>银鮈</w:t>
                  </w:r>
                </w:p>
              </w:tc>
              <w:tc>
                <w:tcPr>
                  <w:tcW w:w="1593" w:type="dxa"/>
                </w:tcPr>
                <w:p>
                  <w:pPr>
                    <w:pStyle w:val="63"/>
                  </w:pPr>
                  <w:r>
                    <w:rPr>
                      <w:rFonts w:hint="eastAsia"/>
                    </w:rPr>
                    <w:t>2</w:t>
                  </w:r>
                </w:p>
              </w:tc>
              <w:tc>
                <w:tcPr>
                  <w:tcW w:w="1593" w:type="dxa"/>
                </w:tcPr>
                <w:p>
                  <w:pPr>
                    <w:pStyle w:val="63"/>
                  </w:pPr>
                  <w:r>
                    <w:rPr>
                      <w:rFonts w:hint="eastAsia"/>
                    </w:rPr>
                    <w:t>38</w:t>
                  </w:r>
                </w:p>
              </w:tc>
              <w:tc>
                <w:tcPr>
                  <w:tcW w:w="1593" w:type="dxa"/>
                </w:tcPr>
                <w:p>
                  <w:pPr>
                    <w:pStyle w:val="63"/>
                  </w:pPr>
                  <w:r>
                    <w:rPr>
                      <w:rFonts w:hint="eastAsia"/>
                    </w:rPr>
                    <w:t>3.77%</w:t>
                  </w:r>
                </w:p>
              </w:tc>
              <w:tc>
                <w:tcPr>
                  <w:tcW w:w="1593" w:type="dxa"/>
                </w:tcPr>
                <w:p>
                  <w:pPr>
                    <w:pStyle w:val="63"/>
                  </w:pPr>
                  <w:r>
                    <w:rPr>
                      <w:rFonts w:hint="eastAsia"/>
                    </w:rPr>
                    <w:t>3.56%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1592" w:type="dxa"/>
                </w:tcPr>
                <w:p>
                  <w:pPr>
                    <w:pStyle w:val="63"/>
                  </w:pPr>
                  <w:r>
                    <w:rPr>
                      <w:rFonts w:hint="eastAsia"/>
                    </w:rPr>
                    <w:t>泥鳅</w:t>
                  </w:r>
                </w:p>
              </w:tc>
              <w:tc>
                <w:tcPr>
                  <w:tcW w:w="1593" w:type="dxa"/>
                </w:tcPr>
                <w:p>
                  <w:pPr>
                    <w:pStyle w:val="63"/>
                  </w:pPr>
                  <w:r>
                    <w:rPr>
                      <w:rFonts w:hint="eastAsia"/>
                    </w:rPr>
                    <w:t>3</w:t>
                  </w:r>
                </w:p>
              </w:tc>
              <w:tc>
                <w:tcPr>
                  <w:tcW w:w="1593" w:type="dxa"/>
                </w:tcPr>
                <w:p>
                  <w:pPr>
                    <w:pStyle w:val="63"/>
                  </w:pPr>
                  <w:r>
                    <w:rPr>
                      <w:rFonts w:hint="eastAsia"/>
                    </w:rPr>
                    <w:t>42</w:t>
                  </w:r>
                </w:p>
              </w:tc>
              <w:tc>
                <w:tcPr>
                  <w:tcW w:w="1593" w:type="dxa"/>
                </w:tcPr>
                <w:p>
                  <w:pPr>
                    <w:pStyle w:val="63"/>
                  </w:pPr>
                  <w:r>
                    <w:rPr>
                      <w:rFonts w:hint="eastAsia"/>
                    </w:rPr>
                    <w:t>5.66%</w:t>
                  </w:r>
                </w:p>
              </w:tc>
              <w:tc>
                <w:tcPr>
                  <w:tcW w:w="1593" w:type="dxa"/>
                </w:tcPr>
                <w:p>
                  <w:pPr>
                    <w:pStyle w:val="63"/>
                  </w:pPr>
                  <w:r>
                    <w:rPr>
                      <w:rFonts w:hint="eastAsia"/>
                    </w:rPr>
                    <w:t>3.93%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1592" w:type="dxa"/>
                </w:tcPr>
                <w:p>
                  <w:pPr>
                    <w:pStyle w:val="63"/>
                  </w:pPr>
                  <w:r>
                    <w:rPr>
                      <w:rFonts w:hint="eastAsia"/>
                    </w:rPr>
                    <w:t>黄鳝</w:t>
                  </w:r>
                </w:p>
              </w:tc>
              <w:tc>
                <w:tcPr>
                  <w:tcW w:w="1593" w:type="dxa"/>
                </w:tcPr>
                <w:p>
                  <w:pPr>
                    <w:pStyle w:val="63"/>
                  </w:pPr>
                  <w:r>
                    <w:rPr>
                      <w:rFonts w:hint="eastAsia"/>
                    </w:rPr>
                    <w:t>2</w:t>
                  </w:r>
                </w:p>
              </w:tc>
              <w:tc>
                <w:tcPr>
                  <w:tcW w:w="1593" w:type="dxa"/>
                </w:tcPr>
                <w:p>
                  <w:pPr>
                    <w:pStyle w:val="63"/>
                  </w:pPr>
                  <w:r>
                    <w:rPr>
                      <w:rFonts w:hint="eastAsia"/>
                    </w:rPr>
                    <w:t>23</w:t>
                  </w:r>
                </w:p>
              </w:tc>
              <w:tc>
                <w:tcPr>
                  <w:tcW w:w="1593" w:type="dxa"/>
                </w:tcPr>
                <w:p>
                  <w:pPr>
                    <w:pStyle w:val="63"/>
                  </w:pPr>
                  <w:r>
                    <w:rPr>
                      <w:rFonts w:hint="eastAsia"/>
                    </w:rPr>
                    <w:t>3.77%</w:t>
                  </w:r>
                </w:p>
              </w:tc>
              <w:tc>
                <w:tcPr>
                  <w:tcW w:w="1593" w:type="dxa"/>
                </w:tcPr>
                <w:p>
                  <w:pPr>
                    <w:pStyle w:val="63"/>
                  </w:pPr>
                  <w:r>
                    <w:rPr>
                      <w:rFonts w:hint="eastAsia"/>
                    </w:rPr>
                    <w:t>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1592" w:type="dxa"/>
                </w:tcPr>
                <w:p>
                  <w:pPr>
                    <w:pStyle w:val="63"/>
                  </w:pPr>
                  <w:r>
                    <w:rPr>
                      <w:rFonts w:hint="eastAsia"/>
                    </w:rPr>
                    <w:t>总计</w:t>
                  </w:r>
                </w:p>
              </w:tc>
              <w:tc>
                <w:tcPr>
                  <w:tcW w:w="1593" w:type="dxa"/>
                </w:tcPr>
                <w:p>
                  <w:pPr>
                    <w:pStyle w:val="63"/>
                  </w:pPr>
                  <w:r>
                    <w:rPr>
                      <w:rFonts w:hint="eastAsia"/>
                    </w:rPr>
                    <w:t>53</w:t>
                  </w:r>
                </w:p>
              </w:tc>
              <w:tc>
                <w:tcPr>
                  <w:tcW w:w="1593" w:type="dxa"/>
                </w:tcPr>
                <w:p>
                  <w:pPr>
                    <w:pStyle w:val="63"/>
                  </w:pPr>
                  <w:r>
                    <w:rPr>
                      <w:rFonts w:hint="eastAsia"/>
                    </w:rPr>
                    <w:t>1068</w:t>
                  </w:r>
                </w:p>
              </w:tc>
              <w:tc>
                <w:tcPr>
                  <w:tcW w:w="1593" w:type="dxa"/>
                </w:tcPr>
                <w:p>
                  <w:pPr>
                    <w:pStyle w:val="63"/>
                  </w:pPr>
                  <w:r>
                    <w:rPr>
                      <w:rFonts w:hint="eastAsia"/>
                    </w:rPr>
                    <w:t>100.00%</w:t>
                  </w:r>
                </w:p>
              </w:tc>
              <w:tc>
                <w:tcPr>
                  <w:tcW w:w="1593" w:type="dxa"/>
                </w:tcPr>
                <w:p>
                  <w:pPr>
                    <w:pStyle w:val="63"/>
                  </w:pPr>
                  <w:r>
                    <w:rPr>
                      <w:rFonts w:hint="eastAsia"/>
                    </w:rPr>
                    <w:t>100.00%</w:t>
                  </w:r>
                </w:p>
              </w:tc>
            </w:tr>
          </w:tbl>
          <w:p/>
          <w:p>
            <w:pPr>
              <w:pStyle w:val="5"/>
              <w:ind w:firstLine="482"/>
              <w:rPr>
                <w:b/>
                <w:bCs/>
              </w:rPr>
            </w:pPr>
            <w:r>
              <w:rPr>
                <w:rFonts w:hint="eastAsia"/>
                <w:b/>
                <w:bCs/>
              </w:rPr>
              <w:t>四、</w:t>
            </w:r>
            <w:r>
              <w:rPr>
                <w:b/>
                <w:bCs/>
              </w:rPr>
              <w:t>食性类型</w:t>
            </w:r>
          </w:p>
          <w:p>
            <w:pPr>
              <w:pStyle w:val="5"/>
              <w:ind w:firstLine="480"/>
            </w:pPr>
            <w:r>
              <w:rPr>
                <w:rFonts w:hint="eastAsia"/>
              </w:rPr>
              <w:t>朱衣河</w:t>
            </w:r>
            <w:r>
              <w:t>鱼类的食性类型共有5种。</w:t>
            </w:r>
          </w:p>
          <w:p>
            <w:pPr>
              <w:pStyle w:val="5"/>
              <w:ind w:firstLine="480"/>
            </w:pPr>
            <w:r>
              <w:t>杂食性鱼类：鲤、鲫、泥鳅</w:t>
            </w:r>
            <w:r>
              <w:rPr>
                <w:rFonts w:hint="eastAsia"/>
              </w:rPr>
              <w:t>等</w:t>
            </w:r>
            <w:r>
              <w:t>鱼类及众多小型鱼类等。是</w:t>
            </w:r>
            <w:r>
              <w:rPr>
                <w:rFonts w:hint="eastAsia"/>
              </w:rPr>
              <w:t>朱衣河</w:t>
            </w:r>
            <w:r>
              <w:t>重要构成成分。</w:t>
            </w:r>
          </w:p>
          <w:p>
            <w:pPr>
              <w:pStyle w:val="5"/>
              <w:ind w:firstLine="480"/>
            </w:pPr>
            <w:r>
              <w:t>滤食性鱼类：鲢、鳙，其种类虽少，但资源量</w:t>
            </w:r>
            <w:r>
              <w:rPr>
                <w:rFonts w:hint="eastAsia"/>
              </w:rPr>
              <w:t>较</w:t>
            </w:r>
            <w:r>
              <w:t>大。另外</w:t>
            </w:r>
            <w:r>
              <w:rPr>
                <w:rFonts w:hint="eastAsia"/>
              </w:rPr>
              <w:t>还</w:t>
            </w:r>
            <w:r>
              <w:t>有许多非滤食性但以浮游动物为食的小型鱼类。</w:t>
            </w:r>
          </w:p>
          <w:p>
            <w:pPr>
              <w:pStyle w:val="5"/>
              <w:ind w:firstLine="480"/>
            </w:pPr>
            <w:r>
              <w:t>植食性鱼类：草</w:t>
            </w:r>
            <w:r>
              <w:rPr>
                <w:rFonts w:hint="eastAsia"/>
              </w:rPr>
              <w:t>鱼</w:t>
            </w:r>
            <w:r>
              <w:t>、中华倒刺鲃等，种类及资源量均不大。这与</w:t>
            </w:r>
            <w:r>
              <w:rPr>
                <w:rFonts w:hint="eastAsia"/>
              </w:rPr>
              <w:t>朱衣河</w:t>
            </w:r>
            <w:r>
              <w:t>水生植物数量较少相关。</w:t>
            </w:r>
          </w:p>
          <w:p>
            <w:pPr>
              <w:pStyle w:val="5"/>
              <w:ind w:firstLine="480"/>
            </w:pPr>
            <w:r>
              <w:t>捕食性鱼类：包括鲇、鲌等凶猛性鱼类，这一类型自三峡水库蓄水后在</w:t>
            </w:r>
            <w:r>
              <w:rPr>
                <w:rFonts w:hint="eastAsia"/>
              </w:rPr>
              <w:t>朱衣河</w:t>
            </w:r>
            <w:r>
              <w:t>增长最多。</w:t>
            </w:r>
          </w:p>
          <w:p>
            <w:pPr>
              <w:pStyle w:val="5"/>
              <w:ind w:firstLine="482"/>
              <w:rPr>
                <w:b/>
                <w:bCs/>
              </w:rPr>
            </w:pPr>
            <w:r>
              <w:rPr>
                <w:rFonts w:hint="eastAsia"/>
                <w:b/>
                <w:bCs/>
              </w:rPr>
              <w:t>五、珍稀鱼类现状</w:t>
            </w:r>
          </w:p>
          <w:p>
            <w:pPr>
              <w:pStyle w:val="5"/>
              <w:ind w:firstLine="480"/>
            </w:pPr>
            <w:r>
              <w:rPr>
                <w:rFonts w:hint="eastAsia"/>
              </w:rPr>
              <w:t>根据走访朱衣河两岸的垂钓者，朱衣河多年前发现过岩原鲤。根据《国家重点保护野生动物名录》（</w:t>
            </w:r>
            <w:r>
              <w:t>2021年2月1日），岩原鲤为国家二级保护动物。</w:t>
            </w:r>
            <w:r>
              <w:rPr>
                <w:rFonts w:hint="eastAsia"/>
              </w:rPr>
              <w:t>岩原鲤生活于深水中，常在岩石缝隙间巡游觅食。冬天潜入岩穴或深坑。</w:t>
            </w:r>
            <w:r>
              <w:t>2月份始向产卵场游动，2～4月在水质清澄、底质为砾石的急滩处分批产卵。卵粘附在石块上。以底栖动物和水生植物为食，生长缓慢。分布于长江上游干流及支流各水系。近几年对三峡库区腹地进行的资源调查，岩原鲤在库区渔获物中偶有出现，但渔获量极低。走访垂钓者，近几年来朱衣河流域未见有岩原鲤。</w:t>
            </w:r>
          </w:p>
          <w:p>
            <w:pPr>
              <w:pStyle w:val="5"/>
              <w:ind w:firstLine="482"/>
              <w:rPr>
                <w:b/>
                <w:bCs/>
              </w:rPr>
            </w:pPr>
            <w:r>
              <w:rPr>
                <w:rFonts w:hint="eastAsia"/>
                <w:b/>
                <w:bCs/>
              </w:rPr>
              <w:t>六、鱼类重要生境</w:t>
            </w:r>
          </w:p>
          <w:p>
            <w:pPr>
              <w:pStyle w:val="5"/>
              <w:ind w:firstLine="480"/>
            </w:pPr>
            <w:r>
              <w:rPr>
                <w:rFonts w:hint="eastAsia"/>
              </w:rPr>
              <w:t>（</w:t>
            </w:r>
            <w:r>
              <w:t>1）产卵场</w:t>
            </w:r>
          </w:p>
          <w:p>
            <w:pPr>
              <w:pStyle w:val="5"/>
              <w:ind w:firstLine="480"/>
            </w:pPr>
            <w:r>
              <w:rPr>
                <w:rFonts w:hint="eastAsia"/>
              </w:rPr>
              <w:t>在朱衣河的朱衣镇冒峰村存在鱼类“三场”。冒峰村产卵场位于朱衣河下游三峡水库回水区域，坐标</w:t>
            </w:r>
            <w:r>
              <w:t>E:109°24′07.60″ N:31°01′0.38″。产卵场处由于在三峡水库回水区，水面开阔，水流较为平缓，适合鱼类在此产卵，冒峰村产卵场面积约2hm</w:t>
            </w:r>
            <w:r>
              <w:rPr>
                <w:vertAlign w:val="superscript"/>
              </w:rPr>
              <w:t>2</w:t>
            </w:r>
            <w:r>
              <w:t>。据调查访问了解到该场属于产粘性卵的产卵场，产卵种类主要为草鱼、鲤鱼、鲢鱼、翘嘴红鲌等。据访问现场钓鱼群众了解到该产卵场近年来主要鱼类为草鱼、鲤鱼、鲢鱼、翘嘴红鲌。</w:t>
            </w:r>
          </w:p>
          <w:p>
            <w:pPr>
              <w:pStyle w:val="5"/>
              <w:ind w:firstLine="480"/>
            </w:pPr>
            <w:r>
              <w:rPr>
                <w:rFonts w:hint="eastAsia"/>
              </w:rPr>
              <w:t>（</w:t>
            </w:r>
            <w:r>
              <w:t>2）索饵场</w:t>
            </w:r>
          </w:p>
          <w:p>
            <w:pPr>
              <w:pStyle w:val="5"/>
              <w:ind w:firstLine="480"/>
            </w:pPr>
            <w:r>
              <w:rPr>
                <w:rFonts w:hint="eastAsia"/>
              </w:rPr>
              <w:t>鱼类索饵场一般在食物比较丰富的地方，如支流和干流的交汇口，支流与干流汇合处河面宽阔，由于常年的流水冲击，带来支流上游丰富的饵料，因此汇口处一般都为重要的索饵场。同时水质条件较好的支流还会吸引多种经济鱼类的幼鱼，沿支流溯流而上觅食，一般依据支流的水流及底质条件而相应溯流的距离不等。根据现场调查结果，朱衣河河口区域河段水草丰富，沿岸植被较好，比较适合鱼类进行索饵行为，为典型的鱼类索饵场。</w:t>
            </w:r>
          </w:p>
          <w:p>
            <w:pPr>
              <w:pStyle w:val="5"/>
              <w:ind w:firstLine="480"/>
            </w:pPr>
            <w:r>
              <w:rPr>
                <w:rFonts w:hint="eastAsia"/>
              </w:rPr>
              <w:t>（</w:t>
            </w:r>
            <w:r>
              <w:t>3）越冬场</w:t>
            </w:r>
          </w:p>
          <w:p>
            <w:pPr>
              <w:pStyle w:val="5"/>
              <w:ind w:firstLine="480"/>
            </w:pPr>
            <w:r>
              <w:rPr>
                <w:rFonts w:hint="eastAsia"/>
              </w:rPr>
              <w:t>三峡库区成库后，水位上升，为鱼类进入深水区越冬创造良好的条件，因此，库区内大多数水域均适合鱼类越冬，无需集中的越冬场所。由于冬季三峡库区处于高水位运行，朱衣河河口河段河道平均深度均超过</w:t>
            </w:r>
            <w:r>
              <w:t>10余m。因此从朱衣河冒峰村至河口约的河段为鱼类理想越冬场所。</w:t>
            </w:r>
          </w:p>
          <w:p>
            <w:pPr>
              <w:pStyle w:val="5"/>
              <w:ind w:firstLine="480"/>
            </w:pPr>
            <w:r>
              <w:rPr>
                <w:rFonts w:hint="eastAsia"/>
              </w:rPr>
              <w:t>（</w:t>
            </w:r>
            <w:r>
              <w:t>4）洄游通道</w:t>
            </w:r>
          </w:p>
          <w:p>
            <w:pPr>
              <w:pStyle w:val="5"/>
              <w:ind w:firstLine="480"/>
            </w:pPr>
            <w:r>
              <w:rPr>
                <w:rFonts w:hint="eastAsia"/>
              </w:rPr>
              <w:t>由于朱衣河上、中游河段河道狭窄，并且河道平均深度较浅，不适合鱼类的产卵，上、中游河段无鱼类繁殖洄游通道。在朱衣河河口河段的处冒峰村有一处产卵场，产卵场的鱼类主要为草鱼、鲤鱼、鲢鱼、翘嘴红鲌等，鱼类在繁殖季节进入该产卵场产卵。草鱼、鲤鱼、鲢鱼、翘嘴红鲌等鱼类不具有长距离洄游的习性，鱼类的洄游性不明显。</w:t>
            </w:r>
          </w:p>
          <w:p>
            <w:pPr>
              <w:pStyle w:val="5"/>
              <w:ind w:firstLine="482"/>
              <w:rPr>
                <w:b/>
                <w:bCs/>
              </w:rPr>
            </w:pPr>
            <w:r>
              <w:rPr>
                <w:rFonts w:hint="eastAsia"/>
                <w:b/>
                <w:bCs/>
              </w:rPr>
              <w:t>七、</w:t>
            </w:r>
            <w:r>
              <w:rPr>
                <w:b/>
                <w:bCs/>
              </w:rPr>
              <w:t>鱼类习性</w:t>
            </w:r>
          </w:p>
          <w:p>
            <w:pPr>
              <w:pStyle w:val="5"/>
              <w:ind w:firstLine="480"/>
            </w:pPr>
            <w:r>
              <w:rPr>
                <w:rFonts w:hint="eastAsia"/>
              </w:rPr>
              <w:t>（</w:t>
            </w:r>
            <w:r>
              <w:t>1）产卵场繁殖鱼类习性</w:t>
            </w:r>
          </w:p>
          <w:p>
            <w:pPr>
              <w:pStyle w:val="5"/>
              <w:ind w:firstLine="480"/>
            </w:pPr>
            <w:r>
              <w:rPr>
                <w:rFonts w:hint="eastAsia"/>
              </w:rPr>
              <w:t>朱衣镇冒峰村产卵场产卵鱼类主要为草鱼、鲤鱼、鲢鱼、翘嘴红鲌等。各鱼类的生活习性如下。</w:t>
            </w:r>
          </w:p>
          <w:p>
            <w:pPr>
              <w:pStyle w:val="5"/>
              <w:ind w:firstLine="480"/>
            </w:pPr>
            <w:r>
              <w:rPr>
                <w:rFonts w:hint="eastAsia"/>
              </w:rPr>
              <w:t>①草鱼：草鱼（学名：</w:t>
            </w:r>
            <w:r>
              <w:rPr>
                <w:i/>
                <w:iCs/>
              </w:rPr>
              <w:t>Ctenopharyngodon idellus</w:t>
            </w:r>
            <w:r>
              <w:t>，别名：油鲩），鲤形目鲤科草鱼属动物。草鱼是典型的草食性鱼类，栖息于平原地区的江河湖泊，一般喜居于水的中下层和近岸多水草区域。性活泼，游泳迅速，常成群觅食。草鱼幼鱼期则食幼虫，藻类等，草鱼也吃一些荤食，如蚯蚓，蜻蜓等。在干流或湖泊的深水处越冬。生殖季节亲鱼有溯游习性。草鱼一般4龄性成熟，最早3龄。成熟的雌性个体体重在5千克以上。草鱼的繁殖季节与鲢、鳙鱼基本为同时期，即4～7月份，繁殖期中国南北各地有差异，在长江为4</w:t>
            </w:r>
            <w:r>
              <w:rPr>
                <w:rFonts w:hint="eastAsia"/>
              </w:rPr>
              <w:t>~</w:t>
            </w:r>
            <w:r>
              <w:t>6月。</w:t>
            </w:r>
          </w:p>
          <w:p>
            <w:pPr>
              <w:pStyle w:val="5"/>
              <w:ind w:firstLine="480"/>
            </w:pPr>
            <w:r>
              <w:rPr>
                <w:rFonts w:hint="eastAsia"/>
              </w:rPr>
              <w:t>②鲤鱼：鲤鱼（拉丁学名：</w:t>
            </w:r>
            <w:r>
              <w:rPr>
                <w:i/>
                <w:iCs/>
              </w:rPr>
              <w:t>Cyprinus carpio</w:t>
            </w:r>
            <w:r>
              <w:t>），鲤形目鲤科动物，鲤科鲤属杂食性动物。鲤鱼平时多栖息于江河、湖泊、水库、池沼的水草丛生的水体底层，以食底栖动物为主。其适应性强，耐寒、耐碱、耐缺氧。单独或成小群地生活于平静且水草丛生的泥底的池塘、湖泊、河流中。杂食性，掘寻食物时常把水搅浑，增大混浊度，对很多动植物有不利影响。在流水或静水中均能产卵，产卵场所多在水草丛中，卵粘附于水草上发育。鲤鱼是淡水鱼类中品种最多、分布最广、养殖历史最悠久、产量最高者之一。冬季，鲤进入冬眠状态，沉浮于河底，不吃任何东西</w:t>
            </w:r>
            <w:r>
              <w:rPr>
                <w:rFonts w:hint="eastAsia"/>
              </w:rPr>
              <w:t>。春季产卵，雌鱼常在浅水带的植物或碎石屑上产大量的卵，受精卵在</w:t>
            </w:r>
            <w:r>
              <w:t>3～4天后孵化。鲤鱼生长很快，大约第三年达到性成熟。</w:t>
            </w:r>
          </w:p>
          <w:p>
            <w:pPr>
              <w:pStyle w:val="5"/>
              <w:ind w:firstLine="480"/>
            </w:pPr>
            <w:r>
              <w:rPr>
                <w:rFonts w:hint="eastAsia"/>
              </w:rPr>
              <w:t>③鲢鱼：鲢鱼（学名：</w:t>
            </w:r>
            <w:r>
              <w:rPr>
                <w:i/>
                <w:iCs/>
              </w:rPr>
              <w:t>Hypophthalmichthys molitrix</w:t>
            </w:r>
            <w:r>
              <w:t>），属于鲤形目，鲤科，是著名的四大家鱼之一，属于典型的滤食性鱼类。鲢鱼是典型的滤食性鱼类，在鱼苗阶段主要吃浮游动物，长达1.5厘米以上时逐渐转为吃浮游植物。鲢鱼广泛分布于亚洲东部，在中国各大水系，随处可见，体形侧扁、稍高，呈纺锤形，背部青灰色，两侧及腹部白色，胸鳍不超过腹鳍基部，各鳍色灰白，头较大，眼睛位置很低，鳞片细小。形态和鳙鱼相似，鲢鱼性急躁，善跳跃。鲢鱼生长速度快、产量高。鲢鱼的性成熟年龄较草鱼早1-2年。成熟个体也较小，一般3公斤以上的雌鱼便可达到成熟。5公斤左右的雌鱼相对怀卵量约4-5万粒/公斤体重，产卵期与草鱼相近。每年4~5月产卵，绝对怀卵量20-25万粒。卵漂浮性。产卵期与草鱼相近。</w:t>
            </w:r>
          </w:p>
          <w:p>
            <w:pPr>
              <w:pStyle w:val="5"/>
              <w:ind w:firstLine="480"/>
            </w:pPr>
            <w:r>
              <w:rPr>
                <w:rFonts w:hint="eastAsia"/>
              </w:rPr>
              <w:t>④翘嘴红鲌：翘嘴红鲌（学名：</w:t>
            </w:r>
            <w:r>
              <w:rPr>
                <w:i/>
                <w:iCs/>
              </w:rPr>
              <w:t>Chanodichthys erythropterus</w:t>
            </w:r>
            <w:r>
              <w:t>）是鲤科、鲌属的一种鱼类。红鳍鲌喜栖息于水草繁茂的湖泊中，在河流中通常生活在缓流里。红鳍鲌为凶猛性肉食性鱼类，幼鱼以枝角类、桡足类和水生昆虫为食，成鱼以鱼、虾、螺、昆虫、幼虫和枝角类等为食。3龄性成熟。繁殖季节自小满至小暑（5月下旬至7月上旬），历时约50天。亲鱼大多集中在水草繁茂的敞水区，或沿岸泄水区产卵。卵具粘性，卵粒大，卵径0.7～1.3毫米。产出后便附着在水草上发育，在马来眼子菜、聚草的茎、叶和菱的根须上，粘附的卵尤多</w:t>
            </w:r>
            <w:r>
              <w:rPr>
                <w:rFonts w:hint="eastAsia"/>
              </w:rPr>
              <w:t>。产卵时亲鱼甚活跃，常跃出水面，击水之声可闻。生殖季节雄性头部和胸鳍具白色珠星。</w:t>
            </w:r>
          </w:p>
          <w:p>
            <w:pPr>
              <w:pStyle w:val="5"/>
              <w:ind w:firstLine="480"/>
            </w:pPr>
            <w:r>
              <w:rPr>
                <w:rFonts w:hint="eastAsia"/>
              </w:rPr>
              <w:t>（</w:t>
            </w:r>
            <w:r>
              <w:t>2）珍稀鱼类习性</w:t>
            </w:r>
          </w:p>
          <w:p>
            <w:pPr>
              <w:pStyle w:val="5"/>
              <w:ind w:firstLine="480"/>
            </w:pPr>
            <w:r>
              <w:rPr>
                <w:rFonts w:hint="eastAsia"/>
              </w:rPr>
              <w:t>岩原鲤（学名：</w:t>
            </w:r>
            <w:r>
              <w:rPr>
                <w:i/>
                <w:iCs/>
              </w:rPr>
              <w:t>Procypris rabaudi</w:t>
            </w:r>
            <w:r>
              <w:t>）俗称岩鲤，黑鲤、岩鲤鲃、墨鲤、水子、鬼头鱼。属鲤形目，鲤科，鲤亚科，原鲤属。</w:t>
            </w:r>
          </w:p>
          <w:p>
            <w:pPr>
              <w:pStyle w:val="5"/>
              <w:ind w:firstLine="480"/>
            </w:pPr>
            <w:r>
              <w:rPr>
                <w:rFonts w:hint="eastAsia"/>
              </w:rPr>
              <w:t>岩原鲤体侧扁，呈菱形，背部隆起成弧形，腹部圆。头小，呈圆锥形，吻较尖，吻长小于眼后头长。口亚下位，呈马蹄形；唇厚，唇上有不大明显的乳头状突起，小鱼则完全没有。须</w:t>
            </w:r>
            <w:r>
              <w:t>2对，后对比前对略长，鱼眼径约等长。眼大。侧线平直，侧线鳞43-45个。背、臀鳍刺均特别强壮，后缘有锯齿。背鳍外缘平直，基底长，分枝鳍条为18-21；背、腹鳍起点相对。胸鳍长，末端达腹鳍起点。头部及体背部深黑色或黑紫色，略带蓝紫色光泽，腹部银白。每一鳞片的后部有1黑斑。尾鳍后缘有1黑色的边缘。</w:t>
            </w:r>
          </w:p>
          <w:p>
            <w:pPr>
              <w:pStyle w:val="5"/>
              <w:ind w:firstLine="480"/>
            </w:pPr>
            <w:r>
              <w:rPr>
                <w:rFonts w:hint="eastAsia"/>
              </w:rPr>
              <w:t>岩原鲤分布于长江上游干支流。岩原鲤大多栖息在江河水流较缓、底质多岩石的水体底层，经常出没于岩石之间，冬季在河床的岩穴或深沱中越冬，立春后开始溯水上游到各支流产卵。</w:t>
            </w:r>
          </w:p>
          <w:p>
            <w:pPr>
              <w:pStyle w:val="5"/>
              <w:ind w:firstLine="480"/>
            </w:pPr>
            <w:r>
              <w:rPr>
                <w:rFonts w:hint="eastAsia"/>
              </w:rPr>
              <w:t>岩原鲤产卵期在</w:t>
            </w:r>
            <w:r>
              <w:t>2－4月，产卵盛期在2-3月，据渔民反映，秋季（8-9月）也有产卵的亲鱼活动。产卵场一般分布在支流急滩下，底质为砾石的二流水中。卵淡黄色，卵产出后粘附在石块上发育。生长速度较慢，一般4龄鱼才达0.5公斤左右；10龄鱼的体长为59厘米，体重4公斤；常见个体为0.2-1.0公斤，据记载最大个体可达10.0公斤。虽为杂食性鱼类，但较喜食底栖动物，其主要食物成分为摇蚊幼虫、蜉蝣目和毛翅目幼虫、寡毛类、小螺、蚬、淡水壳菜等软体动物，其次是腐烂的高等植物碎片，偶尔亦有少数浮游动植物。冬季停止摄食，3-4月</w:t>
            </w:r>
            <w:r>
              <w:rPr>
                <w:rFonts w:hint="eastAsia"/>
              </w:rPr>
              <w:t>开始摄食增高，</w:t>
            </w:r>
            <w:r>
              <w:t>7-8月则大量摄食。</w:t>
            </w:r>
          </w:p>
          <w:p>
            <w:pPr>
              <w:pStyle w:val="4"/>
              <w:spacing w:before="120" w:after="120"/>
            </w:pPr>
            <w:r>
              <w:rPr>
                <w:rFonts w:hint="eastAsia"/>
              </w:rPr>
              <w:t>电磁辐射</w:t>
            </w:r>
          </w:p>
          <w:p>
            <w:pPr>
              <w:pStyle w:val="5"/>
              <w:ind w:firstLine="480"/>
            </w:pPr>
            <w:r>
              <w:rPr>
                <w:rFonts w:hint="eastAsia"/>
              </w:rPr>
              <w:t>本项目不属于电磁辐射类项目，所以不开展电磁辐射现状监测与评价。</w:t>
            </w:r>
          </w:p>
          <w:p>
            <w:pPr>
              <w:pStyle w:val="4"/>
              <w:spacing w:before="120" w:after="120"/>
            </w:pPr>
            <w:r>
              <w:rPr>
                <w:rFonts w:hint="eastAsia"/>
              </w:rPr>
              <w:t>地下水和土壤环境</w:t>
            </w:r>
          </w:p>
          <w:p>
            <w:pPr>
              <w:pStyle w:val="5"/>
              <w:ind w:firstLine="480"/>
            </w:pPr>
            <w:r>
              <w:rPr>
                <w:rFonts w:hint="eastAsia"/>
              </w:rPr>
              <w:t>本项目存在土壤、地下水环境污染途径，所以开展现状调查以留作背景值。鉴于本项目区已有地下水监测资料，因此本评价引用集聚区监测报告结果，监测时间</w:t>
            </w:r>
            <w:r>
              <w:t>2024年4月7日至8日</w:t>
            </w:r>
            <w:r>
              <w:rPr>
                <w:rFonts w:hint="eastAsia"/>
              </w:rPr>
              <w:t>，监测地点位于本项目区域，监测时间距较近，监测后至今项目区域情况变化不大，所以引用监测合理。本次评价对项目地土壤进行实测。</w:t>
            </w:r>
          </w:p>
          <w:p>
            <w:pPr>
              <w:pStyle w:val="5"/>
              <w:ind w:firstLine="480"/>
            </w:pPr>
            <w:r>
              <w:rPr>
                <w:rFonts w:hint="eastAsia"/>
              </w:rPr>
              <w:t>地下水和土壤质量引用监测情况见</w:t>
            </w:r>
            <w:r>
              <w:fldChar w:fldCharType="begin"/>
            </w:r>
            <w:r>
              <w:instrText xml:space="preserve"> </w:instrText>
            </w:r>
            <w:r>
              <w:rPr>
                <w:rFonts w:hint="eastAsia"/>
              </w:rPr>
              <w:instrText xml:space="preserve">REF _Ref173525699 \h</w:instrText>
            </w:r>
            <w:r>
              <w:instrText xml:space="preserve"> </w:instrText>
            </w:r>
            <w:r>
              <w:fldChar w:fldCharType="separate"/>
            </w:r>
            <w:r>
              <w:rPr>
                <w:rFonts w:hint="eastAsia"/>
              </w:rPr>
              <w:t xml:space="preserve">表 </w:t>
            </w:r>
            <w:r>
              <w:t>3.1</w:t>
            </w:r>
            <w:r>
              <w:noBreakHyphen/>
            </w:r>
            <w:r>
              <w:t>11</w:t>
            </w:r>
            <w:r>
              <w:fldChar w:fldCharType="end"/>
            </w:r>
            <w:r>
              <w:rPr>
                <w:rFonts w:hint="eastAsia"/>
              </w:rPr>
              <w:t>。</w:t>
            </w:r>
          </w:p>
          <w:p>
            <w:pPr>
              <w:pStyle w:val="14"/>
              <w:keepNext/>
            </w:pPr>
            <w:bookmarkStart w:id="43" w:name="_Ref173525699"/>
            <w:bookmarkStart w:id="44" w:name="_Ref173525689"/>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11</w:t>
            </w:r>
            <w:r>
              <w:fldChar w:fldCharType="end"/>
            </w:r>
            <w:bookmarkEnd w:id="43"/>
            <w:r>
              <w:rPr>
                <w:rFonts w:hint="eastAsia"/>
              </w:rPr>
              <w:t xml:space="preserve">   地下水和土壤质量引用监测</w:t>
            </w:r>
            <w:bookmarkEnd w:id="44"/>
          </w:p>
          <w:tbl>
            <w:tblPr>
              <w:tblStyle w:val="3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078"/>
              <w:gridCol w:w="3980"/>
              <w:gridCol w:w="693"/>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9" w:type="dxa"/>
                  <w:vAlign w:val="center"/>
                </w:tcPr>
                <w:p>
                  <w:pPr>
                    <w:pStyle w:val="63"/>
                  </w:pPr>
                  <w:r>
                    <w:rPr>
                      <w:rFonts w:hint="eastAsia"/>
                    </w:rPr>
                    <w:t>类别</w:t>
                  </w:r>
                </w:p>
              </w:tc>
              <w:tc>
                <w:tcPr>
                  <w:tcW w:w="1078" w:type="dxa"/>
                  <w:vAlign w:val="center"/>
                </w:tcPr>
                <w:p>
                  <w:pPr>
                    <w:pStyle w:val="63"/>
                  </w:pPr>
                  <w:r>
                    <w:rPr>
                      <w:rFonts w:hint="eastAsia"/>
                    </w:rPr>
                    <w:t>监测点</w:t>
                  </w:r>
                </w:p>
                <w:p>
                  <w:pPr>
                    <w:pStyle w:val="63"/>
                  </w:pPr>
                  <w:r>
                    <w:rPr>
                      <w:rFonts w:hint="eastAsia"/>
                    </w:rPr>
                    <w:t>位置</w:t>
                  </w:r>
                </w:p>
              </w:tc>
              <w:tc>
                <w:tcPr>
                  <w:tcW w:w="3980" w:type="dxa"/>
                  <w:vAlign w:val="center"/>
                </w:tcPr>
                <w:p>
                  <w:pPr>
                    <w:pStyle w:val="63"/>
                  </w:pPr>
                  <w:r>
                    <w:rPr>
                      <w:rFonts w:hint="eastAsia"/>
                    </w:rPr>
                    <w:t>检测因子</w:t>
                  </w:r>
                </w:p>
              </w:tc>
              <w:tc>
                <w:tcPr>
                  <w:tcW w:w="693" w:type="dxa"/>
                  <w:vAlign w:val="center"/>
                </w:tcPr>
                <w:p>
                  <w:pPr>
                    <w:pStyle w:val="63"/>
                  </w:pPr>
                  <w:r>
                    <w:rPr>
                      <w:rFonts w:hint="eastAsia"/>
                    </w:rPr>
                    <w:t>备注</w:t>
                  </w:r>
                </w:p>
              </w:tc>
              <w:tc>
                <w:tcPr>
                  <w:tcW w:w="1244" w:type="dxa"/>
                  <w:vAlign w:val="center"/>
                </w:tcPr>
                <w:p>
                  <w:pPr>
                    <w:pStyle w:val="63"/>
                  </w:pPr>
                  <w:r>
                    <w:rPr>
                      <w:rFonts w:hint="eastAsia"/>
                    </w:rPr>
                    <w:t>对应监测报告编号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9" w:type="dxa"/>
                  <w:vAlign w:val="center"/>
                </w:tcPr>
                <w:p>
                  <w:pPr>
                    <w:pStyle w:val="63"/>
                  </w:pPr>
                  <w:r>
                    <w:rPr>
                      <w:rFonts w:hint="eastAsia"/>
                    </w:rPr>
                    <w:t>地下水</w:t>
                  </w:r>
                </w:p>
              </w:tc>
              <w:tc>
                <w:tcPr>
                  <w:tcW w:w="1078" w:type="dxa"/>
                  <w:vAlign w:val="center"/>
                </w:tcPr>
                <w:p>
                  <w:pPr>
                    <w:pStyle w:val="63"/>
                  </w:pPr>
                  <w:r>
                    <w:rPr>
                      <w:rFonts w:hint="eastAsia"/>
                    </w:rPr>
                    <w:t>本项目</w:t>
                  </w:r>
                </w:p>
                <w:p>
                  <w:pPr>
                    <w:pStyle w:val="63"/>
                  </w:pPr>
                  <w:r>
                    <w:rPr>
                      <w:rFonts w:hint="eastAsia"/>
                    </w:rPr>
                    <w:t>场地</w:t>
                  </w:r>
                </w:p>
              </w:tc>
              <w:tc>
                <w:tcPr>
                  <w:tcW w:w="3980" w:type="dxa"/>
                  <w:vAlign w:val="center"/>
                </w:tcPr>
                <w:p>
                  <w:pPr>
                    <w:pStyle w:val="63"/>
                  </w:pPr>
                  <w:r>
                    <w:rPr>
                      <w:rFonts w:hint="eastAsia"/>
                      <w:spacing w:val="-10"/>
                    </w:rPr>
                    <w:t>K</w:t>
                  </w:r>
                  <w:r>
                    <w:rPr>
                      <w:rFonts w:hint="eastAsia"/>
                      <w:spacing w:val="-10"/>
                      <w:vertAlign w:val="superscript"/>
                    </w:rPr>
                    <w:t>+</w:t>
                  </w:r>
                  <w:r>
                    <w:rPr>
                      <w:rFonts w:hint="eastAsia"/>
                      <w:spacing w:val="-10"/>
                    </w:rPr>
                    <w:t>、Na</w:t>
                  </w:r>
                  <w:r>
                    <w:rPr>
                      <w:rFonts w:hint="eastAsia"/>
                      <w:spacing w:val="-10"/>
                      <w:vertAlign w:val="superscript"/>
                    </w:rPr>
                    <w:t>+</w:t>
                  </w:r>
                  <w:r>
                    <w:rPr>
                      <w:rFonts w:hint="eastAsia"/>
                      <w:spacing w:val="-10"/>
                    </w:rPr>
                    <w:t>、Ca</w:t>
                  </w:r>
                  <w:r>
                    <w:rPr>
                      <w:rFonts w:hint="eastAsia"/>
                      <w:spacing w:val="-10"/>
                      <w:vertAlign w:val="superscript"/>
                    </w:rPr>
                    <w:t>2+</w:t>
                  </w:r>
                  <w:r>
                    <w:rPr>
                      <w:rFonts w:hint="eastAsia"/>
                      <w:spacing w:val="-10"/>
                    </w:rPr>
                    <w:t>、Mg</w:t>
                  </w:r>
                  <w:r>
                    <w:rPr>
                      <w:rFonts w:hint="eastAsia"/>
                      <w:spacing w:val="-10"/>
                      <w:vertAlign w:val="superscript"/>
                    </w:rPr>
                    <w:t>2+</w:t>
                  </w:r>
                  <w:r>
                    <w:rPr>
                      <w:rFonts w:hint="eastAsia"/>
                      <w:spacing w:val="-10"/>
                    </w:rPr>
                    <w:t>、CO</w:t>
                  </w:r>
                  <w:r>
                    <w:rPr>
                      <w:rFonts w:hint="eastAsia"/>
                      <w:spacing w:val="-10"/>
                      <w:vertAlign w:val="subscript"/>
                    </w:rPr>
                    <w:t>3</w:t>
                  </w:r>
                  <w:r>
                    <w:rPr>
                      <w:rFonts w:hint="eastAsia"/>
                      <w:spacing w:val="-10"/>
                      <w:vertAlign w:val="superscript"/>
                    </w:rPr>
                    <w:t>2-</w:t>
                  </w:r>
                  <w:r>
                    <w:rPr>
                      <w:rFonts w:hint="eastAsia"/>
                      <w:spacing w:val="-10"/>
                    </w:rPr>
                    <w:t>、HCO</w:t>
                  </w:r>
                  <w:r>
                    <w:rPr>
                      <w:rFonts w:hint="eastAsia"/>
                      <w:spacing w:val="-10"/>
                      <w:vertAlign w:val="subscript"/>
                    </w:rPr>
                    <w:t>3</w:t>
                  </w:r>
                  <w:r>
                    <w:rPr>
                      <w:rFonts w:hint="eastAsia"/>
                      <w:spacing w:val="-10"/>
                      <w:vertAlign w:val="superscript"/>
                    </w:rPr>
                    <w:t>-</w:t>
                  </w:r>
                  <w:r>
                    <w:rPr>
                      <w:rFonts w:hint="eastAsia"/>
                      <w:spacing w:val="-10"/>
                    </w:rPr>
                    <w:t>、Cl</w:t>
                  </w:r>
                  <w:r>
                    <w:rPr>
                      <w:rFonts w:hint="eastAsia"/>
                      <w:spacing w:val="-10"/>
                      <w:vertAlign w:val="superscript"/>
                    </w:rPr>
                    <w:t>-</w:t>
                  </w:r>
                  <w:r>
                    <w:rPr>
                      <w:rFonts w:hint="eastAsia"/>
                      <w:spacing w:val="-10"/>
                    </w:rPr>
                    <w:t>、SO</w:t>
                  </w:r>
                  <w:r>
                    <w:rPr>
                      <w:rFonts w:hint="eastAsia"/>
                      <w:spacing w:val="-10"/>
                      <w:vertAlign w:val="subscript"/>
                    </w:rPr>
                    <w:t>4</w:t>
                  </w:r>
                  <w:r>
                    <w:rPr>
                      <w:rFonts w:hint="eastAsia"/>
                      <w:spacing w:val="-10"/>
                      <w:vertAlign w:val="superscript"/>
                    </w:rPr>
                    <w:t>2-</w:t>
                  </w:r>
                  <w:r>
                    <w:rPr>
                      <w:rFonts w:hint="eastAsia"/>
                      <w:spacing w:val="-10"/>
                    </w:rPr>
                    <w:t>、色、浑浊度、pH、总硬度、溶解性总固体、硫酸盐、氯化物、铁、锰、铜、锌、铝、挥发性酚类、阴离子表面活性剂、耗氧量、氨氮、硫化物、总大肠菌群、菌落总数、亚硝酸盐、硝酸盐、氰化物、氟化物、汞、砷、硒、镉、六价铬、铅</w:t>
                  </w:r>
                </w:p>
              </w:tc>
              <w:tc>
                <w:tcPr>
                  <w:tcW w:w="693" w:type="dxa"/>
                  <w:vAlign w:val="center"/>
                </w:tcPr>
                <w:p>
                  <w:pPr>
                    <w:pStyle w:val="63"/>
                  </w:pPr>
                  <w:r>
                    <w:rPr>
                      <w:rFonts w:hint="eastAsia"/>
                    </w:rPr>
                    <w:t>引用</w:t>
                  </w:r>
                </w:p>
                <w:p>
                  <w:pPr>
                    <w:pStyle w:val="63"/>
                  </w:pPr>
                  <w:r>
                    <w:rPr>
                      <w:rFonts w:hint="eastAsia"/>
                    </w:rPr>
                    <w:t>监测</w:t>
                  </w:r>
                </w:p>
              </w:tc>
              <w:tc>
                <w:tcPr>
                  <w:tcW w:w="1244" w:type="dxa"/>
                  <w:vAlign w:val="center"/>
                </w:tcPr>
                <w:p>
                  <w:pPr>
                    <w:pStyle w:val="63"/>
                  </w:pPr>
                  <w:r>
                    <w:rPr>
                      <w:rFonts w:hint="eastAsia"/>
                    </w:rPr>
                    <w:t>F6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9" w:type="dxa"/>
                  <w:vAlign w:val="center"/>
                </w:tcPr>
                <w:p>
                  <w:pPr>
                    <w:pStyle w:val="63"/>
                  </w:pPr>
                  <w:r>
                    <w:rPr>
                      <w:rFonts w:hint="eastAsia"/>
                    </w:rPr>
                    <w:t>土壤</w:t>
                  </w:r>
                </w:p>
              </w:tc>
              <w:tc>
                <w:tcPr>
                  <w:tcW w:w="1078" w:type="dxa"/>
                  <w:vAlign w:val="center"/>
                </w:tcPr>
                <w:p>
                  <w:pPr>
                    <w:pStyle w:val="63"/>
                  </w:pPr>
                  <w:r>
                    <w:rPr>
                      <w:rFonts w:hint="eastAsia"/>
                    </w:rPr>
                    <w:t>本项目</w:t>
                  </w:r>
                </w:p>
                <w:p>
                  <w:pPr>
                    <w:pStyle w:val="63"/>
                  </w:pPr>
                  <w:r>
                    <w:rPr>
                      <w:rFonts w:hint="eastAsia"/>
                    </w:rPr>
                    <w:t>场地</w:t>
                  </w:r>
                </w:p>
              </w:tc>
              <w:tc>
                <w:tcPr>
                  <w:tcW w:w="3980" w:type="dxa"/>
                  <w:vAlign w:val="center"/>
                </w:tcPr>
                <w:p>
                  <w:pPr>
                    <w:pStyle w:val="63"/>
                    <w:rPr>
                      <w:spacing w:val="-10"/>
                    </w:rPr>
                  </w:pPr>
                  <w:r>
                    <w:rPr>
                      <w:rFonts w:hint="eastAsia"/>
                      <w:spacing w:val="-10"/>
                    </w:rPr>
                    <w:t>《土壤环境质量 建设用地土壤污染风险管控标准（试行）》（GB 36600-2018）45 项基本项目和</w:t>
                  </w:r>
                  <w:r>
                    <w:rPr>
                      <w:rFonts w:hint="eastAsia"/>
                    </w:rPr>
                    <w:t>石油烃（C</w:t>
                  </w:r>
                  <w:r>
                    <w:rPr>
                      <w:rFonts w:hint="eastAsia"/>
                      <w:vertAlign w:val="subscript"/>
                    </w:rPr>
                    <w:t>10</w:t>
                  </w:r>
                  <w:r>
                    <w:rPr>
                      <w:rFonts w:hint="eastAsia"/>
                    </w:rPr>
                    <w:t>~C</w:t>
                  </w:r>
                  <w:r>
                    <w:rPr>
                      <w:rFonts w:hint="eastAsia"/>
                      <w:vertAlign w:val="subscript"/>
                    </w:rPr>
                    <w:t>40</w:t>
                  </w:r>
                  <w:r>
                    <w:rPr>
                      <w:rFonts w:hint="eastAsia"/>
                    </w:rPr>
                    <w:t>）</w:t>
                  </w:r>
                </w:p>
              </w:tc>
              <w:tc>
                <w:tcPr>
                  <w:tcW w:w="693" w:type="dxa"/>
                  <w:vAlign w:val="center"/>
                </w:tcPr>
                <w:p>
                  <w:pPr>
                    <w:pStyle w:val="63"/>
                  </w:pPr>
                  <w:r>
                    <w:rPr>
                      <w:rFonts w:hint="eastAsia"/>
                    </w:rPr>
                    <w:t>补充</w:t>
                  </w:r>
                </w:p>
                <w:p>
                  <w:pPr>
                    <w:pStyle w:val="63"/>
                  </w:pPr>
                  <w:r>
                    <w:rPr>
                      <w:rFonts w:hint="eastAsia"/>
                    </w:rPr>
                    <w:t>监测</w:t>
                  </w:r>
                </w:p>
              </w:tc>
              <w:tc>
                <w:tcPr>
                  <w:tcW w:w="1244" w:type="dxa"/>
                  <w:vAlign w:val="center"/>
                </w:tcPr>
                <w:p>
                  <w:pPr>
                    <w:pStyle w:val="63"/>
                  </w:pPr>
                  <w:r>
                    <w:rPr>
                      <w:rFonts w:hint="eastAsia"/>
                    </w:rPr>
                    <w:t>G1</w:t>
                  </w:r>
                </w:p>
              </w:tc>
            </w:tr>
          </w:tbl>
          <w:p/>
          <w:p>
            <w:pPr>
              <w:pStyle w:val="5"/>
              <w:ind w:firstLine="480"/>
            </w:pPr>
            <w:r>
              <w:rPr>
                <w:rFonts w:hint="eastAsia"/>
              </w:rPr>
              <w:t>按照地下水环境质量Ⅲ类标准，采用单项污染指数法对地下水环境质量进行现状评价。评价区地下水监测八大离子浓度见</w:t>
            </w:r>
            <w:r>
              <w:fldChar w:fldCharType="begin"/>
            </w:r>
            <w:r>
              <w:instrText xml:space="preserve"> </w:instrText>
            </w:r>
            <w:r>
              <w:rPr>
                <w:rFonts w:hint="eastAsia"/>
              </w:rPr>
              <w:instrText xml:space="preserve">REF _Ref31721518 \h</w:instrText>
            </w:r>
            <w:r>
              <w:instrText xml:space="preserve">  \* MERGEFORMAT </w:instrText>
            </w:r>
            <w:r>
              <w:fldChar w:fldCharType="separate"/>
            </w:r>
            <w:r>
              <w:rPr>
                <w:rFonts w:hint="eastAsia"/>
              </w:rPr>
              <w:t xml:space="preserve">表 </w:t>
            </w:r>
            <w:r>
              <w:t>3.1</w:t>
            </w:r>
            <w:r>
              <w:noBreakHyphen/>
            </w:r>
            <w:r>
              <w:t>12</w:t>
            </w:r>
            <w:r>
              <w:fldChar w:fldCharType="end"/>
            </w:r>
            <w:r>
              <w:rPr>
                <w:rFonts w:hint="eastAsia"/>
              </w:rPr>
              <w:t>，根据相对误差E计算，地下水监测点的误差在</w:t>
            </w:r>
            <m:oMath>
              <m:r>
                <m:rPr>
                  <m:sty m:val="p"/>
                </m:rPr>
                <w:rPr>
                  <w:rFonts w:ascii="Cambria Math" w:hAnsi="Cambria Math"/>
                </w:rPr>
                <m:t>±10%</m:t>
              </m:r>
              <m:r>
                <m:rPr>
                  <m:sty m:val="p"/>
                </m:rPr>
                <w:rPr>
                  <w:rFonts w:hint="eastAsia" w:ascii="Cambria Math" w:hAnsi="Cambria Math"/>
                </w:rPr>
                <m:t>以内</m:t>
              </m:r>
            </m:oMath>
            <w:r>
              <w:rPr>
                <w:rFonts w:hint="eastAsia"/>
              </w:rPr>
              <w:t>，所以监测数据有效。地下水现状监测结果见</w:t>
            </w:r>
            <w:r>
              <w:fldChar w:fldCharType="begin"/>
            </w:r>
            <w:r>
              <w:instrText xml:space="preserve"> </w:instrText>
            </w:r>
            <w:r>
              <w:rPr>
                <w:rFonts w:hint="eastAsia"/>
              </w:rPr>
              <w:instrText xml:space="preserve">REF _Ref173526198 \h</w:instrText>
            </w:r>
            <w:r>
              <w:instrText xml:space="preserve"> </w:instrText>
            </w:r>
            <w:r>
              <w:fldChar w:fldCharType="separate"/>
            </w:r>
            <w:r>
              <w:rPr>
                <w:rFonts w:hint="eastAsia"/>
              </w:rPr>
              <w:t xml:space="preserve">表 </w:t>
            </w:r>
            <w:r>
              <w:t>3.1</w:t>
            </w:r>
            <w:r>
              <w:noBreakHyphen/>
            </w:r>
            <w:r>
              <w:t>13</w:t>
            </w:r>
            <w:r>
              <w:fldChar w:fldCharType="end"/>
            </w:r>
            <w:r>
              <w:rPr>
                <w:rFonts w:hint="eastAsia"/>
              </w:rPr>
              <w:t>，根据下表，项目区域地下水水质满足</w:t>
            </w:r>
            <w:r>
              <w:t>《地下水质量标准》</w:t>
            </w:r>
            <w:r>
              <w:rPr>
                <w:rFonts w:hint="eastAsia"/>
              </w:rPr>
              <w:t>（</w:t>
            </w:r>
            <w:r>
              <w:t>GB/T 14848-</w:t>
            </w:r>
            <w:r>
              <w:rPr>
                <w:rFonts w:hint="eastAsia"/>
              </w:rPr>
              <w:t>2017）</w:t>
            </w:r>
            <w:r>
              <w:t>中</w:t>
            </w:r>
            <w:r>
              <w:rPr>
                <w:rFonts w:hint="eastAsia"/>
              </w:rPr>
              <w:t>I</w:t>
            </w:r>
            <w:r>
              <w:t>II类水质标准</w:t>
            </w:r>
            <w:r>
              <w:rPr>
                <w:rFonts w:hint="eastAsia"/>
              </w:rPr>
              <w:t>。</w:t>
            </w:r>
          </w:p>
          <w:p>
            <w:pPr>
              <w:pStyle w:val="14"/>
              <w:keepNext/>
            </w:pPr>
            <w:bookmarkStart w:id="45" w:name="_Ref31721518"/>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12</w:t>
            </w:r>
            <w:r>
              <w:fldChar w:fldCharType="end"/>
            </w:r>
            <w:bookmarkEnd w:id="45"/>
            <w:r>
              <w:rPr>
                <w:rFonts w:hint="eastAsia"/>
              </w:rPr>
              <w:t xml:space="preserve">   地下水八大离子检测统计表  mg/L</w:t>
            </w:r>
          </w:p>
          <w:tbl>
            <w:tblPr>
              <w:tblStyle w:val="38"/>
              <w:tblW w:w="79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719"/>
              <w:gridCol w:w="719"/>
              <w:gridCol w:w="718"/>
              <w:gridCol w:w="771"/>
              <w:gridCol w:w="691"/>
              <w:gridCol w:w="816"/>
              <w:gridCol w:w="911"/>
              <w:gridCol w:w="1000"/>
              <w:gridCol w:w="9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716" w:type="dxa"/>
                  <w:shd w:val="clear" w:color="auto" w:fill="auto"/>
                  <w:vAlign w:val="center"/>
                </w:tcPr>
                <w:p>
                  <w:pPr>
                    <w:pStyle w:val="63"/>
                  </w:pPr>
                  <w:r>
                    <w:rPr>
                      <w:rFonts w:hint="eastAsia"/>
                    </w:rPr>
                    <w:t>编号</w:t>
                  </w:r>
                </w:p>
              </w:tc>
              <w:tc>
                <w:tcPr>
                  <w:tcW w:w="719" w:type="dxa"/>
                  <w:shd w:val="clear" w:color="auto" w:fill="auto"/>
                  <w:vAlign w:val="center"/>
                </w:tcPr>
                <w:p>
                  <w:pPr>
                    <w:pStyle w:val="63"/>
                    <w:rPr>
                      <w:sz w:val="24"/>
                      <w:szCs w:val="24"/>
                    </w:rPr>
                  </w:pPr>
                  <w:r>
                    <w:t>K</w:t>
                  </w:r>
                  <w:r>
                    <w:rPr>
                      <w:vertAlign w:val="superscript"/>
                    </w:rPr>
                    <w:t>+</w:t>
                  </w:r>
                </w:p>
              </w:tc>
              <w:tc>
                <w:tcPr>
                  <w:tcW w:w="719" w:type="dxa"/>
                  <w:shd w:val="clear" w:color="auto" w:fill="auto"/>
                  <w:vAlign w:val="center"/>
                </w:tcPr>
                <w:p>
                  <w:pPr>
                    <w:pStyle w:val="63"/>
                  </w:pPr>
                  <w:r>
                    <w:t>Ca</w:t>
                  </w:r>
                  <w:r>
                    <w:rPr>
                      <w:vertAlign w:val="superscript"/>
                    </w:rPr>
                    <w:t>2+</w:t>
                  </w:r>
                </w:p>
              </w:tc>
              <w:tc>
                <w:tcPr>
                  <w:tcW w:w="718" w:type="dxa"/>
                  <w:shd w:val="clear" w:color="auto" w:fill="auto"/>
                  <w:vAlign w:val="center"/>
                </w:tcPr>
                <w:p>
                  <w:pPr>
                    <w:pStyle w:val="63"/>
                  </w:pPr>
                  <w:r>
                    <w:t>Na</w:t>
                  </w:r>
                  <w:r>
                    <w:rPr>
                      <w:vertAlign w:val="superscript"/>
                    </w:rPr>
                    <w:t>+</w:t>
                  </w:r>
                </w:p>
              </w:tc>
              <w:tc>
                <w:tcPr>
                  <w:tcW w:w="771" w:type="dxa"/>
                  <w:shd w:val="clear" w:color="auto" w:fill="auto"/>
                  <w:vAlign w:val="center"/>
                </w:tcPr>
                <w:p>
                  <w:pPr>
                    <w:pStyle w:val="63"/>
                  </w:pPr>
                  <w:r>
                    <w:t>Mg</w:t>
                  </w:r>
                  <w:r>
                    <w:rPr>
                      <w:vertAlign w:val="superscript"/>
                    </w:rPr>
                    <w:t>2+</w:t>
                  </w:r>
                </w:p>
              </w:tc>
              <w:tc>
                <w:tcPr>
                  <w:tcW w:w="691" w:type="dxa"/>
                  <w:shd w:val="clear" w:color="auto" w:fill="auto"/>
                  <w:vAlign w:val="center"/>
                </w:tcPr>
                <w:p>
                  <w:pPr>
                    <w:pStyle w:val="63"/>
                  </w:pPr>
                  <w:r>
                    <w:t>Cl</w:t>
                  </w:r>
                  <w:r>
                    <w:rPr>
                      <w:vertAlign w:val="superscript"/>
                    </w:rPr>
                    <w:t>-</w:t>
                  </w:r>
                </w:p>
              </w:tc>
              <w:tc>
                <w:tcPr>
                  <w:tcW w:w="816" w:type="dxa"/>
                  <w:shd w:val="clear" w:color="auto" w:fill="auto"/>
                  <w:vAlign w:val="center"/>
                </w:tcPr>
                <w:p>
                  <w:pPr>
                    <w:pStyle w:val="63"/>
                  </w:pPr>
                  <w:r>
                    <w:t>CO</w:t>
                  </w:r>
                  <w:r>
                    <w:rPr>
                      <w:vertAlign w:val="subscript"/>
                    </w:rPr>
                    <w:t>3</w:t>
                  </w:r>
                  <w:r>
                    <w:rPr>
                      <w:vertAlign w:val="superscript"/>
                    </w:rPr>
                    <w:t>2-</w:t>
                  </w:r>
                </w:p>
              </w:tc>
              <w:tc>
                <w:tcPr>
                  <w:tcW w:w="911" w:type="dxa"/>
                  <w:shd w:val="clear" w:color="auto" w:fill="auto"/>
                  <w:vAlign w:val="center"/>
                </w:tcPr>
                <w:p>
                  <w:pPr>
                    <w:pStyle w:val="63"/>
                  </w:pPr>
                  <w:r>
                    <w:t>HCO</w:t>
                  </w:r>
                  <w:r>
                    <w:rPr>
                      <w:vertAlign w:val="subscript"/>
                    </w:rPr>
                    <w:t>3</w:t>
                  </w:r>
                  <w:r>
                    <w:rPr>
                      <w:vertAlign w:val="superscript"/>
                    </w:rPr>
                    <w:t>-</w:t>
                  </w:r>
                </w:p>
              </w:tc>
              <w:tc>
                <w:tcPr>
                  <w:tcW w:w="1000" w:type="dxa"/>
                  <w:shd w:val="clear" w:color="auto" w:fill="auto"/>
                  <w:vAlign w:val="center"/>
                </w:tcPr>
                <w:p>
                  <w:pPr>
                    <w:pStyle w:val="63"/>
                  </w:pPr>
                  <w:r>
                    <w:t>SO</w:t>
                  </w:r>
                  <w:r>
                    <w:rPr>
                      <w:vertAlign w:val="subscript"/>
                    </w:rPr>
                    <w:t>4</w:t>
                  </w:r>
                  <w:r>
                    <w:rPr>
                      <w:vertAlign w:val="superscript"/>
                    </w:rPr>
                    <w:t>2-</w:t>
                  </w:r>
                </w:p>
              </w:tc>
              <w:tc>
                <w:tcPr>
                  <w:tcW w:w="903" w:type="dxa"/>
                  <w:shd w:val="clear" w:color="auto" w:fill="auto"/>
                  <w:vAlign w:val="center"/>
                </w:tcPr>
                <w:p>
                  <w:pPr>
                    <w:pStyle w:val="63"/>
                  </w:pPr>
                  <w:r>
                    <w:t>E</w:t>
                  </w: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716" w:type="dxa"/>
                  <w:shd w:val="clear" w:color="auto" w:fill="auto"/>
                  <w:vAlign w:val="center"/>
                </w:tcPr>
                <w:p>
                  <w:pPr>
                    <w:pStyle w:val="63"/>
                  </w:pPr>
                  <w:r>
                    <w:rPr>
                      <w:rFonts w:hint="eastAsia"/>
                    </w:rPr>
                    <w:t>F6</w:t>
                  </w:r>
                </w:p>
              </w:tc>
              <w:tc>
                <w:tcPr>
                  <w:tcW w:w="719" w:type="dxa"/>
                  <w:shd w:val="clear" w:color="auto" w:fill="auto"/>
                  <w:vAlign w:val="center"/>
                </w:tcPr>
                <w:p>
                  <w:pPr>
                    <w:pStyle w:val="63"/>
                  </w:pPr>
                  <w:r>
                    <w:t>0.47</w:t>
                  </w:r>
                </w:p>
              </w:tc>
              <w:tc>
                <w:tcPr>
                  <w:tcW w:w="719" w:type="dxa"/>
                  <w:shd w:val="clear" w:color="auto" w:fill="auto"/>
                  <w:vAlign w:val="center"/>
                </w:tcPr>
                <w:p>
                  <w:pPr>
                    <w:pStyle w:val="63"/>
                  </w:pPr>
                  <w:r>
                    <w:t>82.9</w:t>
                  </w:r>
                </w:p>
              </w:tc>
              <w:tc>
                <w:tcPr>
                  <w:tcW w:w="718" w:type="dxa"/>
                  <w:shd w:val="clear" w:color="auto" w:fill="auto"/>
                  <w:vAlign w:val="center"/>
                </w:tcPr>
                <w:p>
                  <w:pPr>
                    <w:pStyle w:val="63"/>
                  </w:pPr>
                  <w:r>
                    <w:t>6.08</w:t>
                  </w:r>
                </w:p>
              </w:tc>
              <w:tc>
                <w:tcPr>
                  <w:tcW w:w="771" w:type="dxa"/>
                  <w:shd w:val="clear" w:color="auto" w:fill="auto"/>
                  <w:vAlign w:val="center"/>
                </w:tcPr>
                <w:p>
                  <w:pPr>
                    <w:pStyle w:val="63"/>
                  </w:pPr>
                  <w:r>
                    <w:t>35.7</w:t>
                  </w:r>
                </w:p>
              </w:tc>
              <w:tc>
                <w:tcPr>
                  <w:tcW w:w="691" w:type="dxa"/>
                  <w:shd w:val="clear" w:color="auto" w:fill="auto"/>
                  <w:vAlign w:val="center"/>
                </w:tcPr>
                <w:p>
                  <w:pPr>
                    <w:pStyle w:val="63"/>
                  </w:pPr>
                  <w:r>
                    <w:t>5.19</w:t>
                  </w:r>
                </w:p>
              </w:tc>
              <w:tc>
                <w:tcPr>
                  <w:tcW w:w="816" w:type="dxa"/>
                  <w:shd w:val="clear" w:color="auto" w:fill="auto"/>
                  <w:vAlign w:val="center"/>
                </w:tcPr>
                <w:p>
                  <w:pPr>
                    <w:pStyle w:val="63"/>
                    <w:rPr>
                      <w:sz w:val="24"/>
                      <w:szCs w:val="24"/>
                    </w:rPr>
                  </w:pPr>
                  <w:r>
                    <w:t>5</w:t>
                  </w:r>
                  <w:r>
                    <w:rPr>
                      <w:rFonts w:hint="eastAsia"/>
                    </w:rPr>
                    <w:t>L</w:t>
                  </w:r>
                </w:p>
              </w:tc>
              <w:tc>
                <w:tcPr>
                  <w:tcW w:w="911" w:type="dxa"/>
                  <w:shd w:val="clear" w:color="auto" w:fill="auto"/>
                  <w:vAlign w:val="center"/>
                </w:tcPr>
                <w:p>
                  <w:pPr>
                    <w:pStyle w:val="63"/>
                  </w:pPr>
                  <w:r>
                    <w:t>381</w:t>
                  </w:r>
                </w:p>
              </w:tc>
              <w:tc>
                <w:tcPr>
                  <w:tcW w:w="1000" w:type="dxa"/>
                  <w:shd w:val="clear" w:color="auto" w:fill="auto"/>
                  <w:vAlign w:val="center"/>
                </w:tcPr>
                <w:p>
                  <w:pPr>
                    <w:pStyle w:val="63"/>
                  </w:pPr>
                  <w:r>
                    <w:t>16.5</w:t>
                  </w:r>
                </w:p>
              </w:tc>
              <w:tc>
                <w:tcPr>
                  <w:tcW w:w="903" w:type="dxa"/>
                  <w:shd w:val="clear" w:color="auto" w:fill="auto"/>
                  <w:noWrap/>
                  <w:vAlign w:val="center"/>
                </w:tcPr>
                <w:p>
                  <w:pPr>
                    <w:pStyle w:val="63"/>
                  </w:pPr>
                  <w:r>
                    <w:rPr>
                      <w:rFonts w:hint="eastAsia"/>
                    </w:rPr>
                    <w:t xml:space="preserve">-3.21 </w:t>
                  </w:r>
                </w:p>
              </w:tc>
            </w:tr>
          </w:tbl>
          <w:p>
            <w:pPr>
              <w:pStyle w:val="14"/>
              <w:keepNext/>
            </w:pPr>
            <w:bookmarkStart w:id="46" w:name="_Ref173526198"/>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13</w:t>
            </w:r>
            <w:r>
              <w:fldChar w:fldCharType="end"/>
            </w:r>
            <w:bookmarkEnd w:id="46"/>
            <w:r>
              <w:rPr>
                <w:rFonts w:hint="eastAsia"/>
              </w:rPr>
              <w:t xml:space="preserve">   地下水现状监测结果</w:t>
            </w:r>
          </w:p>
          <w:tbl>
            <w:tblPr>
              <w:tblStyle w:val="3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1215"/>
              <w:gridCol w:w="1403"/>
              <w:gridCol w:w="1370"/>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Merge w:val="restart"/>
                  <w:vAlign w:val="center"/>
                </w:tcPr>
                <w:p>
                  <w:pPr>
                    <w:pStyle w:val="139"/>
                  </w:pPr>
                  <w:r>
                    <w:rPr>
                      <w:rFonts w:hint="eastAsia"/>
                    </w:rPr>
                    <w:t>监测因子</w:t>
                  </w:r>
                </w:p>
              </w:tc>
              <w:tc>
                <w:tcPr>
                  <w:tcW w:w="2618" w:type="dxa"/>
                  <w:gridSpan w:val="2"/>
                  <w:vAlign w:val="center"/>
                </w:tcPr>
                <w:p>
                  <w:pPr>
                    <w:pStyle w:val="139"/>
                    <w:rPr>
                      <w:spacing w:val="-20"/>
                    </w:rPr>
                  </w:pPr>
                  <w:r>
                    <w:rPr>
                      <w:rFonts w:hint="eastAsia"/>
                      <w:spacing w:val="-20"/>
                    </w:rPr>
                    <w:t>F6</w:t>
                  </w:r>
                </w:p>
              </w:tc>
              <w:tc>
                <w:tcPr>
                  <w:tcW w:w="1370" w:type="dxa"/>
                  <w:vMerge w:val="restart"/>
                  <w:vAlign w:val="center"/>
                </w:tcPr>
                <w:p>
                  <w:pPr>
                    <w:pStyle w:val="139"/>
                  </w:pPr>
                  <w:r>
                    <w:rPr>
                      <w:rFonts w:hint="eastAsia"/>
                    </w:rPr>
                    <w:t>标准限值</w:t>
                  </w:r>
                </w:p>
              </w:tc>
              <w:tc>
                <w:tcPr>
                  <w:tcW w:w="2066" w:type="dxa"/>
                  <w:vMerge w:val="restart"/>
                  <w:vAlign w:val="center"/>
                </w:tcPr>
                <w:p>
                  <w:pPr>
                    <w:pStyle w:val="139"/>
                  </w:pPr>
                  <w:r>
                    <w:rPr>
                      <w:rFonts w:hint="eastAsi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Merge w:val="continue"/>
                  <w:vAlign w:val="center"/>
                </w:tcPr>
                <w:p>
                  <w:pPr>
                    <w:pStyle w:val="139"/>
                  </w:pPr>
                </w:p>
              </w:tc>
              <w:tc>
                <w:tcPr>
                  <w:tcW w:w="1215" w:type="dxa"/>
                  <w:vAlign w:val="center"/>
                </w:tcPr>
                <w:p>
                  <w:pPr>
                    <w:pStyle w:val="139"/>
                  </w:pPr>
                  <w:r>
                    <w:rPr>
                      <w:rFonts w:hint="eastAsia"/>
                    </w:rPr>
                    <w:t>监测结果</w:t>
                  </w:r>
                </w:p>
              </w:tc>
              <w:tc>
                <w:tcPr>
                  <w:tcW w:w="1403" w:type="dxa"/>
                  <w:vAlign w:val="center"/>
                </w:tcPr>
                <w:p>
                  <w:pPr>
                    <w:pStyle w:val="139"/>
                  </w:pPr>
                  <w:r>
                    <w:rPr>
                      <w:rFonts w:hint="eastAsia"/>
                    </w:rPr>
                    <w:t>标准指数</w:t>
                  </w:r>
                </w:p>
              </w:tc>
              <w:tc>
                <w:tcPr>
                  <w:tcW w:w="1370" w:type="dxa"/>
                  <w:vMerge w:val="continue"/>
                  <w:vAlign w:val="center"/>
                </w:tcPr>
                <w:p>
                  <w:pPr>
                    <w:pStyle w:val="139"/>
                  </w:pPr>
                </w:p>
              </w:tc>
              <w:tc>
                <w:tcPr>
                  <w:tcW w:w="2066" w:type="dxa"/>
                  <w:vMerge w:val="continue"/>
                  <w:vAlign w:val="center"/>
                </w:tcPr>
                <w:p>
                  <w:pPr>
                    <w:pStyle w:val="13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pH</w:t>
                  </w:r>
                </w:p>
              </w:tc>
              <w:tc>
                <w:tcPr>
                  <w:tcW w:w="1215" w:type="dxa"/>
                  <w:vAlign w:val="center"/>
                </w:tcPr>
                <w:p>
                  <w:pPr>
                    <w:pStyle w:val="139"/>
                  </w:pPr>
                  <w:r>
                    <w:rPr>
                      <w:rFonts w:hint="eastAsia"/>
                    </w:rPr>
                    <w:t>7.9</w:t>
                  </w:r>
                </w:p>
              </w:tc>
              <w:tc>
                <w:tcPr>
                  <w:tcW w:w="1403" w:type="dxa"/>
                  <w:vAlign w:val="center"/>
                </w:tcPr>
                <w:p>
                  <w:pPr>
                    <w:pStyle w:val="139"/>
                  </w:pPr>
                  <w:r>
                    <w:rPr>
                      <w:rFonts w:hint="eastAsia"/>
                    </w:rPr>
                    <w:t>0.60</w:t>
                  </w:r>
                </w:p>
              </w:tc>
              <w:tc>
                <w:tcPr>
                  <w:tcW w:w="1370" w:type="dxa"/>
                  <w:vAlign w:val="center"/>
                </w:tcPr>
                <w:p>
                  <w:pPr>
                    <w:pStyle w:val="139"/>
                    <w:rPr>
                      <w:spacing w:val="-16"/>
                    </w:rPr>
                  </w:pPr>
                  <w:r>
                    <w:rPr>
                      <w:rFonts w:hint="eastAsia"/>
                      <w:spacing w:val="-16"/>
                    </w:rPr>
                    <w:t>6.5~8.5</w:t>
                  </w:r>
                </w:p>
              </w:tc>
              <w:tc>
                <w:tcPr>
                  <w:tcW w:w="2066" w:type="dxa"/>
                  <w:vAlign w:val="center"/>
                </w:tcPr>
                <w:p>
                  <w:pPr>
                    <w:pStyle w:val="139"/>
                  </w:pPr>
                  <w:r>
                    <w:rPr>
                      <w:rFonts w:hint="eastAsia"/>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总硬度(CaCO</w:t>
                  </w:r>
                  <w:r>
                    <w:rPr>
                      <w:rFonts w:hint="eastAsia"/>
                      <w:vertAlign w:val="subscript"/>
                    </w:rPr>
                    <w:t>3</w:t>
                  </w:r>
                  <w:r>
                    <w:rPr>
                      <w:rFonts w:hint="eastAsia"/>
                    </w:rPr>
                    <w:t>)</w:t>
                  </w:r>
                </w:p>
              </w:tc>
              <w:tc>
                <w:tcPr>
                  <w:tcW w:w="1215" w:type="dxa"/>
                  <w:vAlign w:val="center"/>
                </w:tcPr>
                <w:p>
                  <w:pPr>
                    <w:pStyle w:val="139"/>
                  </w:pPr>
                  <w:r>
                    <w:rPr>
                      <w:rFonts w:hint="eastAsia"/>
                    </w:rPr>
                    <w:t>345</w:t>
                  </w:r>
                </w:p>
              </w:tc>
              <w:tc>
                <w:tcPr>
                  <w:tcW w:w="1403" w:type="dxa"/>
                  <w:vAlign w:val="center"/>
                </w:tcPr>
                <w:p>
                  <w:pPr>
                    <w:pStyle w:val="139"/>
                  </w:pPr>
                  <w:r>
                    <w:rPr>
                      <w:rFonts w:hint="eastAsia"/>
                    </w:rPr>
                    <w:t>0.77</w:t>
                  </w:r>
                </w:p>
              </w:tc>
              <w:tc>
                <w:tcPr>
                  <w:tcW w:w="1370" w:type="dxa"/>
                  <w:vAlign w:val="center"/>
                </w:tcPr>
                <w:p>
                  <w:pPr>
                    <w:pStyle w:val="139"/>
                  </w:pPr>
                  <w:r>
                    <w:rPr>
                      <w:rFonts w:hint="eastAsia"/>
                    </w:rPr>
                    <w:t>450</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溶解性总固体</w:t>
                  </w:r>
                </w:p>
              </w:tc>
              <w:tc>
                <w:tcPr>
                  <w:tcW w:w="1215" w:type="dxa"/>
                  <w:vAlign w:val="center"/>
                </w:tcPr>
                <w:p>
                  <w:pPr>
                    <w:pStyle w:val="139"/>
                  </w:pPr>
                  <w:r>
                    <w:rPr>
                      <w:rFonts w:hint="eastAsia"/>
                    </w:rPr>
                    <w:t>412</w:t>
                  </w:r>
                </w:p>
              </w:tc>
              <w:tc>
                <w:tcPr>
                  <w:tcW w:w="1403" w:type="dxa"/>
                  <w:vAlign w:val="center"/>
                </w:tcPr>
                <w:p>
                  <w:pPr>
                    <w:pStyle w:val="139"/>
                  </w:pPr>
                  <w:r>
                    <w:rPr>
                      <w:rFonts w:hint="eastAsia"/>
                    </w:rPr>
                    <w:t>0.41</w:t>
                  </w:r>
                </w:p>
              </w:tc>
              <w:tc>
                <w:tcPr>
                  <w:tcW w:w="1370" w:type="dxa"/>
                  <w:vAlign w:val="center"/>
                </w:tcPr>
                <w:p>
                  <w:pPr>
                    <w:pStyle w:val="139"/>
                  </w:pPr>
                  <w:r>
                    <w:rPr>
                      <w:rFonts w:hint="eastAsia"/>
                    </w:rPr>
                    <w:t>1000</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硫酸盐(SO</w:t>
                  </w:r>
                  <w:r>
                    <w:rPr>
                      <w:rFonts w:hint="eastAsia"/>
                      <w:vertAlign w:val="subscript"/>
                    </w:rPr>
                    <w:t>4</w:t>
                  </w:r>
                  <w:r>
                    <w:rPr>
                      <w:rFonts w:hint="eastAsia"/>
                      <w:vertAlign w:val="superscript"/>
                    </w:rPr>
                    <w:t>2-</w:t>
                  </w:r>
                  <w:r>
                    <w:rPr>
                      <w:rFonts w:hint="eastAsia"/>
                    </w:rPr>
                    <w:t>)</w:t>
                  </w:r>
                </w:p>
              </w:tc>
              <w:tc>
                <w:tcPr>
                  <w:tcW w:w="1215" w:type="dxa"/>
                  <w:vAlign w:val="center"/>
                </w:tcPr>
                <w:p>
                  <w:pPr>
                    <w:pStyle w:val="139"/>
                  </w:pPr>
                  <w:r>
                    <w:rPr>
                      <w:rFonts w:hint="eastAsia"/>
                    </w:rPr>
                    <w:t>16.5</w:t>
                  </w:r>
                </w:p>
              </w:tc>
              <w:tc>
                <w:tcPr>
                  <w:tcW w:w="1403" w:type="dxa"/>
                  <w:vAlign w:val="center"/>
                </w:tcPr>
                <w:p>
                  <w:pPr>
                    <w:pStyle w:val="139"/>
                  </w:pPr>
                  <w:r>
                    <w:rPr>
                      <w:rFonts w:hint="eastAsia"/>
                    </w:rPr>
                    <w:t>0.07</w:t>
                  </w:r>
                </w:p>
              </w:tc>
              <w:tc>
                <w:tcPr>
                  <w:tcW w:w="1370" w:type="dxa"/>
                  <w:vAlign w:val="center"/>
                </w:tcPr>
                <w:p>
                  <w:pPr>
                    <w:pStyle w:val="139"/>
                  </w:pPr>
                  <w:r>
                    <w:rPr>
                      <w:rFonts w:hint="eastAsia"/>
                    </w:rPr>
                    <w:t>250</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氯化物(Cl</w:t>
                  </w:r>
                  <w:r>
                    <w:rPr>
                      <w:rFonts w:hint="eastAsia"/>
                      <w:vertAlign w:val="superscript"/>
                    </w:rPr>
                    <w:t>-</w:t>
                  </w:r>
                  <w:r>
                    <w:rPr>
                      <w:rFonts w:hint="eastAsia"/>
                    </w:rPr>
                    <w:t>)</w:t>
                  </w:r>
                </w:p>
              </w:tc>
              <w:tc>
                <w:tcPr>
                  <w:tcW w:w="1215" w:type="dxa"/>
                  <w:vAlign w:val="center"/>
                </w:tcPr>
                <w:p>
                  <w:pPr>
                    <w:pStyle w:val="139"/>
                  </w:pPr>
                  <w:r>
                    <w:rPr>
                      <w:rFonts w:hint="eastAsia"/>
                    </w:rPr>
                    <w:t>5.19</w:t>
                  </w:r>
                </w:p>
              </w:tc>
              <w:tc>
                <w:tcPr>
                  <w:tcW w:w="1403" w:type="dxa"/>
                  <w:vAlign w:val="center"/>
                </w:tcPr>
                <w:p>
                  <w:pPr>
                    <w:pStyle w:val="139"/>
                  </w:pPr>
                  <w:r>
                    <w:rPr>
                      <w:rFonts w:hint="eastAsia"/>
                    </w:rPr>
                    <w:t>0.02</w:t>
                  </w:r>
                </w:p>
              </w:tc>
              <w:tc>
                <w:tcPr>
                  <w:tcW w:w="1370" w:type="dxa"/>
                  <w:vAlign w:val="center"/>
                </w:tcPr>
                <w:p>
                  <w:pPr>
                    <w:pStyle w:val="139"/>
                  </w:pPr>
                  <w:r>
                    <w:rPr>
                      <w:rFonts w:hint="eastAsia"/>
                    </w:rPr>
                    <w:t>250</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铁</w:t>
                  </w:r>
                </w:p>
              </w:tc>
              <w:tc>
                <w:tcPr>
                  <w:tcW w:w="1215" w:type="dxa"/>
                  <w:vAlign w:val="center"/>
                </w:tcPr>
                <w:p>
                  <w:pPr>
                    <w:pStyle w:val="139"/>
                  </w:pPr>
                  <w:r>
                    <w:rPr>
                      <w:rFonts w:hint="eastAsia"/>
                    </w:rPr>
                    <w:t>0.03L</w:t>
                  </w:r>
                </w:p>
              </w:tc>
              <w:tc>
                <w:tcPr>
                  <w:tcW w:w="1403" w:type="dxa"/>
                  <w:vAlign w:val="center"/>
                </w:tcPr>
                <w:p>
                  <w:pPr>
                    <w:pStyle w:val="139"/>
                  </w:pPr>
                  <w:r>
                    <w:rPr>
                      <w:rFonts w:hint="eastAsia"/>
                    </w:rPr>
                    <w:t>/</w:t>
                  </w:r>
                </w:p>
              </w:tc>
              <w:tc>
                <w:tcPr>
                  <w:tcW w:w="1370" w:type="dxa"/>
                  <w:vAlign w:val="center"/>
                </w:tcPr>
                <w:p>
                  <w:pPr>
                    <w:pStyle w:val="139"/>
                  </w:pPr>
                  <w:r>
                    <w:rPr>
                      <w:rFonts w:hint="eastAsia"/>
                    </w:rPr>
                    <w:t>0.3</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锰</w:t>
                  </w:r>
                </w:p>
              </w:tc>
              <w:tc>
                <w:tcPr>
                  <w:tcW w:w="1215" w:type="dxa"/>
                  <w:vAlign w:val="center"/>
                </w:tcPr>
                <w:p>
                  <w:pPr>
                    <w:pStyle w:val="139"/>
                  </w:pPr>
                  <w:r>
                    <w:rPr>
                      <w:rFonts w:hint="eastAsia"/>
                    </w:rPr>
                    <w:t>0.07</w:t>
                  </w:r>
                </w:p>
              </w:tc>
              <w:tc>
                <w:tcPr>
                  <w:tcW w:w="1403" w:type="dxa"/>
                  <w:vAlign w:val="center"/>
                </w:tcPr>
                <w:p>
                  <w:pPr>
                    <w:pStyle w:val="139"/>
                  </w:pPr>
                  <w:r>
                    <w:rPr>
                      <w:rFonts w:hint="eastAsia"/>
                    </w:rPr>
                    <w:t>0.70</w:t>
                  </w:r>
                </w:p>
              </w:tc>
              <w:tc>
                <w:tcPr>
                  <w:tcW w:w="1370" w:type="dxa"/>
                  <w:vAlign w:val="center"/>
                </w:tcPr>
                <w:p>
                  <w:pPr>
                    <w:pStyle w:val="139"/>
                  </w:pPr>
                  <w:r>
                    <w:rPr>
                      <w:rFonts w:hint="eastAsia"/>
                    </w:rPr>
                    <w:t>0.1</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铜</w:t>
                  </w:r>
                </w:p>
              </w:tc>
              <w:tc>
                <w:tcPr>
                  <w:tcW w:w="1215" w:type="dxa"/>
                  <w:vAlign w:val="center"/>
                </w:tcPr>
                <w:p>
                  <w:pPr>
                    <w:pStyle w:val="139"/>
                  </w:pPr>
                  <w:r>
                    <w:rPr>
                      <w:rFonts w:hint="eastAsia"/>
                    </w:rPr>
                    <w:t>0.02L</w:t>
                  </w:r>
                </w:p>
              </w:tc>
              <w:tc>
                <w:tcPr>
                  <w:tcW w:w="1403" w:type="dxa"/>
                  <w:vAlign w:val="center"/>
                </w:tcPr>
                <w:p>
                  <w:pPr>
                    <w:pStyle w:val="139"/>
                  </w:pPr>
                  <w:r>
                    <w:rPr>
                      <w:rFonts w:hint="eastAsia"/>
                    </w:rPr>
                    <w:t>/</w:t>
                  </w:r>
                </w:p>
              </w:tc>
              <w:tc>
                <w:tcPr>
                  <w:tcW w:w="1370" w:type="dxa"/>
                  <w:vAlign w:val="center"/>
                </w:tcPr>
                <w:p>
                  <w:pPr>
                    <w:pStyle w:val="139"/>
                  </w:pPr>
                  <w:r>
                    <w:rPr>
                      <w:rFonts w:hint="eastAsia"/>
                    </w:rPr>
                    <w:t>1</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锌</w:t>
                  </w:r>
                </w:p>
              </w:tc>
              <w:tc>
                <w:tcPr>
                  <w:tcW w:w="1215" w:type="dxa"/>
                  <w:vAlign w:val="center"/>
                </w:tcPr>
                <w:p>
                  <w:pPr>
                    <w:pStyle w:val="139"/>
                  </w:pPr>
                  <w:r>
                    <w:rPr>
                      <w:rFonts w:hint="eastAsia"/>
                    </w:rPr>
                    <w:t>0.02L</w:t>
                  </w:r>
                </w:p>
              </w:tc>
              <w:tc>
                <w:tcPr>
                  <w:tcW w:w="1403" w:type="dxa"/>
                  <w:vAlign w:val="center"/>
                </w:tcPr>
                <w:p>
                  <w:pPr>
                    <w:pStyle w:val="139"/>
                  </w:pPr>
                  <w:r>
                    <w:rPr>
                      <w:rFonts w:hint="eastAsia"/>
                    </w:rPr>
                    <w:t>/</w:t>
                  </w:r>
                </w:p>
              </w:tc>
              <w:tc>
                <w:tcPr>
                  <w:tcW w:w="1370" w:type="dxa"/>
                  <w:vAlign w:val="center"/>
                </w:tcPr>
                <w:p>
                  <w:pPr>
                    <w:pStyle w:val="139"/>
                  </w:pPr>
                  <w:r>
                    <w:rPr>
                      <w:rFonts w:hint="eastAsia"/>
                    </w:rPr>
                    <w:t>1</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铝</w:t>
                  </w:r>
                </w:p>
              </w:tc>
              <w:tc>
                <w:tcPr>
                  <w:tcW w:w="1215" w:type="dxa"/>
                  <w:vAlign w:val="center"/>
                </w:tcPr>
                <w:p>
                  <w:pPr>
                    <w:pStyle w:val="139"/>
                  </w:pPr>
                  <w:r>
                    <w:rPr>
                      <w:rFonts w:hint="eastAsia"/>
                    </w:rPr>
                    <w:t>0.024</w:t>
                  </w:r>
                </w:p>
              </w:tc>
              <w:tc>
                <w:tcPr>
                  <w:tcW w:w="1403" w:type="dxa"/>
                  <w:vAlign w:val="center"/>
                </w:tcPr>
                <w:p>
                  <w:pPr>
                    <w:pStyle w:val="139"/>
                  </w:pPr>
                  <w:r>
                    <w:rPr>
                      <w:rFonts w:hint="eastAsia"/>
                    </w:rPr>
                    <w:t>0.12</w:t>
                  </w:r>
                </w:p>
              </w:tc>
              <w:tc>
                <w:tcPr>
                  <w:tcW w:w="1370" w:type="dxa"/>
                  <w:vAlign w:val="center"/>
                </w:tcPr>
                <w:p>
                  <w:pPr>
                    <w:pStyle w:val="139"/>
                  </w:pPr>
                  <w:r>
                    <w:rPr>
                      <w:rFonts w:hint="eastAsia"/>
                    </w:rPr>
                    <w:t>0.20</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挥发酚</w:t>
                  </w:r>
                </w:p>
              </w:tc>
              <w:tc>
                <w:tcPr>
                  <w:tcW w:w="1215" w:type="dxa"/>
                  <w:vAlign w:val="center"/>
                </w:tcPr>
                <w:p>
                  <w:pPr>
                    <w:pStyle w:val="139"/>
                  </w:pPr>
                  <w:r>
                    <w:rPr>
                      <w:rFonts w:hint="eastAsia"/>
                    </w:rPr>
                    <w:t>0.0003L</w:t>
                  </w:r>
                </w:p>
              </w:tc>
              <w:tc>
                <w:tcPr>
                  <w:tcW w:w="1403" w:type="dxa"/>
                  <w:vAlign w:val="center"/>
                </w:tcPr>
                <w:p>
                  <w:pPr>
                    <w:pStyle w:val="139"/>
                  </w:pPr>
                  <w:r>
                    <w:rPr>
                      <w:rFonts w:hint="eastAsia"/>
                    </w:rPr>
                    <w:t>/</w:t>
                  </w:r>
                </w:p>
              </w:tc>
              <w:tc>
                <w:tcPr>
                  <w:tcW w:w="1370" w:type="dxa"/>
                  <w:vAlign w:val="center"/>
                </w:tcPr>
                <w:p>
                  <w:pPr>
                    <w:pStyle w:val="139"/>
                  </w:pPr>
                  <w:r>
                    <w:rPr>
                      <w:rFonts w:hint="eastAsia"/>
                    </w:rPr>
                    <w:t>0.002</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LAS</w:t>
                  </w:r>
                </w:p>
              </w:tc>
              <w:tc>
                <w:tcPr>
                  <w:tcW w:w="1215" w:type="dxa"/>
                  <w:vAlign w:val="center"/>
                </w:tcPr>
                <w:p>
                  <w:pPr>
                    <w:pStyle w:val="139"/>
                  </w:pPr>
                  <w:r>
                    <w:rPr>
                      <w:rFonts w:hint="eastAsia"/>
                    </w:rPr>
                    <w:t>0.05L</w:t>
                  </w:r>
                </w:p>
              </w:tc>
              <w:tc>
                <w:tcPr>
                  <w:tcW w:w="1403" w:type="dxa"/>
                  <w:vAlign w:val="center"/>
                </w:tcPr>
                <w:p>
                  <w:pPr>
                    <w:pStyle w:val="139"/>
                  </w:pPr>
                  <w:r>
                    <w:rPr>
                      <w:rFonts w:hint="eastAsia"/>
                    </w:rPr>
                    <w:t>/</w:t>
                  </w:r>
                </w:p>
              </w:tc>
              <w:tc>
                <w:tcPr>
                  <w:tcW w:w="1370" w:type="dxa"/>
                  <w:vAlign w:val="center"/>
                </w:tcPr>
                <w:p>
                  <w:pPr>
                    <w:pStyle w:val="139"/>
                  </w:pPr>
                  <w:r>
                    <w:rPr>
                      <w:rFonts w:hint="eastAsia"/>
                    </w:rPr>
                    <w:t>0.3</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耗氧量</w:t>
                  </w:r>
                </w:p>
              </w:tc>
              <w:tc>
                <w:tcPr>
                  <w:tcW w:w="1215" w:type="dxa"/>
                  <w:vAlign w:val="center"/>
                </w:tcPr>
                <w:p>
                  <w:pPr>
                    <w:pStyle w:val="139"/>
                  </w:pPr>
                  <w:r>
                    <w:rPr>
                      <w:rFonts w:hint="eastAsia"/>
                    </w:rPr>
                    <w:t>1.3</w:t>
                  </w:r>
                </w:p>
              </w:tc>
              <w:tc>
                <w:tcPr>
                  <w:tcW w:w="1403" w:type="dxa"/>
                  <w:vAlign w:val="center"/>
                </w:tcPr>
                <w:p>
                  <w:pPr>
                    <w:pStyle w:val="139"/>
                  </w:pPr>
                  <w:r>
                    <w:rPr>
                      <w:rFonts w:hint="eastAsia"/>
                    </w:rPr>
                    <w:t>0.43</w:t>
                  </w:r>
                </w:p>
              </w:tc>
              <w:tc>
                <w:tcPr>
                  <w:tcW w:w="1370" w:type="dxa"/>
                  <w:vAlign w:val="center"/>
                </w:tcPr>
                <w:p>
                  <w:pPr>
                    <w:pStyle w:val="139"/>
                  </w:pPr>
                  <w:r>
                    <w:rPr>
                      <w:rFonts w:hint="eastAsia"/>
                    </w:rPr>
                    <w:t>3</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氨氮</w:t>
                  </w:r>
                </w:p>
              </w:tc>
              <w:tc>
                <w:tcPr>
                  <w:tcW w:w="1215" w:type="dxa"/>
                  <w:vAlign w:val="center"/>
                </w:tcPr>
                <w:p>
                  <w:pPr>
                    <w:pStyle w:val="139"/>
                  </w:pPr>
                  <w:r>
                    <w:rPr>
                      <w:rFonts w:hint="eastAsia"/>
                    </w:rPr>
                    <w:t>0.066</w:t>
                  </w:r>
                </w:p>
              </w:tc>
              <w:tc>
                <w:tcPr>
                  <w:tcW w:w="1403" w:type="dxa"/>
                  <w:vAlign w:val="center"/>
                </w:tcPr>
                <w:p>
                  <w:pPr>
                    <w:pStyle w:val="139"/>
                  </w:pPr>
                  <w:r>
                    <w:rPr>
                      <w:rFonts w:hint="eastAsia"/>
                    </w:rPr>
                    <w:t>0.13</w:t>
                  </w:r>
                </w:p>
              </w:tc>
              <w:tc>
                <w:tcPr>
                  <w:tcW w:w="1370" w:type="dxa"/>
                  <w:vAlign w:val="center"/>
                </w:tcPr>
                <w:p>
                  <w:pPr>
                    <w:pStyle w:val="139"/>
                  </w:pPr>
                  <w:r>
                    <w:rPr>
                      <w:rFonts w:hint="eastAsia"/>
                    </w:rPr>
                    <w:t>0.5</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硫化物</w:t>
                  </w:r>
                </w:p>
              </w:tc>
              <w:tc>
                <w:tcPr>
                  <w:tcW w:w="1215" w:type="dxa"/>
                  <w:vAlign w:val="center"/>
                </w:tcPr>
                <w:p>
                  <w:pPr>
                    <w:pStyle w:val="139"/>
                  </w:pPr>
                  <w:r>
                    <w:rPr>
                      <w:rFonts w:hint="eastAsia"/>
                    </w:rPr>
                    <w:t>0.007</w:t>
                  </w:r>
                </w:p>
              </w:tc>
              <w:tc>
                <w:tcPr>
                  <w:tcW w:w="1403" w:type="dxa"/>
                  <w:vAlign w:val="center"/>
                </w:tcPr>
                <w:p>
                  <w:pPr>
                    <w:pStyle w:val="139"/>
                  </w:pPr>
                  <w:r>
                    <w:rPr>
                      <w:rFonts w:hint="eastAsia"/>
                    </w:rPr>
                    <w:t>0.35</w:t>
                  </w:r>
                </w:p>
              </w:tc>
              <w:tc>
                <w:tcPr>
                  <w:tcW w:w="1370" w:type="dxa"/>
                  <w:vAlign w:val="center"/>
                </w:tcPr>
                <w:p>
                  <w:pPr>
                    <w:pStyle w:val="139"/>
                  </w:pPr>
                  <w:r>
                    <w:rPr>
                      <w:rFonts w:hint="eastAsia"/>
                    </w:rPr>
                    <w:t>0.02</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钠</w:t>
                  </w:r>
                </w:p>
              </w:tc>
              <w:tc>
                <w:tcPr>
                  <w:tcW w:w="1215" w:type="dxa"/>
                  <w:vAlign w:val="center"/>
                </w:tcPr>
                <w:p>
                  <w:pPr>
                    <w:pStyle w:val="139"/>
                  </w:pPr>
                  <w:r>
                    <w:rPr>
                      <w:rFonts w:hint="eastAsia"/>
                    </w:rPr>
                    <w:t>6.08</w:t>
                  </w:r>
                </w:p>
              </w:tc>
              <w:tc>
                <w:tcPr>
                  <w:tcW w:w="1403" w:type="dxa"/>
                  <w:vAlign w:val="center"/>
                </w:tcPr>
                <w:p>
                  <w:pPr>
                    <w:pStyle w:val="139"/>
                  </w:pPr>
                  <w:r>
                    <w:rPr>
                      <w:rFonts w:hint="eastAsia"/>
                    </w:rPr>
                    <w:t>0.03</w:t>
                  </w:r>
                </w:p>
              </w:tc>
              <w:tc>
                <w:tcPr>
                  <w:tcW w:w="1370" w:type="dxa"/>
                  <w:vAlign w:val="center"/>
                </w:tcPr>
                <w:p>
                  <w:pPr>
                    <w:pStyle w:val="139"/>
                  </w:pPr>
                  <w:r>
                    <w:rPr>
                      <w:rFonts w:hint="eastAsia"/>
                    </w:rPr>
                    <w:t>200</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rPr>
                      <w:spacing w:val="-8"/>
                    </w:rPr>
                  </w:pPr>
                  <w:r>
                    <w:rPr>
                      <w:rFonts w:hint="eastAsia"/>
                      <w:spacing w:val="-8"/>
                    </w:rPr>
                    <w:t>总大肠菌群</w:t>
                  </w:r>
                </w:p>
              </w:tc>
              <w:tc>
                <w:tcPr>
                  <w:tcW w:w="1215" w:type="dxa"/>
                  <w:vAlign w:val="center"/>
                </w:tcPr>
                <w:p>
                  <w:pPr>
                    <w:pStyle w:val="139"/>
                  </w:pPr>
                  <w:r>
                    <w:rPr>
                      <w:rFonts w:hint="eastAsia"/>
                    </w:rPr>
                    <w:t>1L</w:t>
                  </w:r>
                </w:p>
              </w:tc>
              <w:tc>
                <w:tcPr>
                  <w:tcW w:w="1403" w:type="dxa"/>
                  <w:vAlign w:val="center"/>
                </w:tcPr>
                <w:p>
                  <w:pPr>
                    <w:pStyle w:val="139"/>
                  </w:pPr>
                  <w:r>
                    <w:rPr>
                      <w:rFonts w:hint="eastAsia"/>
                    </w:rPr>
                    <w:t>/</w:t>
                  </w:r>
                </w:p>
              </w:tc>
              <w:tc>
                <w:tcPr>
                  <w:tcW w:w="1370" w:type="dxa"/>
                  <w:vAlign w:val="center"/>
                </w:tcPr>
                <w:p>
                  <w:pPr>
                    <w:pStyle w:val="139"/>
                  </w:pPr>
                  <w:r>
                    <w:rPr>
                      <w:rFonts w:hint="eastAsia"/>
                    </w:rPr>
                    <w:t>3</w:t>
                  </w:r>
                </w:p>
              </w:tc>
              <w:tc>
                <w:tcPr>
                  <w:tcW w:w="2066" w:type="dxa"/>
                  <w:vAlign w:val="center"/>
                </w:tcPr>
                <w:p>
                  <w:pPr>
                    <w:pStyle w:val="139"/>
                    <w:rPr>
                      <w:spacing w:val="-24"/>
                    </w:rPr>
                  </w:pPr>
                  <w:r>
                    <w:rPr>
                      <w:rFonts w:hint="eastAsia"/>
                      <w:spacing w:val="-24"/>
                    </w:rPr>
                    <w:t>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细菌总数</w:t>
                  </w:r>
                </w:p>
              </w:tc>
              <w:tc>
                <w:tcPr>
                  <w:tcW w:w="1215" w:type="dxa"/>
                  <w:vAlign w:val="center"/>
                </w:tcPr>
                <w:p>
                  <w:pPr>
                    <w:pStyle w:val="139"/>
                  </w:pPr>
                  <w:r>
                    <w:rPr>
                      <w:rFonts w:hint="eastAsia"/>
                    </w:rPr>
                    <w:t>92</w:t>
                  </w:r>
                </w:p>
              </w:tc>
              <w:tc>
                <w:tcPr>
                  <w:tcW w:w="1403" w:type="dxa"/>
                  <w:vAlign w:val="center"/>
                </w:tcPr>
                <w:p>
                  <w:pPr>
                    <w:pStyle w:val="63"/>
                  </w:pPr>
                  <w:r>
                    <w:rPr>
                      <w:rFonts w:hint="eastAsia"/>
                    </w:rPr>
                    <w:t>0.92</w:t>
                  </w:r>
                </w:p>
              </w:tc>
              <w:tc>
                <w:tcPr>
                  <w:tcW w:w="1370" w:type="dxa"/>
                  <w:vAlign w:val="center"/>
                </w:tcPr>
                <w:p>
                  <w:pPr>
                    <w:pStyle w:val="139"/>
                  </w:pPr>
                  <w:r>
                    <w:rPr>
                      <w:rFonts w:hint="eastAsia"/>
                    </w:rPr>
                    <w:t>100</w:t>
                  </w:r>
                </w:p>
              </w:tc>
              <w:tc>
                <w:tcPr>
                  <w:tcW w:w="2066" w:type="dxa"/>
                  <w:vAlign w:val="center"/>
                </w:tcPr>
                <w:p>
                  <w:pPr>
                    <w:pStyle w:val="139"/>
                  </w:pPr>
                  <w:r>
                    <w:rPr>
                      <w:rFonts w:hint="eastAsia"/>
                    </w:rPr>
                    <w:t>CFU/mL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亚硝酸盐(以N计)</w:t>
                  </w:r>
                </w:p>
              </w:tc>
              <w:tc>
                <w:tcPr>
                  <w:tcW w:w="1215" w:type="dxa"/>
                  <w:vAlign w:val="center"/>
                </w:tcPr>
                <w:p>
                  <w:pPr>
                    <w:pStyle w:val="139"/>
                  </w:pPr>
                  <w:r>
                    <w:rPr>
                      <w:rFonts w:hint="eastAsia"/>
                    </w:rPr>
                    <w:t>0.016L</w:t>
                  </w:r>
                </w:p>
              </w:tc>
              <w:tc>
                <w:tcPr>
                  <w:tcW w:w="1403" w:type="dxa"/>
                  <w:vAlign w:val="center"/>
                </w:tcPr>
                <w:p>
                  <w:pPr>
                    <w:pStyle w:val="63"/>
                  </w:pPr>
                  <w:r>
                    <w:rPr>
                      <w:rFonts w:hint="eastAsia"/>
                    </w:rPr>
                    <w:t>/</w:t>
                  </w:r>
                </w:p>
              </w:tc>
              <w:tc>
                <w:tcPr>
                  <w:tcW w:w="1370" w:type="dxa"/>
                  <w:vAlign w:val="center"/>
                </w:tcPr>
                <w:p>
                  <w:pPr>
                    <w:pStyle w:val="139"/>
                  </w:pPr>
                  <w:r>
                    <w:rPr>
                      <w:rFonts w:hint="eastAsia"/>
                    </w:rPr>
                    <w:t>1</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硝酸盐(以N计)</w:t>
                  </w:r>
                </w:p>
              </w:tc>
              <w:tc>
                <w:tcPr>
                  <w:tcW w:w="1215" w:type="dxa"/>
                  <w:vAlign w:val="center"/>
                </w:tcPr>
                <w:p>
                  <w:pPr>
                    <w:pStyle w:val="139"/>
                  </w:pPr>
                  <w:r>
                    <w:rPr>
                      <w:rFonts w:hint="eastAsia"/>
                    </w:rPr>
                    <w:t>18.2</w:t>
                  </w:r>
                </w:p>
              </w:tc>
              <w:tc>
                <w:tcPr>
                  <w:tcW w:w="1403" w:type="dxa"/>
                  <w:vAlign w:val="center"/>
                </w:tcPr>
                <w:p>
                  <w:pPr>
                    <w:pStyle w:val="63"/>
                  </w:pPr>
                  <w:r>
                    <w:rPr>
                      <w:rFonts w:hint="eastAsia"/>
                    </w:rPr>
                    <w:t>0.91</w:t>
                  </w:r>
                </w:p>
              </w:tc>
              <w:tc>
                <w:tcPr>
                  <w:tcW w:w="1370" w:type="dxa"/>
                  <w:vAlign w:val="center"/>
                </w:tcPr>
                <w:p>
                  <w:pPr>
                    <w:pStyle w:val="139"/>
                  </w:pPr>
                  <w:r>
                    <w:rPr>
                      <w:rFonts w:hint="eastAsia"/>
                    </w:rPr>
                    <w:t>20</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氰化物</w:t>
                  </w:r>
                </w:p>
              </w:tc>
              <w:tc>
                <w:tcPr>
                  <w:tcW w:w="1215" w:type="dxa"/>
                  <w:vAlign w:val="center"/>
                </w:tcPr>
                <w:p>
                  <w:pPr>
                    <w:pStyle w:val="139"/>
                  </w:pPr>
                  <w:r>
                    <w:rPr>
                      <w:rFonts w:hint="eastAsia"/>
                    </w:rPr>
                    <w:t>0.002L</w:t>
                  </w:r>
                </w:p>
              </w:tc>
              <w:tc>
                <w:tcPr>
                  <w:tcW w:w="1403" w:type="dxa"/>
                  <w:vAlign w:val="center"/>
                </w:tcPr>
                <w:p>
                  <w:pPr>
                    <w:pStyle w:val="139"/>
                  </w:pPr>
                  <w:r>
                    <w:rPr>
                      <w:rFonts w:hint="eastAsia"/>
                    </w:rPr>
                    <w:t>/</w:t>
                  </w:r>
                </w:p>
              </w:tc>
              <w:tc>
                <w:tcPr>
                  <w:tcW w:w="1370" w:type="dxa"/>
                  <w:vAlign w:val="center"/>
                </w:tcPr>
                <w:p>
                  <w:pPr>
                    <w:pStyle w:val="139"/>
                  </w:pPr>
                  <w:r>
                    <w:rPr>
                      <w:rFonts w:hint="eastAsia"/>
                    </w:rPr>
                    <w:t>0.05</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氟化物</w:t>
                  </w:r>
                </w:p>
              </w:tc>
              <w:tc>
                <w:tcPr>
                  <w:tcW w:w="1215" w:type="dxa"/>
                  <w:vAlign w:val="center"/>
                </w:tcPr>
                <w:p>
                  <w:pPr>
                    <w:pStyle w:val="139"/>
                  </w:pPr>
                  <w:r>
                    <w:rPr>
                      <w:rFonts w:hint="eastAsia"/>
                    </w:rPr>
                    <w:t>0.203</w:t>
                  </w:r>
                </w:p>
              </w:tc>
              <w:tc>
                <w:tcPr>
                  <w:tcW w:w="1403" w:type="dxa"/>
                  <w:vAlign w:val="center"/>
                </w:tcPr>
                <w:p>
                  <w:pPr>
                    <w:pStyle w:val="139"/>
                  </w:pPr>
                  <w:r>
                    <w:rPr>
                      <w:rFonts w:hint="eastAsia"/>
                    </w:rPr>
                    <w:t>0.20</w:t>
                  </w:r>
                </w:p>
              </w:tc>
              <w:tc>
                <w:tcPr>
                  <w:tcW w:w="1370" w:type="dxa"/>
                  <w:vAlign w:val="center"/>
                </w:tcPr>
                <w:p>
                  <w:pPr>
                    <w:pStyle w:val="139"/>
                  </w:pPr>
                  <w:r>
                    <w:rPr>
                      <w:rFonts w:hint="eastAsia"/>
                    </w:rPr>
                    <w:t>1</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汞</w:t>
                  </w:r>
                </w:p>
              </w:tc>
              <w:tc>
                <w:tcPr>
                  <w:tcW w:w="1215" w:type="dxa"/>
                  <w:vAlign w:val="center"/>
                </w:tcPr>
                <w:p>
                  <w:pPr>
                    <w:pStyle w:val="139"/>
                  </w:pPr>
                  <w:r>
                    <w:rPr>
                      <w:rFonts w:hint="eastAsia"/>
                    </w:rPr>
                    <w:t>0.04L</w:t>
                  </w:r>
                </w:p>
              </w:tc>
              <w:tc>
                <w:tcPr>
                  <w:tcW w:w="1403" w:type="dxa"/>
                  <w:vAlign w:val="center"/>
                </w:tcPr>
                <w:p>
                  <w:pPr>
                    <w:pStyle w:val="139"/>
                  </w:pPr>
                  <w:r>
                    <w:rPr>
                      <w:rFonts w:hint="eastAsia"/>
                    </w:rPr>
                    <w:t>/</w:t>
                  </w:r>
                </w:p>
              </w:tc>
              <w:tc>
                <w:tcPr>
                  <w:tcW w:w="1370" w:type="dxa"/>
                  <w:vAlign w:val="center"/>
                </w:tcPr>
                <w:p>
                  <w:pPr>
                    <w:pStyle w:val="139"/>
                  </w:pPr>
                  <w:r>
                    <w:rPr>
                      <w:rFonts w:hint="eastAsia"/>
                    </w:rPr>
                    <w:t>1</w:t>
                  </w:r>
                </w:p>
              </w:tc>
              <w:tc>
                <w:tcPr>
                  <w:tcW w:w="2066" w:type="dxa"/>
                  <w:vAlign w:val="center"/>
                </w:tcPr>
                <w:p>
                  <w:pPr>
                    <w:pStyle w:val="139"/>
                  </w:pPr>
                  <w:r>
                    <w:rPr>
                      <w:rFonts w:hint="eastAsia"/>
                    </w:rPr>
                    <w:t>ug/L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砷</w:t>
                  </w:r>
                </w:p>
              </w:tc>
              <w:tc>
                <w:tcPr>
                  <w:tcW w:w="1215" w:type="dxa"/>
                  <w:vAlign w:val="center"/>
                </w:tcPr>
                <w:p>
                  <w:pPr>
                    <w:pStyle w:val="139"/>
                  </w:pPr>
                  <w:r>
                    <w:rPr>
                      <w:rFonts w:hint="eastAsia"/>
                    </w:rPr>
                    <w:t>1.3</w:t>
                  </w:r>
                </w:p>
              </w:tc>
              <w:tc>
                <w:tcPr>
                  <w:tcW w:w="1403" w:type="dxa"/>
                  <w:vAlign w:val="center"/>
                </w:tcPr>
                <w:p>
                  <w:pPr>
                    <w:pStyle w:val="139"/>
                  </w:pPr>
                  <w:r>
                    <w:rPr>
                      <w:rFonts w:hint="eastAsia"/>
                    </w:rPr>
                    <w:t>0.13</w:t>
                  </w:r>
                </w:p>
              </w:tc>
              <w:tc>
                <w:tcPr>
                  <w:tcW w:w="1370" w:type="dxa"/>
                  <w:vAlign w:val="center"/>
                </w:tcPr>
                <w:p>
                  <w:pPr>
                    <w:pStyle w:val="139"/>
                  </w:pPr>
                  <w:r>
                    <w:rPr>
                      <w:rFonts w:hint="eastAsia"/>
                    </w:rPr>
                    <w:t>10</w:t>
                  </w:r>
                </w:p>
              </w:tc>
              <w:tc>
                <w:tcPr>
                  <w:tcW w:w="2066" w:type="dxa"/>
                  <w:vAlign w:val="center"/>
                </w:tcPr>
                <w:p>
                  <w:pPr>
                    <w:pStyle w:val="139"/>
                  </w:pPr>
                  <w:r>
                    <w:rPr>
                      <w:rFonts w:hint="eastAsia"/>
                    </w:rPr>
                    <w:t>ug/L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硒</w:t>
                  </w:r>
                </w:p>
              </w:tc>
              <w:tc>
                <w:tcPr>
                  <w:tcW w:w="1215" w:type="dxa"/>
                  <w:vAlign w:val="center"/>
                </w:tcPr>
                <w:p>
                  <w:pPr>
                    <w:pStyle w:val="139"/>
                  </w:pPr>
                  <w:r>
                    <w:rPr>
                      <w:rFonts w:hint="eastAsia"/>
                    </w:rPr>
                    <w:t>0.4L</w:t>
                  </w:r>
                </w:p>
              </w:tc>
              <w:tc>
                <w:tcPr>
                  <w:tcW w:w="1403" w:type="dxa"/>
                  <w:vAlign w:val="center"/>
                </w:tcPr>
                <w:p>
                  <w:pPr>
                    <w:pStyle w:val="139"/>
                  </w:pPr>
                  <w:r>
                    <w:rPr>
                      <w:rFonts w:hint="eastAsia"/>
                    </w:rPr>
                    <w:t>/</w:t>
                  </w:r>
                </w:p>
              </w:tc>
              <w:tc>
                <w:tcPr>
                  <w:tcW w:w="1370" w:type="dxa"/>
                  <w:vAlign w:val="center"/>
                </w:tcPr>
                <w:p>
                  <w:pPr>
                    <w:pStyle w:val="139"/>
                  </w:pPr>
                  <w:r>
                    <w:rPr>
                      <w:rFonts w:hint="eastAsia"/>
                    </w:rPr>
                    <w:t>10</w:t>
                  </w:r>
                </w:p>
              </w:tc>
              <w:tc>
                <w:tcPr>
                  <w:tcW w:w="2066" w:type="dxa"/>
                  <w:vAlign w:val="center"/>
                </w:tcPr>
                <w:p>
                  <w:pPr>
                    <w:pStyle w:val="139"/>
                  </w:pPr>
                  <w:r>
                    <w:rPr>
                      <w:rFonts w:hint="eastAsia"/>
                    </w:rPr>
                    <w:t>ug/L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镉</w:t>
                  </w:r>
                </w:p>
              </w:tc>
              <w:tc>
                <w:tcPr>
                  <w:tcW w:w="1215" w:type="dxa"/>
                  <w:vAlign w:val="center"/>
                </w:tcPr>
                <w:p>
                  <w:pPr>
                    <w:pStyle w:val="139"/>
                  </w:pPr>
                  <w:r>
                    <w:rPr>
                      <w:rFonts w:hint="eastAsia"/>
                    </w:rPr>
                    <w:t>1L</w:t>
                  </w:r>
                </w:p>
              </w:tc>
              <w:tc>
                <w:tcPr>
                  <w:tcW w:w="1403" w:type="dxa"/>
                  <w:vAlign w:val="center"/>
                </w:tcPr>
                <w:p>
                  <w:pPr>
                    <w:pStyle w:val="139"/>
                  </w:pPr>
                  <w:r>
                    <w:rPr>
                      <w:rFonts w:hint="eastAsia"/>
                    </w:rPr>
                    <w:t>/</w:t>
                  </w:r>
                </w:p>
              </w:tc>
              <w:tc>
                <w:tcPr>
                  <w:tcW w:w="1370" w:type="dxa"/>
                  <w:vAlign w:val="center"/>
                </w:tcPr>
                <w:p>
                  <w:pPr>
                    <w:pStyle w:val="139"/>
                  </w:pPr>
                  <w:r>
                    <w:rPr>
                      <w:rFonts w:hint="eastAsia"/>
                    </w:rPr>
                    <w:t>5</w:t>
                  </w:r>
                </w:p>
              </w:tc>
              <w:tc>
                <w:tcPr>
                  <w:tcW w:w="2066" w:type="dxa"/>
                  <w:vAlign w:val="center"/>
                </w:tcPr>
                <w:p>
                  <w:pPr>
                    <w:pStyle w:val="139"/>
                  </w:pPr>
                  <w:r>
                    <w:rPr>
                      <w:rFonts w:hint="eastAsia"/>
                    </w:rPr>
                    <w:t>ug/L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六价铬</w:t>
                  </w:r>
                </w:p>
              </w:tc>
              <w:tc>
                <w:tcPr>
                  <w:tcW w:w="1215" w:type="dxa"/>
                  <w:vAlign w:val="center"/>
                </w:tcPr>
                <w:p>
                  <w:pPr>
                    <w:pStyle w:val="139"/>
                  </w:pPr>
                  <w:r>
                    <w:rPr>
                      <w:rFonts w:hint="eastAsia"/>
                    </w:rPr>
                    <w:t>0.004L</w:t>
                  </w:r>
                </w:p>
              </w:tc>
              <w:tc>
                <w:tcPr>
                  <w:tcW w:w="1403" w:type="dxa"/>
                  <w:vAlign w:val="center"/>
                </w:tcPr>
                <w:p>
                  <w:pPr>
                    <w:pStyle w:val="139"/>
                  </w:pPr>
                  <w:r>
                    <w:rPr>
                      <w:rFonts w:hint="eastAsia"/>
                    </w:rPr>
                    <w:t>/</w:t>
                  </w:r>
                </w:p>
              </w:tc>
              <w:tc>
                <w:tcPr>
                  <w:tcW w:w="1370" w:type="dxa"/>
                  <w:vAlign w:val="center"/>
                </w:tcPr>
                <w:p>
                  <w:pPr>
                    <w:pStyle w:val="139"/>
                  </w:pPr>
                  <w:r>
                    <w:rPr>
                      <w:rFonts w:hint="eastAsia"/>
                    </w:rPr>
                    <w:t>0.05</w:t>
                  </w:r>
                </w:p>
              </w:tc>
              <w:tc>
                <w:tcPr>
                  <w:tcW w:w="2066" w:type="dxa"/>
                  <w:vAlign w:val="center"/>
                </w:tcPr>
                <w:p>
                  <w:pPr>
                    <w:pStyle w:val="139"/>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10" w:type="dxa"/>
                  <w:vAlign w:val="center"/>
                </w:tcPr>
                <w:p>
                  <w:pPr>
                    <w:pStyle w:val="139"/>
                  </w:pPr>
                  <w:r>
                    <w:rPr>
                      <w:rFonts w:hint="eastAsia"/>
                    </w:rPr>
                    <w:t>铅</w:t>
                  </w:r>
                </w:p>
              </w:tc>
              <w:tc>
                <w:tcPr>
                  <w:tcW w:w="1215" w:type="dxa"/>
                  <w:vAlign w:val="center"/>
                </w:tcPr>
                <w:p>
                  <w:pPr>
                    <w:pStyle w:val="139"/>
                  </w:pPr>
                  <w:r>
                    <w:rPr>
                      <w:rFonts w:hint="eastAsia"/>
                    </w:rPr>
                    <w:t>2.5L</w:t>
                  </w:r>
                </w:p>
              </w:tc>
              <w:tc>
                <w:tcPr>
                  <w:tcW w:w="1403" w:type="dxa"/>
                  <w:vAlign w:val="center"/>
                </w:tcPr>
                <w:p>
                  <w:pPr>
                    <w:pStyle w:val="139"/>
                  </w:pPr>
                  <w:r>
                    <w:rPr>
                      <w:rFonts w:hint="eastAsia"/>
                    </w:rPr>
                    <w:t>/</w:t>
                  </w:r>
                </w:p>
              </w:tc>
              <w:tc>
                <w:tcPr>
                  <w:tcW w:w="1370" w:type="dxa"/>
                  <w:vAlign w:val="center"/>
                </w:tcPr>
                <w:p>
                  <w:pPr>
                    <w:pStyle w:val="139"/>
                  </w:pPr>
                  <w:r>
                    <w:rPr>
                      <w:rFonts w:hint="eastAsia"/>
                    </w:rPr>
                    <w:t>10</w:t>
                  </w:r>
                </w:p>
              </w:tc>
              <w:tc>
                <w:tcPr>
                  <w:tcW w:w="2066" w:type="dxa"/>
                  <w:vAlign w:val="center"/>
                </w:tcPr>
                <w:p>
                  <w:pPr>
                    <w:pStyle w:val="139"/>
                  </w:pPr>
                  <w:r>
                    <w:rPr>
                      <w:rFonts w:hint="eastAsia"/>
                    </w:rPr>
                    <w:t>ug/L</w:t>
                  </w:r>
                </w:p>
              </w:tc>
            </w:tr>
          </w:tbl>
          <w:p/>
          <w:p>
            <w:pPr>
              <w:pStyle w:val="5"/>
              <w:ind w:firstLine="480"/>
            </w:pPr>
            <w:r>
              <w:rPr>
                <w:rFonts w:hint="eastAsia"/>
              </w:rPr>
              <w:t>项目区域土壤理化性质见</w:t>
            </w:r>
            <w:r>
              <w:fldChar w:fldCharType="begin"/>
            </w:r>
            <w:r>
              <w:instrText xml:space="preserve"> </w:instrText>
            </w:r>
            <w:r>
              <w:rPr>
                <w:rFonts w:hint="eastAsia"/>
              </w:rPr>
              <w:instrText xml:space="preserve">REF _Ref175914171 \h</w:instrText>
            </w:r>
            <w:r>
              <w:instrText xml:space="preserve"> </w:instrText>
            </w:r>
            <w:r>
              <w:fldChar w:fldCharType="separate"/>
            </w:r>
            <w:r>
              <w:rPr>
                <w:rFonts w:hint="eastAsia"/>
              </w:rPr>
              <w:t xml:space="preserve">表 </w:t>
            </w:r>
            <w:r>
              <w:t>3.1</w:t>
            </w:r>
            <w:r>
              <w:noBreakHyphen/>
            </w:r>
            <w:r>
              <w:t>14</w:t>
            </w:r>
            <w:r>
              <w:fldChar w:fldCharType="end"/>
            </w:r>
            <w:r>
              <w:rPr>
                <w:rFonts w:hint="eastAsia"/>
              </w:rPr>
              <w:t>，监测结果见</w:t>
            </w:r>
            <w:r>
              <w:fldChar w:fldCharType="begin"/>
            </w:r>
            <w:r>
              <w:instrText xml:space="preserve"> </w:instrText>
            </w:r>
            <w:r>
              <w:rPr>
                <w:rFonts w:hint="eastAsia"/>
              </w:rPr>
              <w:instrText xml:space="preserve">REF _Ref173526570 \h</w:instrText>
            </w:r>
            <w:r>
              <w:instrText xml:space="preserve"> </w:instrText>
            </w:r>
            <w:r>
              <w:fldChar w:fldCharType="separate"/>
            </w:r>
            <w:r>
              <w:rPr>
                <w:rFonts w:hint="eastAsia"/>
              </w:rPr>
              <w:t xml:space="preserve">表 </w:t>
            </w:r>
            <w:r>
              <w:t>3.1</w:t>
            </w:r>
            <w:r>
              <w:noBreakHyphen/>
            </w:r>
            <w:r>
              <w:t>15</w:t>
            </w:r>
            <w:r>
              <w:fldChar w:fldCharType="end"/>
            </w:r>
            <w:r>
              <w:rPr>
                <w:rFonts w:hint="eastAsia"/>
              </w:rPr>
              <w:t>。根据下表，项目区域土壤质量满足《土壤环境质量 建设用地土壤污染风险管控标准（试行）》（GB 36600-2018）第二类用地筛选值。</w:t>
            </w:r>
          </w:p>
          <w:p>
            <w:pPr>
              <w:pStyle w:val="14"/>
              <w:keepNext/>
            </w:pPr>
            <w:bookmarkStart w:id="47" w:name="_Ref175914171"/>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14</w:t>
            </w:r>
            <w:r>
              <w:fldChar w:fldCharType="end"/>
            </w:r>
            <w:bookmarkEnd w:id="47"/>
            <w:r>
              <w:rPr>
                <w:rFonts w:hint="eastAsia"/>
              </w:rPr>
              <w:t xml:space="preserve">   土壤理化性质一览表</w:t>
            </w:r>
          </w:p>
          <w:tbl>
            <w:tblPr>
              <w:tblStyle w:val="39"/>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2645"/>
              <w:gridCol w:w="4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75" w:type="dxa"/>
                  <w:gridSpan w:val="2"/>
                  <w:vAlign w:val="center"/>
                </w:tcPr>
                <w:p>
                  <w:pPr>
                    <w:pStyle w:val="63"/>
                    <w:rPr>
                      <w:szCs w:val="24"/>
                    </w:rPr>
                  </w:pPr>
                  <w:r>
                    <w:t>点</w:t>
                  </w:r>
                  <w:r>
                    <w:rPr>
                      <w:rFonts w:hint="eastAsia"/>
                    </w:rPr>
                    <w:t>位</w:t>
                  </w:r>
                </w:p>
              </w:tc>
              <w:tc>
                <w:tcPr>
                  <w:tcW w:w="4263" w:type="dxa"/>
                  <w:vAlign w:val="center"/>
                </w:tcPr>
                <w:p>
                  <w:pPr>
                    <w:pStyle w:val="63"/>
                    <w:rPr>
                      <w:bCs/>
                    </w:rPr>
                  </w:pPr>
                  <w:r>
                    <w:rPr>
                      <w:rFonts w:hint="eastAsia"/>
                      <w:bCs/>
                    </w:rPr>
                    <w:t>G1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75" w:type="dxa"/>
                  <w:gridSpan w:val="2"/>
                  <w:vAlign w:val="center"/>
                </w:tcPr>
                <w:p>
                  <w:pPr>
                    <w:pStyle w:val="63"/>
                    <w:rPr>
                      <w:szCs w:val="24"/>
                    </w:rPr>
                  </w:pPr>
                  <w:r>
                    <w:t>经度</w:t>
                  </w:r>
                  <w:r>
                    <w:rPr>
                      <w:rFonts w:hint="eastAsia"/>
                    </w:rPr>
                    <w:t>（°）</w:t>
                  </w:r>
                </w:p>
              </w:tc>
              <w:tc>
                <w:tcPr>
                  <w:tcW w:w="4263" w:type="dxa"/>
                  <w:vAlign w:val="center"/>
                </w:tcPr>
                <w:p>
                  <w:pPr>
                    <w:pStyle w:val="63"/>
                    <w:rPr>
                      <w:bCs/>
                      <w:szCs w:val="24"/>
                    </w:rPr>
                  </w:pPr>
                  <w:r>
                    <w:rPr>
                      <w:rFonts w:hint="eastAsia"/>
                      <w:bCs/>
                      <w:szCs w:val="24"/>
                    </w:rPr>
                    <w:t>109.355775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75" w:type="dxa"/>
                  <w:gridSpan w:val="2"/>
                  <w:vAlign w:val="center"/>
                </w:tcPr>
                <w:p>
                  <w:pPr>
                    <w:pStyle w:val="63"/>
                  </w:pPr>
                  <w:r>
                    <w:t>纬度</w:t>
                  </w:r>
                  <w:r>
                    <w:rPr>
                      <w:rFonts w:hint="eastAsia"/>
                    </w:rPr>
                    <w:t>（°）</w:t>
                  </w:r>
                </w:p>
              </w:tc>
              <w:tc>
                <w:tcPr>
                  <w:tcW w:w="4263" w:type="dxa"/>
                  <w:vAlign w:val="center"/>
                </w:tcPr>
                <w:p>
                  <w:pPr>
                    <w:pStyle w:val="63"/>
                    <w:rPr>
                      <w:bCs/>
                    </w:rPr>
                  </w:pPr>
                  <w:r>
                    <w:rPr>
                      <w:rFonts w:hint="eastAsia"/>
                      <w:bCs/>
                    </w:rPr>
                    <w:t>31.027933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75" w:type="dxa"/>
                  <w:gridSpan w:val="2"/>
                  <w:vAlign w:val="center"/>
                </w:tcPr>
                <w:p>
                  <w:pPr>
                    <w:pStyle w:val="63"/>
                    <w:rPr>
                      <w:szCs w:val="24"/>
                    </w:rPr>
                  </w:pPr>
                  <w:r>
                    <w:t>层次</w:t>
                  </w:r>
                  <w:r>
                    <w:rPr>
                      <w:rFonts w:hint="eastAsia"/>
                    </w:rPr>
                    <w:t>（m）</w:t>
                  </w:r>
                </w:p>
              </w:tc>
              <w:tc>
                <w:tcPr>
                  <w:tcW w:w="4263" w:type="dxa"/>
                  <w:vAlign w:val="center"/>
                </w:tcPr>
                <w:p>
                  <w:pPr>
                    <w:pStyle w:val="63"/>
                    <w:rPr>
                      <w:bCs/>
                      <w:szCs w:val="24"/>
                    </w:rPr>
                  </w:pPr>
                  <w:r>
                    <w:rPr>
                      <w:rFonts w:hint="eastAsia"/>
                      <w:bCs/>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restart"/>
                  <w:vAlign w:val="center"/>
                </w:tcPr>
                <w:p>
                  <w:pPr>
                    <w:pStyle w:val="63"/>
                    <w:rPr>
                      <w:szCs w:val="24"/>
                    </w:rPr>
                  </w:pPr>
                  <w:r>
                    <w:rPr>
                      <w:szCs w:val="24"/>
                    </w:rPr>
                    <w:t>现场记录</w:t>
                  </w:r>
                </w:p>
              </w:tc>
              <w:tc>
                <w:tcPr>
                  <w:tcW w:w="2645" w:type="dxa"/>
                  <w:vAlign w:val="center"/>
                </w:tcPr>
                <w:p>
                  <w:pPr>
                    <w:pStyle w:val="63"/>
                    <w:rPr>
                      <w:szCs w:val="24"/>
                    </w:rPr>
                  </w:pPr>
                  <w:r>
                    <w:rPr>
                      <w:szCs w:val="24"/>
                    </w:rPr>
                    <w:t>颜色</w:t>
                  </w:r>
                </w:p>
              </w:tc>
              <w:tc>
                <w:tcPr>
                  <w:tcW w:w="4263" w:type="dxa"/>
                  <w:vAlign w:val="center"/>
                </w:tcPr>
                <w:p>
                  <w:pPr>
                    <w:pStyle w:val="63"/>
                    <w:rPr>
                      <w:bCs/>
                    </w:rPr>
                  </w:pPr>
                  <w:r>
                    <w:rPr>
                      <w:rFonts w:hint="eastAsia"/>
                      <w:bCs/>
                    </w:rPr>
                    <w:t>棕色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continue"/>
                  <w:vAlign w:val="center"/>
                </w:tcPr>
                <w:p>
                  <w:pPr>
                    <w:pStyle w:val="63"/>
                    <w:rPr>
                      <w:szCs w:val="24"/>
                    </w:rPr>
                  </w:pPr>
                </w:p>
              </w:tc>
              <w:tc>
                <w:tcPr>
                  <w:tcW w:w="2645" w:type="dxa"/>
                  <w:vAlign w:val="center"/>
                </w:tcPr>
                <w:p>
                  <w:pPr>
                    <w:pStyle w:val="63"/>
                    <w:rPr>
                      <w:szCs w:val="24"/>
                    </w:rPr>
                  </w:pPr>
                  <w:r>
                    <w:rPr>
                      <w:szCs w:val="24"/>
                    </w:rPr>
                    <w:t>结构</w:t>
                  </w:r>
                </w:p>
              </w:tc>
              <w:tc>
                <w:tcPr>
                  <w:tcW w:w="4263" w:type="dxa"/>
                  <w:vAlign w:val="center"/>
                </w:tcPr>
                <w:p>
                  <w:pPr>
                    <w:pStyle w:val="63"/>
                    <w:rPr>
                      <w:bCs/>
                      <w:szCs w:val="24"/>
                    </w:rPr>
                  </w:pPr>
                  <w:r>
                    <w:rPr>
                      <w:rFonts w:hint="eastAsia"/>
                      <w:bCs/>
                      <w:szCs w:val="24"/>
                    </w:rPr>
                    <w:t>散状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continue"/>
                  <w:vAlign w:val="center"/>
                </w:tcPr>
                <w:p>
                  <w:pPr>
                    <w:pStyle w:val="63"/>
                    <w:rPr>
                      <w:szCs w:val="24"/>
                    </w:rPr>
                  </w:pPr>
                </w:p>
              </w:tc>
              <w:tc>
                <w:tcPr>
                  <w:tcW w:w="2645" w:type="dxa"/>
                  <w:vAlign w:val="center"/>
                </w:tcPr>
                <w:p>
                  <w:pPr>
                    <w:pStyle w:val="63"/>
                    <w:rPr>
                      <w:szCs w:val="24"/>
                    </w:rPr>
                  </w:pPr>
                  <w:r>
                    <w:rPr>
                      <w:szCs w:val="24"/>
                    </w:rPr>
                    <w:t>质地</w:t>
                  </w:r>
                </w:p>
              </w:tc>
              <w:tc>
                <w:tcPr>
                  <w:tcW w:w="4263" w:type="dxa"/>
                  <w:vAlign w:val="center"/>
                </w:tcPr>
                <w:p>
                  <w:pPr>
                    <w:pStyle w:val="63"/>
                    <w:rPr>
                      <w:bCs/>
                      <w:szCs w:val="24"/>
                    </w:rPr>
                  </w:pPr>
                  <w:r>
                    <w:rPr>
                      <w:rFonts w:hint="eastAsia"/>
                      <w:bCs/>
                      <w:szCs w:val="24"/>
                    </w:rPr>
                    <w:t>轻壤土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continue"/>
                  <w:vAlign w:val="center"/>
                </w:tcPr>
                <w:p>
                  <w:pPr>
                    <w:pStyle w:val="63"/>
                    <w:rPr>
                      <w:szCs w:val="24"/>
                    </w:rPr>
                  </w:pPr>
                </w:p>
              </w:tc>
              <w:tc>
                <w:tcPr>
                  <w:tcW w:w="2645" w:type="dxa"/>
                  <w:vAlign w:val="center"/>
                </w:tcPr>
                <w:p>
                  <w:pPr>
                    <w:pStyle w:val="63"/>
                    <w:rPr>
                      <w:szCs w:val="24"/>
                    </w:rPr>
                  </w:pPr>
                  <w:r>
                    <w:rPr>
                      <w:szCs w:val="24"/>
                    </w:rPr>
                    <w:t>砂砾含量</w:t>
                  </w:r>
                </w:p>
              </w:tc>
              <w:tc>
                <w:tcPr>
                  <w:tcW w:w="4263" w:type="dxa"/>
                  <w:vAlign w:val="center"/>
                </w:tcPr>
                <w:p>
                  <w:pPr>
                    <w:pStyle w:val="63"/>
                    <w:rPr>
                      <w:bCs/>
                      <w:szCs w:val="24"/>
                    </w:rPr>
                  </w:pPr>
                  <w:r>
                    <w:rPr>
                      <w:rFonts w:hint="eastAsia"/>
                      <w:bCs/>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continue"/>
                  <w:vAlign w:val="center"/>
                </w:tcPr>
                <w:p>
                  <w:pPr>
                    <w:pStyle w:val="63"/>
                    <w:rPr>
                      <w:szCs w:val="24"/>
                    </w:rPr>
                  </w:pPr>
                </w:p>
              </w:tc>
              <w:tc>
                <w:tcPr>
                  <w:tcW w:w="2645" w:type="dxa"/>
                  <w:vAlign w:val="center"/>
                </w:tcPr>
                <w:p>
                  <w:pPr>
                    <w:pStyle w:val="63"/>
                    <w:rPr>
                      <w:szCs w:val="24"/>
                    </w:rPr>
                  </w:pPr>
                  <w:r>
                    <w:rPr>
                      <w:szCs w:val="24"/>
                    </w:rPr>
                    <w:t>其他异物</w:t>
                  </w:r>
                </w:p>
              </w:tc>
              <w:tc>
                <w:tcPr>
                  <w:tcW w:w="4263" w:type="dxa"/>
                  <w:vAlign w:val="center"/>
                </w:tcPr>
                <w:p>
                  <w:pPr>
                    <w:pStyle w:val="63"/>
                    <w:rPr>
                      <w:bCs/>
                      <w:szCs w:val="24"/>
                    </w:rPr>
                  </w:pPr>
                  <w:r>
                    <w:rPr>
                      <w:rFonts w:hint="eastAsia"/>
                      <w:bCs/>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restart"/>
                  <w:vAlign w:val="center"/>
                </w:tcPr>
                <w:p>
                  <w:pPr>
                    <w:pStyle w:val="63"/>
                    <w:rPr>
                      <w:szCs w:val="24"/>
                    </w:rPr>
                  </w:pPr>
                  <w:r>
                    <w:rPr>
                      <w:szCs w:val="24"/>
                    </w:rPr>
                    <w:t>实验测定</w:t>
                  </w:r>
                </w:p>
              </w:tc>
              <w:tc>
                <w:tcPr>
                  <w:tcW w:w="2645" w:type="dxa"/>
                  <w:vAlign w:val="center"/>
                </w:tcPr>
                <w:p>
                  <w:pPr>
                    <w:pStyle w:val="63"/>
                    <w:rPr>
                      <w:szCs w:val="24"/>
                    </w:rPr>
                  </w:pPr>
                  <w:r>
                    <w:rPr>
                      <w:szCs w:val="24"/>
                    </w:rPr>
                    <w:t>氧化还原电位（mV）</w:t>
                  </w:r>
                </w:p>
              </w:tc>
              <w:tc>
                <w:tcPr>
                  <w:tcW w:w="4263" w:type="dxa"/>
                  <w:vAlign w:val="center"/>
                </w:tcPr>
                <w:p>
                  <w:pPr>
                    <w:pStyle w:val="63"/>
                    <w:rPr>
                      <w:bCs/>
                      <w:szCs w:val="24"/>
                    </w:rPr>
                  </w:pPr>
                  <w:r>
                    <w:rPr>
                      <w:rFonts w:hint="eastAsia"/>
                      <w:bCs/>
                      <w:szCs w:val="24"/>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continue"/>
                  <w:vAlign w:val="center"/>
                </w:tcPr>
                <w:p>
                  <w:pPr>
                    <w:pStyle w:val="63"/>
                    <w:rPr>
                      <w:szCs w:val="24"/>
                    </w:rPr>
                  </w:pPr>
                </w:p>
              </w:tc>
              <w:tc>
                <w:tcPr>
                  <w:tcW w:w="2645" w:type="dxa"/>
                  <w:vAlign w:val="center"/>
                </w:tcPr>
                <w:p>
                  <w:pPr>
                    <w:pStyle w:val="63"/>
                    <w:rPr>
                      <w:szCs w:val="24"/>
                    </w:rPr>
                  </w:pPr>
                  <w:r>
                    <w:rPr>
                      <w:szCs w:val="24"/>
                    </w:rPr>
                    <w:t>阳离子交换（</w:t>
                  </w:r>
                  <w:r>
                    <w:rPr>
                      <w:bCs/>
                      <w:szCs w:val="24"/>
                    </w:rPr>
                    <w:t>cmol</w:t>
                  </w:r>
                  <w:r>
                    <w:rPr>
                      <w:rFonts w:hint="eastAsia"/>
                      <w:bCs/>
                      <w:szCs w:val="24"/>
                      <w:vertAlign w:val="superscript"/>
                    </w:rPr>
                    <w:t>+</w:t>
                  </w:r>
                  <w:r>
                    <w:rPr>
                      <w:bCs/>
                      <w:szCs w:val="24"/>
                    </w:rPr>
                    <w:t>/kg</w:t>
                  </w:r>
                  <w:r>
                    <w:rPr>
                      <w:szCs w:val="24"/>
                    </w:rPr>
                    <w:t>）</w:t>
                  </w:r>
                </w:p>
              </w:tc>
              <w:tc>
                <w:tcPr>
                  <w:tcW w:w="4263" w:type="dxa"/>
                  <w:vAlign w:val="center"/>
                </w:tcPr>
                <w:p>
                  <w:pPr>
                    <w:pStyle w:val="63"/>
                    <w:rPr>
                      <w:bCs/>
                      <w:szCs w:val="24"/>
                    </w:rPr>
                  </w:pPr>
                  <w:r>
                    <w:rPr>
                      <w:rFonts w:hint="eastAsia"/>
                      <w:bCs/>
                      <w:szCs w:val="24"/>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continue"/>
                  <w:vAlign w:val="center"/>
                </w:tcPr>
                <w:p>
                  <w:pPr>
                    <w:pStyle w:val="63"/>
                    <w:rPr>
                      <w:szCs w:val="24"/>
                    </w:rPr>
                  </w:pPr>
                </w:p>
              </w:tc>
              <w:tc>
                <w:tcPr>
                  <w:tcW w:w="2645" w:type="dxa"/>
                  <w:vAlign w:val="center"/>
                </w:tcPr>
                <w:p>
                  <w:pPr>
                    <w:pStyle w:val="63"/>
                    <w:rPr>
                      <w:szCs w:val="24"/>
                    </w:rPr>
                  </w:pPr>
                  <w:r>
                    <w:rPr>
                      <w:szCs w:val="24"/>
                    </w:rPr>
                    <w:t>容重（g/cm</w:t>
                  </w:r>
                  <w:r>
                    <w:rPr>
                      <w:szCs w:val="24"/>
                      <w:vertAlign w:val="superscript"/>
                    </w:rPr>
                    <w:t>3</w:t>
                  </w:r>
                  <w:r>
                    <w:rPr>
                      <w:szCs w:val="24"/>
                    </w:rPr>
                    <w:t>）</w:t>
                  </w:r>
                </w:p>
              </w:tc>
              <w:tc>
                <w:tcPr>
                  <w:tcW w:w="4263" w:type="dxa"/>
                  <w:vAlign w:val="center"/>
                </w:tcPr>
                <w:p>
                  <w:pPr>
                    <w:pStyle w:val="63"/>
                    <w:rPr>
                      <w:bCs/>
                      <w:szCs w:val="24"/>
                    </w:rPr>
                  </w:pPr>
                  <w:r>
                    <w:rPr>
                      <w:rFonts w:hint="eastAsia"/>
                      <w:bCs/>
                      <w:szCs w:val="24"/>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continue"/>
                  <w:vAlign w:val="center"/>
                </w:tcPr>
                <w:p>
                  <w:pPr>
                    <w:pStyle w:val="63"/>
                    <w:rPr>
                      <w:szCs w:val="24"/>
                    </w:rPr>
                  </w:pPr>
                </w:p>
              </w:tc>
              <w:tc>
                <w:tcPr>
                  <w:tcW w:w="2645" w:type="dxa"/>
                  <w:vAlign w:val="center"/>
                </w:tcPr>
                <w:p>
                  <w:pPr>
                    <w:pStyle w:val="63"/>
                    <w:rPr>
                      <w:bCs/>
                      <w:szCs w:val="24"/>
                    </w:rPr>
                  </w:pPr>
                  <w:r>
                    <w:rPr>
                      <w:szCs w:val="24"/>
                    </w:rPr>
                    <w:t>饱和导水率（mm/min）</w:t>
                  </w:r>
                </w:p>
              </w:tc>
              <w:tc>
                <w:tcPr>
                  <w:tcW w:w="4263" w:type="dxa"/>
                  <w:vAlign w:val="center"/>
                </w:tcPr>
                <w:p>
                  <w:pPr>
                    <w:pStyle w:val="63"/>
                    <w:rPr>
                      <w:bCs/>
                      <w:szCs w:val="24"/>
                    </w:rPr>
                  </w:pPr>
                  <w:r>
                    <w:rPr>
                      <w:rFonts w:hint="eastAsia"/>
                      <w:bCs/>
                      <w:szCs w:val="24"/>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30" w:type="dxa"/>
                  <w:vMerge w:val="continue"/>
                  <w:vAlign w:val="center"/>
                </w:tcPr>
                <w:p>
                  <w:pPr>
                    <w:pStyle w:val="63"/>
                    <w:rPr>
                      <w:szCs w:val="24"/>
                    </w:rPr>
                  </w:pPr>
                </w:p>
              </w:tc>
              <w:tc>
                <w:tcPr>
                  <w:tcW w:w="2645" w:type="dxa"/>
                  <w:vAlign w:val="center"/>
                </w:tcPr>
                <w:p>
                  <w:pPr>
                    <w:pStyle w:val="63"/>
                    <w:rPr>
                      <w:bCs/>
                      <w:szCs w:val="24"/>
                    </w:rPr>
                  </w:pPr>
                  <w:r>
                    <w:rPr>
                      <w:bCs/>
                    </w:rPr>
                    <w:t>孔隙度</w:t>
                  </w:r>
                  <w:r>
                    <w:rPr>
                      <w:bCs/>
                      <w:szCs w:val="24"/>
                    </w:rPr>
                    <w:t>（％）</w:t>
                  </w:r>
                </w:p>
              </w:tc>
              <w:tc>
                <w:tcPr>
                  <w:tcW w:w="4263" w:type="dxa"/>
                  <w:vAlign w:val="center"/>
                </w:tcPr>
                <w:p>
                  <w:pPr>
                    <w:pStyle w:val="63"/>
                    <w:rPr>
                      <w:bCs/>
                      <w:szCs w:val="24"/>
                    </w:rPr>
                  </w:pPr>
                  <w:r>
                    <w:rPr>
                      <w:rFonts w:hint="eastAsia"/>
                      <w:bCs/>
                      <w:szCs w:val="24"/>
                    </w:rPr>
                    <w:t>47</w:t>
                  </w:r>
                </w:p>
              </w:tc>
            </w:tr>
          </w:tbl>
          <w:p>
            <w:pPr>
              <w:pStyle w:val="63"/>
            </w:pPr>
          </w:p>
          <w:p>
            <w:pPr>
              <w:pStyle w:val="14"/>
              <w:keepNext/>
            </w:pPr>
            <w:bookmarkStart w:id="48" w:name="_Ref173526570"/>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15</w:t>
            </w:r>
            <w:r>
              <w:fldChar w:fldCharType="end"/>
            </w:r>
            <w:bookmarkEnd w:id="48"/>
            <w:r>
              <w:rPr>
                <w:rFonts w:hint="eastAsia"/>
              </w:rPr>
              <w:t xml:space="preserve">   土壤环境监测结果  mg/kg</w:t>
            </w:r>
          </w:p>
          <w:tbl>
            <w:tblPr>
              <w:tblStyle w:val="38"/>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2316"/>
              <w:gridCol w:w="1695"/>
              <w:gridCol w:w="1574"/>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807" w:type="dxa"/>
                  <w:vMerge w:val="restart"/>
                  <w:shd w:val="clear" w:color="auto" w:fill="auto"/>
                  <w:noWrap/>
                  <w:vAlign w:val="center"/>
                </w:tcPr>
                <w:p>
                  <w:pPr>
                    <w:pStyle w:val="63"/>
                    <w:rPr>
                      <w:rFonts w:hint="eastAsia" w:ascii="宋体" w:hAnsi="宋体" w:cs="宋体"/>
                      <w:szCs w:val="21"/>
                    </w:rPr>
                  </w:pPr>
                  <w:r>
                    <w:rPr>
                      <w:rFonts w:hint="eastAsia"/>
                      <w:szCs w:val="21"/>
                    </w:rPr>
                    <w:t>序号</w:t>
                  </w:r>
                </w:p>
              </w:tc>
              <w:tc>
                <w:tcPr>
                  <w:tcW w:w="2316" w:type="dxa"/>
                  <w:vMerge w:val="restart"/>
                  <w:shd w:val="clear" w:color="auto" w:fill="auto"/>
                  <w:vAlign w:val="center"/>
                </w:tcPr>
                <w:p>
                  <w:pPr>
                    <w:pStyle w:val="63"/>
                    <w:rPr>
                      <w:szCs w:val="21"/>
                    </w:rPr>
                  </w:pPr>
                  <w:r>
                    <w:rPr>
                      <w:rFonts w:hint="eastAsia"/>
                      <w:szCs w:val="21"/>
                    </w:rPr>
                    <w:t>监测因子　</w:t>
                  </w:r>
                </w:p>
              </w:tc>
              <w:tc>
                <w:tcPr>
                  <w:tcW w:w="3269" w:type="dxa"/>
                  <w:gridSpan w:val="2"/>
                  <w:shd w:val="clear" w:color="auto" w:fill="auto"/>
                  <w:vAlign w:val="center"/>
                </w:tcPr>
                <w:p>
                  <w:pPr>
                    <w:pStyle w:val="63"/>
                  </w:pPr>
                  <w:r>
                    <w:rPr>
                      <w:rFonts w:hint="eastAsia"/>
                    </w:rPr>
                    <w:t>G1</w:t>
                  </w:r>
                </w:p>
              </w:tc>
              <w:tc>
                <w:tcPr>
                  <w:tcW w:w="1572" w:type="dxa"/>
                  <w:shd w:val="clear" w:color="auto" w:fill="auto"/>
                  <w:vAlign w:val="center"/>
                </w:tcPr>
                <w:p>
                  <w:pPr>
                    <w:pStyle w:val="63"/>
                    <w:rPr>
                      <w:rFonts w:hint="eastAsia" w:ascii="宋体" w:hAnsi="宋体" w:cs="宋体"/>
                      <w:szCs w:val="21"/>
                    </w:rPr>
                  </w:pPr>
                  <w:r>
                    <w:rPr>
                      <w:rFonts w:hint="eastAsia"/>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vMerge w:val="continue"/>
                  <w:vAlign w:val="center"/>
                </w:tcPr>
                <w:p>
                  <w:pPr>
                    <w:pStyle w:val="63"/>
                    <w:rPr>
                      <w:rFonts w:hint="eastAsia" w:ascii="宋体" w:hAnsi="宋体" w:cs="宋体"/>
                      <w:szCs w:val="21"/>
                    </w:rPr>
                  </w:pPr>
                </w:p>
              </w:tc>
              <w:tc>
                <w:tcPr>
                  <w:tcW w:w="2316" w:type="dxa"/>
                  <w:vMerge w:val="continue"/>
                  <w:vAlign w:val="center"/>
                </w:tcPr>
                <w:p>
                  <w:pPr>
                    <w:pStyle w:val="63"/>
                    <w:rPr>
                      <w:rFonts w:hint="eastAsia" w:ascii="宋体" w:hAnsi="宋体" w:cs="宋体"/>
                      <w:szCs w:val="21"/>
                    </w:rPr>
                  </w:pPr>
                </w:p>
              </w:tc>
              <w:tc>
                <w:tcPr>
                  <w:tcW w:w="1695" w:type="dxa"/>
                  <w:shd w:val="clear" w:color="auto" w:fill="auto"/>
                  <w:vAlign w:val="center"/>
                </w:tcPr>
                <w:p>
                  <w:pPr>
                    <w:pStyle w:val="63"/>
                    <w:rPr>
                      <w:szCs w:val="21"/>
                    </w:rPr>
                  </w:pPr>
                  <w:r>
                    <w:rPr>
                      <w:rFonts w:hint="eastAsia"/>
                      <w:szCs w:val="21"/>
                    </w:rPr>
                    <w:t>监测结果</w:t>
                  </w:r>
                </w:p>
              </w:tc>
              <w:tc>
                <w:tcPr>
                  <w:tcW w:w="1574" w:type="dxa"/>
                  <w:shd w:val="clear" w:color="auto" w:fill="auto"/>
                  <w:vAlign w:val="center"/>
                </w:tcPr>
                <w:p>
                  <w:pPr>
                    <w:pStyle w:val="63"/>
                    <w:rPr>
                      <w:szCs w:val="21"/>
                    </w:rPr>
                  </w:pPr>
                  <w:r>
                    <w:rPr>
                      <w:rFonts w:hint="eastAsia"/>
                      <w:szCs w:val="21"/>
                    </w:rPr>
                    <w:t>标准指数</w:t>
                  </w:r>
                </w:p>
              </w:tc>
              <w:tc>
                <w:tcPr>
                  <w:tcW w:w="1572" w:type="dxa"/>
                  <w:shd w:val="clear" w:color="auto" w:fill="auto"/>
                  <w:vAlign w:val="center"/>
                </w:tcPr>
                <w:p>
                  <w:pPr>
                    <w:pStyle w:val="63"/>
                    <w:rPr>
                      <w:szCs w:val="21"/>
                    </w:rPr>
                  </w:pPr>
                  <w:r>
                    <w:rPr>
                      <w:rFonts w:hint="eastAsia"/>
                      <w:szCs w:val="21"/>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铜</w:t>
                  </w:r>
                </w:p>
              </w:tc>
              <w:tc>
                <w:tcPr>
                  <w:tcW w:w="1695" w:type="dxa"/>
                  <w:shd w:val="clear" w:color="auto" w:fill="auto"/>
                </w:tcPr>
                <w:p>
                  <w:pPr>
                    <w:pStyle w:val="63"/>
                  </w:pPr>
                  <w:r>
                    <w:t>38</w:t>
                  </w:r>
                </w:p>
              </w:tc>
              <w:tc>
                <w:tcPr>
                  <w:tcW w:w="1574" w:type="dxa"/>
                  <w:shd w:val="clear" w:color="auto" w:fill="auto"/>
                </w:tcPr>
                <w:p>
                  <w:pPr>
                    <w:pStyle w:val="63"/>
                  </w:pPr>
                  <w:r>
                    <w:t xml:space="preserve">0.0021 </w:t>
                  </w:r>
                </w:p>
              </w:tc>
              <w:tc>
                <w:tcPr>
                  <w:tcW w:w="1572" w:type="dxa"/>
                  <w:shd w:val="clear" w:color="auto" w:fill="auto"/>
                  <w:vAlign w:val="center"/>
                </w:tcPr>
                <w:p>
                  <w:pPr>
                    <w:pStyle w:val="63"/>
                  </w:pPr>
                  <w: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铅</w:t>
                  </w:r>
                </w:p>
              </w:tc>
              <w:tc>
                <w:tcPr>
                  <w:tcW w:w="1695" w:type="dxa"/>
                  <w:shd w:val="clear" w:color="auto" w:fill="auto"/>
                </w:tcPr>
                <w:p>
                  <w:pPr>
                    <w:pStyle w:val="63"/>
                  </w:pPr>
                  <w:r>
                    <w:t>32</w:t>
                  </w:r>
                </w:p>
              </w:tc>
              <w:tc>
                <w:tcPr>
                  <w:tcW w:w="1574" w:type="dxa"/>
                  <w:shd w:val="clear" w:color="auto" w:fill="auto"/>
                </w:tcPr>
                <w:p>
                  <w:pPr>
                    <w:pStyle w:val="63"/>
                  </w:pPr>
                  <w:r>
                    <w:t xml:space="preserve">0.0400 </w:t>
                  </w:r>
                </w:p>
              </w:tc>
              <w:tc>
                <w:tcPr>
                  <w:tcW w:w="1572" w:type="dxa"/>
                  <w:shd w:val="clear" w:color="auto" w:fill="auto"/>
                  <w:vAlign w:val="center"/>
                </w:tcPr>
                <w:p>
                  <w:pPr>
                    <w:pStyle w:val="63"/>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镉</w:t>
                  </w:r>
                </w:p>
              </w:tc>
              <w:tc>
                <w:tcPr>
                  <w:tcW w:w="1695" w:type="dxa"/>
                  <w:shd w:val="clear" w:color="auto" w:fill="auto"/>
                </w:tcPr>
                <w:p>
                  <w:pPr>
                    <w:pStyle w:val="63"/>
                  </w:pPr>
                  <w:r>
                    <w:t>0.24</w:t>
                  </w:r>
                </w:p>
              </w:tc>
              <w:tc>
                <w:tcPr>
                  <w:tcW w:w="1574" w:type="dxa"/>
                  <w:shd w:val="clear" w:color="auto" w:fill="auto"/>
                </w:tcPr>
                <w:p>
                  <w:pPr>
                    <w:pStyle w:val="63"/>
                  </w:pPr>
                  <w:r>
                    <w:t xml:space="preserve">0.0037 </w:t>
                  </w:r>
                </w:p>
              </w:tc>
              <w:tc>
                <w:tcPr>
                  <w:tcW w:w="1572" w:type="dxa"/>
                  <w:shd w:val="clear" w:color="auto" w:fill="auto"/>
                  <w:vAlign w:val="center"/>
                </w:tcPr>
                <w:p>
                  <w:pPr>
                    <w:pStyle w:val="63"/>
                  </w:pPr>
                  <w: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汞</w:t>
                  </w:r>
                </w:p>
              </w:tc>
              <w:tc>
                <w:tcPr>
                  <w:tcW w:w="1695" w:type="dxa"/>
                  <w:shd w:val="clear" w:color="auto" w:fill="auto"/>
                </w:tcPr>
                <w:p>
                  <w:pPr>
                    <w:pStyle w:val="63"/>
                  </w:pPr>
                  <w:r>
                    <w:t>0.047</w:t>
                  </w:r>
                </w:p>
              </w:tc>
              <w:tc>
                <w:tcPr>
                  <w:tcW w:w="1574" w:type="dxa"/>
                  <w:shd w:val="clear" w:color="auto" w:fill="auto"/>
                </w:tcPr>
                <w:p>
                  <w:pPr>
                    <w:pStyle w:val="63"/>
                  </w:pPr>
                  <w:r>
                    <w:t xml:space="preserve">0.0012 </w:t>
                  </w:r>
                </w:p>
              </w:tc>
              <w:tc>
                <w:tcPr>
                  <w:tcW w:w="1572" w:type="dxa"/>
                  <w:shd w:val="clear" w:color="auto" w:fill="auto"/>
                  <w:vAlign w:val="center"/>
                </w:tcPr>
                <w:p>
                  <w:pPr>
                    <w:pStyle w:val="63"/>
                  </w:pPr>
                  <w: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铬（六价）</w:t>
                  </w:r>
                </w:p>
              </w:tc>
              <w:tc>
                <w:tcPr>
                  <w:tcW w:w="1695" w:type="dxa"/>
                  <w:shd w:val="clear" w:color="auto" w:fill="auto"/>
                </w:tcPr>
                <w:p>
                  <w:pPr>
                    <w:pStyle w:val="63"/>
                    <w:rPr>
                      <w:rFonts w:eastAsia="等线" w:cs="Times New Roman"/>
                      <w:szCs w:val="21"/>
                    </w:rPr>
                  </w:pPr>
                  <w:r>
                    <w:rPr>
                      <w:rFonts w:hint="eastAsia"/>
                    </w:rPr>
                    <w:t>未检出</w:t>
                  </w:r>
                </w:p>
              </w:tc>
              <w:tc>
                <w:tcPr>
                  <w:tcW w:w="1574" w:type="dxa"/>
                  <w:shd w:val="clear" w:color="auto" w:fill="auto"/>
                </w:tcPr>
                <w:p>
                  <w:pPr>
                    <w:pStyle w:val="63"/>
                  </w:pPr>
                  <w:r>
                    <w:rPr>
                      <w:rFonts w:hint="eastAsia"/>
                    </w:rPr>
                    <w:t>-</w:t>
                  </w:r>
                </w:p>
              </w:tc>
              <w:tc>
                <w:tcPr>
                  <w:tcW w:w="1572" w:type="dxa"/>
                  <w:shd w:val="clear" w:color="auto" w:fill="auto"/>
                  <w:vAlign w:val="center"/>
                </w:tcPr>
                <w:p>
                  <w:pPr>
                    <w:pStyle w:val="63"/>
                  </w:pPr>
                  <w: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砷</w:t>
                  </w:r>
                </w:p>
              </w:tc>
              <w:tc>
                <w:tcPr>
                  <w:tcW w:w="1695" w:type="dxa"/>
                  <w:shd w:val="clear" w:color="auto" w:fill="auto"/>
                </w:tcPr>
                <w:p>
                  <w:pPr>
                    <w:pStyle w:val="63"/>
                    <w:rPr>
                      <w:rFonts w:hint="eastAsia" w:ascii="宋体" w:hAnsi="宋体" w:cs="宋体"/>
                    </w:rPr>
                  </w:pPr>
                  <w:r>
                    <w:t>2.44</w:t>
                  </w:r>
                </w:p>
              </w:tc>
              <w:tc>
                <w:tcPr>
                  <w:tcW w:w="1574" w:type="dxa"/>
                  <w:shd w:val="clear" w:color="auto" w:fill="auto"/>
                </w:tcPr>
                <w:p>
                  <w:pPr>
                    <w:pStyle w:val="63"/>
                  </w:pPr>
                  <w:r>
                    <w:t xml:space="preserve">0.0407 </w:t>
                  </w:r>
                </w:p>
              </w:tc>
              <w:tc>
                <w:tcPr>
                  <w:tcW w:w="1572" w:type="dxa"/>
                  <w:shd w:val="clear" w:color="auto" w:fill="auto"/>
                  <w:vAlign w:val="center"/>
                </w:tcPr>
                <w:p>
                  <w:pPr>
                    <w:pStyle w:val="63"/>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镍</w:t>
                  </w:r>
                </w:p>
              </w:tc>
              <w:tc>
                <w:tcPr>
                  <w:tcW w:w="1695" w:type="dxa"/>
                  <w:shd w:val="clear" w:color="auto" w:fill="auto"/>
                  <w:noWrap/>
                </w:tcPr>
                <w:p>
                  <w:pPr>
                    <w:pStyle w:val="63"/>
                    <w:rPr>
                      <w:rFonts w:hint="eastAsia" w:ascii="宋体" w:hAnsi="宋体" w:cs="宋体"/>
                    </w:rPr>
                  </w:pPr>
                  <w:r>
                    <w:t>37</w:t>
                  </w:r>
                </w:p>
              </w:tc>
              <w:tc>
                <w:tcPr>
                  <w:tcW w:w="1574" w:type="dxa"/>
                  <w:shd w:val="clear" w:color="auto" w:fill="auto"/>
                </w:tcPr>
                <w:p>
                  <w:pPr>
                    <w:pStyle w:val="63"/>
                  </w:pPr>
                  <w:r>
                    <w:t xml:space="preserve">0.0411 </w:t>
                  </w:r>
                </w:p>
              </w:tc>
              <w:tc>
                <w:tcPr>
                  <w:tcW w:w="1572" w:type="dxa"/>
                  <w:shd w:val="clear" w:color="auto" w:fill="auto"/>
                  <w:vAlign w:val="center"/>
                </w:tcPr>
                <w:p>
                  <w:pPr>
                    <w:pStyle w:val="63"/>
                  </w:pPr>
                  <w: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四氯化碳</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rPr>
                      <w:rFonts w:hint="eastAsia"/>
                      <w:szCs w:val="21"/>
                    </w:rPr>
                    <w:t>氯仿</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rPr>
                      <w:rFonts w:hint="eastAsia"/>
                      <w:szCs w:val="21"/>
                    </w:rPr>
                    <w:t>氯甲烷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t>1,1-</w:t>
                  </w:r>
                  <w:r>
                    <w:rPr>
                      <w:rFonts w:hint="eastAsia" w:cs="Times New Roman"/>
                      <w:szCs w:val="21"/>
                    </w:rPr>
                    <w:t>二氯乙烷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t>1,2-</w:t>
                  </w:r>
                  <w:r>
                    <w:rPr>
                      <w:rFonts w:hint="eastAsia" w:cs="Times New Roman"/>
                      <w:szCs w:val="21"/>
                    </w:rPr>
                    <w:t>二氯乙烷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t>1,1-</w:t>
                  </w:r>
                  <w:r>
                    <w:rPr>
                      <w:rFonts w:hint="eastAsia" w:cs="Times New Roman"/>
                      <w:szCs w:val="21"/>
                    </w:rPr>
                    <w:t>二氯乙烯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顺</w:t>
                  </w:r>
                  <w:r>
                    <w:rPr>
                      <w:rFonts w:cs="Times New Roman"/>
                      <w:szCs w:val="21"/>
                    </w:rPr>
                    <w:t>-1,2-</w:t>
                  </w:r>
                  <w:r>
                    <w:rPr>
                      <w:rFonts w:hint="eastAsia"/>
                      <w:szCs w:val="21"/>
                    </w:rPr>
                    <w:t>二氯乙烯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rPr>
                      <w:rFonts w:hint="eastAsia"/>
                      <w:szCs w:val="21"/>
                    </w:rPr>
                    <w:t>反</w:t>
                  </w:r>
                  <w:r>
                    <w:rPr>
                      <w:rFonts w:cs="Times New Roman"/>
                      <w:szCs w:val="21"/>
                    </w:rPr>
                    <w:t>-1,2-</w:t>
                  </w:r>
                  <w:r>
                    <w:rPr>
                      <w:rFonts w:hint="eastAsia"/>
                      <w:szCs w:val="21"/>
                    </w:rPr>
                    <w:t>二氯乙烯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rPr>
                      <w:rFonts w:hint="eastAsia"/>
                      <w:szCs w:val="21"/>
                    </w:rPr>
                    <w:t>二氯甲烷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t>1,2-</w:t>
                  </w:r>
                  <w:r>
                    <w:rPr>
                      <w:rFonts w:hint="eastAsia" w:cs="Times New Roman"/>
                      <w:szCs w:val="21"/>
                    </w:rPr>
                    <w:t>二氯丙烷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t>1,1,1,2-</w:t>
                  </w:r>
                  <w:r>
                    <w:rPr>
                      <w:rFonts w:hint="eastAsia" w:cs="Times New Roman"/>
                      <w:szCs w:val="21"/>
                    </w:rPr>
                    <w:t>四氯乙烷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t>1,1,2,2-</w:t>
                  </w:r>
                  <w:r>
                    <w:rPr>
                      <w:rFonts w:hint="eastAsia" w:cs="Times New Roman"/>
                      <w:szCs w:val="21"/>
                    </w:rPr>
                    <w:t>四氯乙烷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rPr>
                      <w:rFonts w:hint="eastAsia"/>
                      <w:szCs w:val="21"/>
                    </w:rPr>
                    <w:t>四氯乙烯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t>1,1,1-</w:t>
                  </w:r>
                  <w:r>
                    <w:rPr>
                      <w:rFonts w:hint="eastAsia" w:cs="Times New Roman"/>
                      <w:szCs w:val="21"/>
                    </w:rPr>
                    <w:t>三氯乙烷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t>1,1,2-</w:t>
                  </w:r>
                  <w:r>
                    <w:rPr>
                      <w:rFonts w:hint="eastAsia" w:cs="Times New Roman"/>
                      <w:szCs w:val="21"/>
                    </w:rPr>
                    <w:t>三氯乙烷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三氯乙烯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t>1,2,3-</w:t>
                  </w:r>
                  <w:r>
                    <w:rPr>
                      <w:rFonts w:hint="eastAsia" w:cs="Times New Roman"/>
                      <w:szCs w:val="21"/>
                    </w:rPr>
                    <w:t>三氯丙烷</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氯乙烯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rPr>
                      <w:rFonts w:hint="eastAsia"/>
                      <w:szCs w:val="21"/>
                    </w:rPr>
                    <w:t>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rPr>
                      <w:rFonts w:hint="eastAsia"/>
                      <w:szCs w:val="21"/>
                    </w:rPr>
                    <w:t>氯苯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t>1,2-</w:t>
                  </w:r>
                  <w:r>
                    <w:rPr>
                      <w:rFonts w:hint="eastAsia" w:cs="Times New Roman"/>
                      <w:szCs w:val="21"/>
                    </w:rPr>
                    <w:t>二氯苯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t>1,4-</w:t>
                  </w:r>
                  <w:r>
                    <w:rPr>
                      <w:rFonts w:hint="eastAsia" w:cs="Times New Roman"/>
                      <w:szCs w:val="21"/>
                    </w:rPr>
                    <w:t>二氯苯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乙苯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苯乙烯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甲苯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间二甲苯</w:t>
                  </w:r>
                  <w:r>
                    <w:rPr>
                      <w:rFonts w:cs="Times New Roman"/>
                      <w:szCs w:val="21"/>
                    </w:rPr>
                    <w:t>+</w:t>
                  </w:r>
                  <w:r>
                    <w:rPr>
                      <w:rFonts w:hint="eastAsia"/>
                      <w:szCs w:val="21"/>
                    </w:rPr>
                    <w:t>对二甲苯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邻二甲苯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eastAsia="等线" w:cs="Times New Roman"/>
                      <w:szCs w:val="21"/>
                    </w:rPr>
                  </w:pPr>
                  <w:r>
                    <w:rPr>
                      <w:rFonts w:hint="eastAsia"/>
                      <w:szCs w:val="21"/>
                    </w:rPr>
                    <w:t>硝基苯</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苯胺</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t>2-</w:t>
                  </w:r>
                  <w:r>
                    <w:rPr>
                      <w:rFonts w:hint="eastAsia" w:cs="Times New Roman"/>
                      <w:szCs w:val="21"/>
                    </w:rPr>
                    <w:t>氯酚</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苯并〔</w:t>
                  </w:r>
                  <w:r>
                    <w:rPr>
                      <w:rFonts w:cs="Times New Roman"/>
                      <w:szCs w:val="21"/>
                    </w:rPr>
                    <w:t>a</w:t>
                  </w:r>
                  <w:r>
                    <w:rPr>
                      <w:rFonts w:hint="eastAsia"/>
                      <w:szCs w:val="21"/>
                    </w:rPr>
                    <w:t>〕蒽</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苯并〔</w:t>
                  </w:r>
                  <w:r>
                    <w:rPr>
                      <w:rFonts w:cs="Times New Roman"/>
                      <w:szCs w:val="21"/>
                    </w:rPr>
                    <w:t>a</w:t>
                  </w:r>
                  <w:r>
                    <w:rPr>
                      <w:rFonts w:hint="eastAsia"/>
                      <w:szCs w:val="21"/>
                    </w:rPr>
                    <w:t>〕芘</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苯并〔</w:t>
                  </w:r>
                  <w:r>
                    <w:rPr>
                      <w:rFonts w:cs="Times New Roman"/>
                      <w:szCs w:val="21"/>
                    </w:rPr>
                    <w:t>b</w:t>
                  </w:r>
                  <w:r>
                    <w:rPr>
                      <w:rFonts w:hint="eastAsia"/>
                      <w:szCs w:val="21"/>
                    </w:rPr>
                    <w:t>〕荧蒽</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苯并〔</w:t>
                  </w:r>
                  <w:r>
                    <w:rPr>
                      <w:rFonts w:cs="Times New Roman"/>
                      <w:szCs w:val="21"/>
                    </w:rPr>
                    <w:t>k</w:t>
                  </w:r>
                  <w:r>
                    <w:rPr>
                      <w:rFonts w:hint="eastAsia"/>
                      <w:szCs w:val="21"/>
                    </w:rPr>
                    <w:t>〕荧蒽</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䓛</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二苯并〔</w:t>
                  </w:r>
                  <w:r>
                    <w:rPr>
                      <w:rFonts w:cs="Times New Roman"/>
                      <w:szCs w:val="21"/>
                    </w:rPr>
                    <w:t>a,h</w:t>
                  </w:r>
                  <w:r>
                    <w:rPr>
                      <w:rFonts w:hint="eastAsia"/>
                      <w:szCs w:val="21"/>
                    </w:rPr>
                    <w:t>〕蒽</w:t>
                  </w:r>
                </w:p>
              </w:tc>
              <w:tc>
                <w:tcPr>
                  <w:tcW w:w="1695" w:type="dxa"/>
                  <w:shd w:val="clear" w:color="auto" w:fill="auto"/>
                  <w:noWrap/>
                  <w:vAlign w:val="center"/>
                </w:tcPr>
                <w:p>
                  <w:pPr>
                    <w:pStyle w:val="63"/>
                    <w:rPr>
                      <w:rFonts w:hint="eastAsia" w:ascii="宋体" w:hAnsi="宋体" w:cs="宋体"/>
                      <w:szCs w:val="21"/>
                    </w:rPr>
                  </w:pPr>
                  <w:r>
                    <w:rPr>
                      <w:rFonts w:hint="eastAsia"/>
                      <w:szCs w:val="21"/>
                    </w:rPr>
                    <w:t>未检出</w:t>
                  </w:r>
                </w:p>
              </w:tc>
              <w:tc>
                <w:tcPr>
                  <w:tcW w:w="1574" w:type="dxa"/>
                  <w:shd w:val="clear" w:color="auto" w:fill="auto"/>
                  <w:vAlign w:val="center"/>
                </w:tcPr>
                <w:p>
                  <w:pPr>
                    <w:pStyle w:val="63"/>
                  </w:pPr>
                  <w:r>
                    <w:t>/</w:t>
                  </w:r>
                </w:p>
              </w:tc>
              <w:tc>
                <w:tcPr>
                  <w:tcW w:w="1572" w:type="dxa"/>
                  <w:shd w:val="clear" w:color="auto" w:fill="auto"/>
                  <w:vAlign w:val="center"/>
                </w:tcPr>
                <w:p>
                  <w:pPr>
                    <w:pStyle w:val="63"/>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rFonts w:hint="eastAsia" w:ascii="宋体" w:hAnsi="宋体" w:cs="宋体"/>
                      <w:szCs w:val="21"/>
                    </w:rPr>
                  </w:pPr>
                  <w:r>
                    <w:rPr>
                      <w:rFonts w:hint="eastAsia"/>
                      <w:szCs w:val="21"/>
                    </w:rPr>
                    <w:t>茚并〔</w:t>
                  </w:r>
                  <w:r>
                    <w:rPr>
                      <w:rFonts w:cs="Times New Roman"/>
                      <w:szCs w:val="21"/>
                    </w:rPr>
                    <w:t>1,2,3-cd</w:t>
                  </w:r>
                  <w:r>
                    <w:rPr>
                      <w:rFonts w:hint="eastAsia"/>
                      <w:szCs w:val="21"/>
                    </w:rPr>
                    <w:t>〕芘</w:t>
                  </w:r>
                </w:p>
              </w:tc>
              <w:tc>
                <w:tcPr>
                  <w:tcW w:w="1695" w:type="dxa"/>
                  <w:shd w:val="clear" w:color="auto" w:fill="auto"/>
                  <w:noWrap/>
                  <w:vAlign w:val="center"/>
                </w:tcPr>
                <w:p>
                  <w:pPr>
                    <w:pStyle w:val="63"/>
                    <w:rPr>
                      <w:rFonts w:eastAsia="等线" w:cs="Times New Roman"/>
                      <w:szCs w:val="21"/>
                    </w:rPr>
                  </w:pPr>
                  <w:r>
                    <w:rPr>
                      <w:rFonts w:hint="eastAsia"/>
                      <w:szCs w:val="21"/>
                    </w:rPr>
                    <w:t>未检出</w:t>
                  </w:r>
                </w:p>
              </w:tc>
              <w:tc>
                <w:tcPr>
                  <w:tcW w:w="1574" w:type="dxa"/>
                  <w:shd w:val="clear" w:color="auto" w:fill="auto"/>
                  <w:noWrap/>
                  <w:vAlign w:val="center"/>
                </w:tcPr>
                <w:p>
                  <w:pPr>
                    <w:pStyle w:val="63"/>
                    <w:rPr>
                      <w:rFonts w:eastAsia="Times New Roman"/>
                    </w:rPr>
                  </w:pPr>
                  <w:r>
                    <w:t>/</w:t>
                  </w:r>
                </w:p>
              </w:tc>
              <w:tc>
                <w:tcPr>
                  <w:tcW w:w="1572" w:type="dxa"/>
                  <w:shd w:val="clear" w:color="auto" w:fill="auto"/>
                  <w:vAlign w:val="center"/>
                </w:tcPr>
                <w:p>
                  <w:pPr>
                    <w:pStyle w:val="63"/>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rPr>
                      <w:szCs w:val="21"/>
                    </w:rPr>
                  </w:pPr>
                  <w:r>
                    <w:rPr>
                      <w:rFonts w:hint="eastAsia"/>
                      <w:szCs w:val="21"/>
                    </w:rPr>
                    <w:t>萘</w:t>
                  </w:r>
                </w:p>
              </w:tc>
              <w:tc>
                <w:tcPr>
                  <w:tcW w:w="1695" w:type="dxa"/>
                  <w:shd w:val="clear" w:color="auto" w:fill="auto"/>
                  <w:noWrap/>
                  <w:vAlign w:val="center"/>
                </w:tcPr>
                <w:p>
                  <w:pPr>
                    <w:pStyle w:val="63"/>
                    <w:rPr>
                      <w:rFonts w:eastAsia="等线" w:cs="Times New Roman"/>
                      <w:szCs w:val="21"/>
                    </w:rPr>
                  </w:pPr>
                  <w:r>
                    <w:rPr>
                      <w:rFonts w:hint="eastAsia"/>
                      <w:szCs w:val="21"/>
                    </w:rPr>
                    <w:t>未检出</w:t>
                  </w:r>
                </w:p>
              </w:tc>
              <w:tc>
                <w:tcPr>
                  <w:tcW w:w="1574" w:type="dxa"/>
                  <w:shd w:val="clear" w:color="auto" w:fill="auto"/>
                  <w:noWrap/>
                  <w:vAlign w:val="center"/>
                </w:tcPr>
                <w:p>
                  <w:pPr>
                    <w:pStyle w:val="63"/>
                    <w:rPr>
                      <w:rFonts w:eastAsia="Times New Roman"/>
                    </w:rPr>
                  </w:pPr>
                  <w:r>
                    <w:t>/</w:t>
                  </w:r>
                </w:p>
              </w:tc>
              <w:tc>
                <w:tcPr>
                  <w:tcW w:w="1572" w:type="dxa"/>
                  <w:shd w:val="clear" w:color="auto" w:fill="auto"/>
                  <w:vAlign w:val="center"/>
                </w:tcPr>
                <w:p>
                  <w:pPr>
                    <w:pStyle w:val="63"/>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07" w:type="dxa"/>
                  <w:shd w:val="clear" w:color="auto" w:fill="auto"/>
                  <w:vAlign w:val="center"/>
                </w:tcPr>
                <w:p>
                  <w:pPr>
                    <w:pStyle w:val="63"/>
                    <w:numPr>
                      <w:ilvl w:val="0"/>
                      <w:numId w:val="8"/>
                    </w:numPr>
                  </w:pPr>
                </w:p>
              </w:tc>
              <w:tc>
                <w:tcPr>
                  <w:tcW w:w="2316" w:type="dxa"/>
                  <w:shd w:val="clear" w:color="auto" w:fill="auto"/>
                  <w:vAlign w:val="center"/>
                </w:tcPr>
                <w:p>
                  <w:pPr>
                    <w:pStyle w:val="63"/>
                  </w:pPr>
                  <w:r>
                    <w:rPr>
                      <w:rFonts w:hint="eastAsia"/>
                    </w:rPr>
                    <w:t>石油烃（C</w:t>
                  </w:r>
                  <w:r>
                    <w:rPr>
                      <w:rFonts w:hint="eastAsia"/>
                      <w:vertAlign w:val="subscript"/>
                    </w:rPr>
                    <w:t>10</w:t>
                  </w:r>
                  <w:r>
                    <w:rPr>
                      <w:rFonts w:hint="eastAsia"/>
                    </w:rPr>
                    <w:t>~C</w:t>
                  </w:r>
                  <w:r>
                    <w:rPr>
                      <w:rFonts w:hint="eastAsia"/>
                      <w:vertAlign w:val="subscript"/>
                    </w:rPr>
                    <w:t>40</w:t>
                  </w:r>
                  <w:r>
                    <w:rPr>
                      <w:rFonts w:hint="eastAsia"/>
                    </w:rPr>
                    <w:t>）</w:t>
                  </w:r>
                </w:p>
              </w:tc>
              <w:tc>
                <w:tcPr>
                  <w:tcW w:w="1695" w:type="dxa"/>
                  <w:shd w:val="clear" w:color="auto" w:fill="auto"/>
                  <w:noWrap/>
                  <w:vAlign w:val="center"/>
                </w:tcPr>
                <w:p>
                  <w:pPr>
                    <w:pStyle w:val="63"/>
                    <w:rPr>
                      <w:szCs w:val="21"/>
                    </w:rPr>
                  </w:pPr>
                  <w:r>
                    <w:rPr>
                      <w:rFonts w:hint="eastAsia"/>
                      <w:szCs w:val="21"/>
                    </w:rPr>
                    <w:t>12</w:t>
                  </w:r>
                </w:p>
              </w:tc>
              <w:tc>
                <w:tcPr>
                  <w:tcW w:w="1574" w:type="dxa"/>
                  <w:shd w:val="clear" w:color="auto" w:fill="auto"/>
                  <w:noWrap/>
                  <w:vAlign w:val="center"/>
                </w:tcPr>
                <w:p>
                  <w:pPr>
                    <w:pStyle w:val="63"/>
                  </w:pPr>
                  <w:r>
                    <w:rPr>
                      <w:rFonts w:hint="eastAsia"/>
                    </w:rPr>
                    <w:t>0.0027</w:t>
                  </w:r>
                </w:p>
              </w:tc>
              <w:tc>
                <w:tcPr>
                  <w:tcW w:w="1572" w:type="dxa"/>
                  <w:shd w:val="clear" w:color="auto" w:fill="auto"/>
                  <w:vAlign w:val="center"/>
                </w:tcPr>
                <w:p>
                  <w:pPr>
                    <w:pStyle w:val="63"/>
                  </w:pPr>
                  <w:r>
                    <w:rPr>
                      <w:rFonts w:hint="eastAsia"/>
                    </w:rPr>
                    <w:t>4500</w:t>
                  </w:r>
                </w:p>
              </w:tc>
            </w:tr>
          </w:tbl>
          <w:p/>
          <w:p>
            <w:pPr>
              <w:pStyle w:val="4"/>
              <w:spacing w:before="120" w:after="120"/>
            </w:pPr>
            <w:r>
              <w:rPr>
                <w:rFonts w:hint="eastAsia"/>
              </w:rPr>
              <w:t>河流底泥环境</w:t>
            </w:r>
          </w:p>
          <w:p>
            <w:pPr>
              <w:pStyle w:val="5"/>
              <w:ind w:firstLine="480"/>
            </w:pPr>
            <w:r>
              <w:rPr>
                <w:rFonts w:hint="eastAsia"/>
              </w:rPr>
              <w:t>根据HJ2.3-2018要求，本项目对朱衣河开展底泥补充监测。</w:t>
            </w:r>
          </w:p>
          <w:p>
            <w:pPr>
              <w:pStyle w:val="5"/>
              <w:ind w:firstLine="480"/>
            </w:pPr>
            <w:r>
              <w:rPr>
                <w:rFonts w:hint="eastAsia"/>
              </w:rPr>
              <w:t>（1）监测断面</w:t>
            </w:r>
          </w:p>
          <w:p>
            <w:pPr>
              <w:pStyle w:val="5"/>
              <w:ind w:firstLine="480"/>
            </w:pPr>
            <w:r>
              <w:rPr>
                <w:rFonts w:hint="eastAsia"/>
              </w:rPr>
              <w:t>设2个监测断面，位置为本项目排污口上游约300m，下游4.7km</w:t>
            </w:r>
            <w:r>
              <w:t>。</w:t>
            </w:r>
          </w:p>
          <w:p>
            <w:pPr>
              <w:pStyle w:val="5"/>
              <w:ind w:firstLine="480"/>
            </w:pPr>
            <w:r>
              <w:rPr>
                <w:rFonts w:hint="eastAsia"/>
              </w:rPr>
              <w:t>（2）监测因子：</w:t>
            </w:r>
            <w:r>
              <w:t>pH、镉、汞、砷、铅、铬、铜、镍、锌、铬（六价）、石油烃</w:t>
            </w:r>
            <w:r>
              <w:rPr>
                <w:rFonts w:hint="eastAsia"/>
              </w:rPr>
              <w:t>；</w:t>
            </w:r>
          </w:p>
          <w:p>
            <w:pPr>
              <w:pStyle w:val="5"/>
              <w:ind w:firstLine="480"/>
            </w:pPr>
            <w:r>
              <w:rPr>
                <w:rFonts w:hint="eastAsia"/>
              </w:rPr>
              <w:t>（3）监测时间及频率：采样频率为1次。</w:t>
            </w:r>
          </w:p>
          <w:p>
            <w:pPr>
              <w:pStyle w:val="5"/>
              <w:ind w:firstLine="480"/>
            </w:pPr>
            <w:r>
              <w:rPr>
                <w:rFonts w:hint="eastAsia"/>
              </w:rPr>
              <w:t>（4）监测结果</w:t>
            </w:r>
          </w:p>
          <w:p>
            <w:pPr>
              <w:pStyle w:val="5"/>
              <w:ind w:firstLine="480"/>
            </w:pPr>
            <w:r>
              <w:rPr>
                <w:rFonts w:hint="eastAsia"/>
              </w:rPr>
              <w:t>底泥监测结果见</w:t>
            </w:r>
            <w:r>
              <w:fldChar w:fldCharType="begin"/>
            </w:r>
            <w:r>
              <w:instrText xml:space="preserve"> </w:instrText>
            </w:r>
            <w:r>
              <w:rPr>
                <w:rFonts w:hint="eastAsia"/>
              </w:rPr>
              <w:instrText xml:space="preserve">REF _Ref31721339 \h</w:instrText>
            </w:r>
            <w:r>
              <w:instrText xml:space="preserve">  \* MERGEFORMAT </w:instrText>
            </w:r>
            <w:r>
              <w:fldChar w:fldCharType="separate"/>
            </w:r>
            <w:r>
              <w:rPr>
                <w:rFonts w:hint="eastAsia"/>
              </w:rPr>
              <w:t xml:space="preserve">表 </w:t>
            </w:r>
            <w:r>
              <w:t>3.1</w:t>
            </w:r>
            <w:r>
              <w:noBreakHyphen/>
            </w:r>
            <w:r>
              <w:t>16</w:t>
            </w:r>
            <w:r>
              <w:fldChar w:fldCharType="end"/>
            </w:r>
            <w:r>
              <w:rPr>
                <w:rFonts w:hint="eastAsia"/>
              </w:rPr>
              <w:t>。</w:t>
            </w:r>
          </w:p>
          <w:p>
            <w:pPr>
              <w:pStyle w:val="14"/>
              <w:keepNext/>
            </w:pPr>
            <w:bookmarkStart w:id="49" w:name="_Ref31721339"/>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16</w:t>
            </w:r>
            <w:r>
              <w:fldChar w:fldCharType="end"/>
            </w:r>
            <w:bookmarkEnd w:id="49"/>
            <w:r>
              <w:rPr>
                <w:rFonts w:hint="eastAsia"/>
              </w:rPr>
              <w:t xml:space="preserve">   底泥监测结果一览表  mg/kg(pH无量纲)</w:t>
            </w:r>
          </w:p>
          <w:tbl>
            <w:tblPr>
              <w:tblStyle w:val="39"/>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14"/>
              <w:gridCol w:w="584"/>
              <w:gridCol w:w="713"/>
              <w:gridCol w:w="713"/>
              <w:gridCol w:w="584"/>
              <w:gridCol w:w="689"/>
              <w:gridCol w:w="584"/>
              <w:gridCol w:w="533"/>
              <w:gridCol w:w="534"/>
              <w:gridCol w:w="534"/>
              <w:gridCol w:w="534"/>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Align w:val="center"/>
                </w:tcPr>
                <w:p>
                  <w:pPr>
                    <w:pStyle w:val="63"/>
                  </w:pPr>
                  <w:r>
                    <w:rPr>
                      <w:rFonts w:hint="eastAsia"/>
                    </w:rPr>
                    <w:t>监测点</w:t>
                  </w:r>
                </w:p>
              </w:tc>
              <w:tc>
                <w:tcPr>
                  <w:tcW w:w="714" w:type="dxa"/>
                  <w:vAlign w:val="center"/>
                </w:tcPr>
                <w:p>
                  <w:pPr>
                    <w:pStyle w:val="63"/>
                  </w:pPr>
                  <w:r>
                    <w:rPr>
                      <w:rFonts w:hint="eastAsia"/>
                    </w:rPr>
                    <w:t>污染物</w:t>
                  </w:r>
                </w:p>
              </w:tc>
              <w:tc>
                <w:tcPr>
                  <w:tcW w:w="584" w:type="dxa"/>
                  <w:vAlign w:val="center"/>
                </w:tcPr>
                <w:p>
                  <w:pPr>
                    <w:pStyle w:val="63"/>
                  </w:pPr>
                  <w:r>
                    <w:rPr>
                      <w:rFonts w:hint="eastAsia"/>
                    </w:rPr>
                    <w:t>pH</w:t>
                  </w:r>
                </w:p>
              </w:tc>
              <w:tc>
                <w:tcPr>
                  <w:tcW w:w="713" w:type="dxa"/>
                  <w:vAlign w:val="center"/>
                </w:tcPr>
                <w:p>
                  <w:pPr>
                    <w:pStyle w:val="63"/>
                  </w:pPr>
                  <w:r>
                    <w:rPr>
                      <w:rFonts w:hint="eastAsia"/>
                    </w:rPr>
                    <w:t>石油烃</w:t>
                  </w:r>
                </w:p>
              </w:tc>
              <w:tc>
                <w:tcPr>
                  <w:tcW w:w="713" w:type="dxa"/>
                </w:tcPr>
                <w:p>
                  <w:pPr>
                    <w:jc w:val="center"/>
                    <w:rPr>
                      <w:szCs w:val="21"/>
                    </w:rPr>
                  </w:pPr>
                  <w:r>
                    <w:rPr>
                      <w:rFonts w:hint="eastAsia"/>
                      <w:szCs w:val="21"/>
                    </w:rPr>
                    <w:t>六价铬</w:t>
                  </w:r>
                </w:p>
              </w:tc>
              <w:tc>
                <w:tcPr>
                  <w:tcW w:w="584" w:type="dxa"/>
                  <w:vAlign w:val="center"/>
                </w:tcPr>
                <w:p>
                  <w:pPr>
                    <w:pStyle w:val="63"/>
                  </w:pPr>
                  <w:r>
                    <w:rPr>
                      <w:rFonts w:hint="eastAsia"/>
                    </w:rPr>
                    <w:t>镉</w:t>
                  </w:r>
                </w:p>
              </w:tc>
              <w:tc>
                <w:tcPr>
                  <w:tcW w:w="689" w:type="dxa"/>
                  <w:vAlign w:val="center"/>
                </w:tcPr>
                <w:p>
                  <w:pPr>
                    <w:pStyle w:val="63"/>
                  </w:pPr>
                  <w:r>
                    <w:rPr>
                      <w:rFonts w:hint="eastAsia"/>
                    </w:rPr>
                    <w:t>汞</w:t>
                  </w:r>
                </w:p>
              </w:tc>
              <w:tc>
                <w:tcPr>
                  <w:tcW w:w="584" w:type="dxa"/>
                  <w:vAlign w:val="center"/>
                </w:tcPr>
                <w:p>
                  <w:pPr>
                    <w:pStyle w:val="63"/>
                  </w:pPr>
                  <w:r>
                    <w:rPr>
                      <w:rFonts w:hint="eastAsia"/>
                    </w:rPr>
                    <w:t>砷</w:t>
                  </w:r>
                </w:p>
              </w:tc>
              <w:tc>
                <w:tcPr>
                  <w:tcW w:w="533" w:type="dxa"/>
                  <w:vAlign w:val="center"/>
                </w:tcPr>
                <w:p>
                  <w:pPr>
                    <w:pStyle w:val="63"/>
                  </w:pPr>
                  <w:r>
                    <w:rPr>
                      <w:rFonts w:hint="eastAsia"/>
                    </w:rPr>
                    <w:t>铅</w:t>
                  </w:r>
                </w:p>
              </w:tc>
              <w:tc>
                <w:tcPr>
                  <w:tcW w:w="534" w:type="dxa"/>
                  <w:vAlign w:val="center"/>
                </w:tcPr>
                <w:p>
                  <w:pPr>
                    <w:pStyle w:val="63"/>
                  </w:pPr>
                  <w:r>
                    <w:rPr>
                      <w:rFonts w:hint="eastAsia"/>
                    </w:rPr>
                    <w:t>铬</w:t>
                  </w:r>
                </w:p>
              </w:tc>
              <w:tc>
                <w:tcPr>
                  <w:tcW w:w="534" w:type="dxa"/>
                  <w:vAlign w:val="center"/>
                </w:tcPr>
                <w:p>
                  <w:pPr>
                    <w:pStyle w:val="63"/>
                  </w:pPr>
                  <w:r>
                    <w:rPr>
                      <w:rFonts w:hint="eastAsia"/>
                    </w:rPr>
                    <w:t>铜</w:t>
                  </w:r>
                </w:p>
              </w:tc>
              <w:tc>
                <w:tcPr>
                  <w:tcW w:w="534" w:type="dxa"/>
                  <w:vAlign w:val="center"/>
                </w:tcPr>
                <w:p>
                  <w:pPr>
                    <w:pStyle w:val="63"/>
                  </w:pPr>
                  <w:r>
                    <w:rPr>
                      <w:rFonts w:hint="eastAsia"/>
                    </w:rPr>
                    <w:t>镍</w:t>
                  </w:r>
                </w:p>
              </w:tc>
              <w:tc>
                <w:tcPr>
                  <w:tcW w:w="534" w:type="dxa"/>
                  <w:vAlign w:val="center"/>
                </w:tcPr>
                <w:p>
                  <w:pPr>
                    <w:pStyle w:val="63"/>
                  </w:pPr>
                  <w:r>
                    <w:rPr>
                      <w:rFonts w:hint="eastAsia"/>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Merge w:val="restart"/>
                  <w:vAlign w:val="center"/>
                </w:tcPr>
                <w:p>
                  <w:pPr>
                    <w:pStyle w:val="63"/>
                  </w:pPr>
                  <w:r>
                    <w:rPr>
                      <w:rFonts w:hint="eastAsia"/>
                    </w:rPr>
                    <w:t>1#</w:t>
                  </w:r>
                </w:p>
              </w:tc>
              <w:tc>
                <w:tcPr>
                  <w:tcW w:w="714" w:type="dxa"/>
                  <w:vAlign w:val="center"/>
                </w:tcPr>
                <w:p>
                  <w:pPr>
                    <w:pStyle w:val="63"/>
                  </w:pPr>
                  <w:r>
                    <w:rPr>
                      <w:rFonts w:hint="eastAsia"/>
                    </w:rPr>
                    <w:t>监测值</w:t>
                  </w:r>
                </w:p>
              </w:tc>
              <w:tc>
                <w:tcPr>
                  <w:tcW w:w="584" w:type="dxa"/>
                  <w:vAlign w:val="center"/>
                </w:tcPr>
                <w:p>
                  <w:pPr>
                    <w:pStyle w:val="63"/>
                  </w:pPr>
                  <w:r>
                    <w:t>8.9</w:t>
                  </w:r>
                </w:p>
              </w:tc>
              <w:tc>
                <w:tcPr>
                  <w:tcW w:w="713" w:type="dxa"/>
                  <w:vAlign w:val="center"/>
                </w:tcPr>
                <w:p>
                  <w:pPr>
                    <w:pStyle w:val="63"/>
                  </w:pPr>
                  <w:r>
                    <w:t>11</w:t>
                  </w:r>
                </w:p>
              </w:tc>
              <w:tc>
                <w:tcPr>
                  <w:tcW w:w="713" w:type="dxa"/>
                  <w:vAlign w:val="center"/>
                </w:tcPr>
                <w:p>
                  <w:pPr>
                    <w:pStyle w:val="63"/>
                  </w:pPr>
                  <w:r>
                    <w:t>未检出</w:t>
                  </w:r>
                </w:p>
              </w:tc>
              <w:tc>
                <w:tcPr>
                  <w:tcW w:w="584" w:type="dxa"/>
                  <w:vAlign w:val="center"/>
                </w:tcPr>
                <w:p>
                  <w:pPr>
                    <w:pStyle w:val="63"/>
                  </w:pPr>
                  <w:r>
                    <w:t>0.12</w:t>
                  </w:r>
                </w:p>
              </w:tc>
              <w:tc>
                <w:tcPr>
                  <w:tcW w:w="689" w:type="dxa"/>
                  <w:vAlign w:val="center"/>
                </w:tcPr>
                <w:p>
                  <w:pPr>
                    <w:pStyle w:val="63"/>
                  </w:pPr>
                  <w:r>
                    <w:t>0.184</w:t>
                  </w:r>
                </w:p>
              </w:tc>
              <w:tc>
                <w:tcPr>
                  <w:tcW w:w="584" w:type="dxa"/>
                  <w:vAlign w:val="center"/>
                </w:tcPr>
                <w:p>
                  <w:pPr>
                    <w:pStyle w:val="63"/>
                  </w:pPr>
                  <w:r>
                    <w:t>7.32</w:t>
                  </w:r>
                </w:p>
              </w:tc>
              <w:tc>
                <w:tcPr>
                  <w:tcW w:w="533" w:type="dxa"/>
                  <w:vAlign w:val="center"/>
                </w:tcPr>
                <w:p>
                  <w:pPr>
                    <w:pStyle w:val="63"/>
                  </w:pPr>
                  <w:r>
                    <w:t>40</w:t>
                  </w:r>
                </w:p>
              </w:tc>
              <w:tc>
                <w:tcPr>
                  <w:tcW w:w="534" w:type="dxa"/>
                  <w:vAlign w:val="center"/>
                </w:tcPr>
                <w:p>
                  <w:pPr>
                    <w:pStyle w:val="63"/>
                  </w:pPr>
                  <w:r>
                    <w:t>64</w:t>
                  </w:r>
                </w:p>
              </w:tc>
              <w:tc>
                <w:tcPr>
                  <w:tcW w:w="534" w:type="dxa"/>
                  <w:vAlign w:val="center"/>
                </w:tcPr>
                <w:p>
                  <w:pPr>
                    <w:pStyle w:val="63"/>
                  </w:pPr>
                  <w:r>
                    <w:t>42</w:t>
                  </w:r>
                </w:p>
              </w:tc>
              <w:tc>
                <w:tcPr>
                  <w:tcW w:w="534" w:type="dxa"/>
                  <w:vAlign w:val="center"/>
                </w:tcPr>
                <w:p>
                  <w:pPr>
                    <w:pStyle w:val="63"/>
                  </w:pPr>
                  <w:r>
                    <w:t>38</w:t>
                  </w:r>
                </w:p>
              </w:tc>
              <w:tc>
                <w:tcPr>
                  <w:tcW w:w="534" w:type="dxa"/>
                  <w:vAlign w:val="center"/>
                </w:tcPr>
                <w:p>
                  <w:pPr>
                    <w:pStyle w:val="63"/>
                  </w:pPr>
                  <w: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Merge w:val="continue"/>
                  <w:vAlign w:val="center"/>
                </w:tcPr>
                <w:p>
                  <w:pPr>
                    <w:pStyle w:val="63"/>
                  </w:pPr>
                </w:p>
              </w:tc>
              <w:tc>
                <w:tcPr>
                  <w:tcW w:w="714" w:type="dxa"/>
                  <w:vAlign w:val="center"/>
                </w:tcPr>
                <w:p>
                  <w:pPr>
                    <w:pStyle w:val="63"/>
                  </w:pPr>
                  <w:r>
                    <w:rPr>
                      <w:rFonts w:hint="eastAsia"/>
                    </w:rPr>
                    <w:t>达标</w:t>
                  </w:r>
                </w:p>
                <w:p>
                  <w:pPr>
                    <w:pStyle w:val="63"/>
                  </w:pPr>
                  <w:r>
                    <w:rPr>
                      <w:rFonts w:hint="eastAsia"/>
                    </w:rPr>
                    <w:t>情况</w:t>
                  </w:r>
                </w:p>
              </w:tc>
              <w:tc>
                <w:tcPr>
                  <w:tcW w:w="584" w:type="dxa"/>
                </w:tcPr>
                <w:p>
                  <w:pPr>
                    <w:pStyle w:val="63"/>
                  </w:pPr>
                  <w:r>
                    <w:rPr>
                      <w:rFonts w:hint="eastAsia"/>
                    </w:rPr>
                    <w:t>/</w:t>
                  </w:r>
                </w:p>
              </w:tc>
              <w:tc>
                <w:tcPr>
                  <w:tcW w:w="713" w:type="dxa"/>
                </w:tcPr>
                <w:p>
                  <w:pPr>
                    <w:pStyle w:val="63"/>
                  </w:pPr>
                  <w:r>
                    <w:rPr>
                      <w:rFonts w:hint="eastAsia"/>
                    </w:rPr>
                    <w:t>/</w:t>
                  </w:r>
                </w:p>
              </w:tc>
              <w:tc>
                <w:tcPr>
                  <w:tcW w:w="713" w:type="dxa"/>
                </w:tcPr>
                <w:p>
                  <w:pPr>
                    <w:pStyle w:val="63"/>
                  </w:pPr>
                  <w:r>
                    <w:rPr>
                      <w:rFonts w:hint="eastAsia"/>
                    </w:rPr>
                    <w:t>/</w:t>
                  </w:r>
                </w:p>
              </w:tc>
              <w:tc>
                <w:tcPr>
                  <w:tcW w:w="584" w:type="dxa"/>
                  <w:vAlign w:val="center"/>
                </w:tcPr>
                <w:p>
                  <w:pPr>
                    <w:pStyle w:val="63"/>
                  </w:pPr>
                  <w:r>
                    <w:rPr>
                      <w:rFonts w:hint="eastAsia"/>
                    </w:rPr>
                    <w:t>达标</w:t>
                  </w:r>
                </w:p>
              </w:tc>
              <w:tc>
                <w:tcPr>
                  <w:tcW w:w="689" w:type="dxa"/>
                  <w:vAlign w:val="center"/>
                </w:tcPr>
                <w:p>
                  <w:pPr>
                    <w:pStyle w:val="63"/>
                  </w:pPr>
                  <w:r>
                    <w:rPr>
                      <w:rFonts w:hint="eastAsia"/>
                    </w:rPr>
                    <w:t>达标</w:t>
                  </w:r>
                </w:p>
              </w:tc>
              <w:tc>
                <w:tcPr>
                  <w:tcW w:w="584" w:type="dxa"/>
                  <w:vAlign w:val="center"/>
                </w:tcPr>
                <w:p>
                  <w:pPr>
                    <w:pStyle w:val="63"/>
                  </w:pPr>
                  <w:r>
                    <w:rPr>
                      <w:rFonts w:hint="eastAsia"/>
                    </w:rPr>
                    <w:t>达标</w:t>
                  </w:r>
                </w:p>
              </w:tc>
              <w:tc>
                <w:tcPr>
                  <w:tcW w:w="533" w:type="dxa"/>
                  <w:vAlign w:val="center"/>
                </w:tcPr>
                <w:p>
                  <w:pPr>
                    <w:pStyle w:val="63"/>
                  </w:pPr>
                  <w:r>
                    <w:rPr>
                      <w:rFonts w:hint="eastAsia"/>
                    </w:rPr>
                    <w:t>达标</w:t>
                  </w:r>
                </w:p>
              </w:tc>
              <w:tc>
                <w:tcPr>
                  <w:tcW w:w="534" w:type="dxa"/>
                  <w:vAlign w:val="center"/>
                </w:tcPr>
                <w:p>
                  <w:pPr>
                    <w:pStyle w:val="63"/>
                  </w:pPr>
                  <w:r>
                    <w:rPr>
                      <w:rFonts w:hint="eastAsia"/>
                    </w:rPr>
                    <w:t>达标</w:t>
                  </w:r>
                </w:p>
              </w:tc>
              <w:tc>
                <w:tcPr>
                  <w:tcW w:w="534" w:type="dxa"/>
                </w:tcPr>
                <w:p>
                  <w:pPr>
                    <w:pStyle w:val="63"/>
                  </w:pPr>
                  <w:r>
                    <w:rPr>
                      <w:rFonts w:hint="eastAsia"/>
                    </w:rPr>
                    <w:t>达标</w:t>
                  </w:r>
                </w:p>
              </w:tc>
              <w:tc>
                <w:tcPr>
                  <w:tcW w:w="534" w:type="dxa"/>
                </w:tcPr>
                <w:p>
                  <w:pPr>
                    <w:pStyle w:val="63"/>
                  </w:pPr>
                  <w:r>
                    <w:rPr>
                      <w:rFonts w:hint="eastAsia"/>
                    </w:rPr>
                    <w:t>达标</w:t>
                  </w:r>
                </w:p>
              </w:tc>
              <w:tc>
                <w:tcPr>
                  <w:tcW w:w="534" w:type="dxa"/>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Merge w:val="restart"/>
                  <w:vAlign w:val="center"/>
                </w:tcPr>
                <w:p>
                  <w:pPr>
                    <w:pStyle w:val="63"/>
                  </w:pPr>
                  <w:r>
                    <w:rPr>
                      <w:rFonts w:hint="eastAsia"/>
                    </w:rPr>
                    <w:t>2#</w:t>
                  </w:r>
                </w:p>
              </w:tc>
              <w:tc>
                <w:tcPr>
                  <w:tcW w:w="714" w:type="dxa"/>
                  <w:vAlign w:val="center"/>
                </w:tcPr>
                <w:p>
                  <w:pPr>
                    <w:pStyle w:val="63"/>
                  </w:pPr>
                  <w:r>
                    <w:rPr>
                      <w:rFonts w:hint="eastAsia"/>
                    </w:rPr>
                    <w:t>监测值</w:t>
                  </w:r>
                </w:p>
              </w:tc>
              <w:tc>
                <w:tcPr>
                  <w:tcW w:w="584" w:type="dxa"/>
                  <w:vAlign w:val="center"/>
                </w:tcPr>
                <w:p>
                  <w:pPr>
                    <w:pStyle w:val="63"/>
                  </w:pPr>
                  <w:r>
                    <w:t>9.13</w:t>
                  </w:r>
                </w:p>
              </w:tc>
              <w:tc>
                <w:tcPr>
                  <w:tcW w:w="713" w:type="dxa"/>
                  <w:vAlign w:val="center"/>
                </w:tcPr>
                <w:p>
                  <w:pPr>
                    <w:pStyle w:val="63"/>
                  </w:pPr>
                  <w:r>
                    <w:t>22</w:t>
                  </w:r>
                </w:p>
              </w:tc>
              <w:tc>
                <w:tcPr>
                  <w:tcW w:w="713" w:type="dxa"/>
                  <w:vAlign w:val="center"/>
                </w:tcPr>
                <w:p>
                  <w:pPr>
                    <w:pStyle w:val="63"/>
                  </w:pPr>
                  <w:r>
                    <w:t>未检出</w:t>
                  </w:r>
                </w:p>
              </w:tc>
              <w:tc>
                <w:tcPr>
                  <w:tcW w:w="584" w:type="dxa"/>
                  <w:vAlign w:val="center"/>
                </w:tcPr>
                <w:p>
                  <w:pPr>
                    <w:pStyle w:val="63"/>
                  </w:pPr>
                  <w:r>
                    <w:t>0.14</w:t>
                  </w:r>
                </w:p>
              </w:tc>
              <w:tc>
                <w:tcPr>
                  <w:tcW w:w="689" w:type="dxa"/>
                  <w:vAlign w:val="center"/>
                </w:tcPr>
                <w:p>
                  <w:pPr>
                    <w:pStyle w:val="63"/>
                  </w:pPr>
                  <w:r>
                    <w:t>0.079</w:t>
                  </w:r>
                </w:p>
              </w:tc>
              <w:tc>
                <w:tcPr>
                  <w:tcW w:w="584" w:type="dxa"/>
                  <w:vAlign w:val="center"/>
                </w:tcPr>
                <w:p>
                  <w:pPr>
                    <w:pStyle w:val="63"/>
                  </w:pPr>
                  <w:r>
                    <w:t>5.03</w:t>
                  </w:r>
                </w:p>
              </w:tc>
              <w:tc>
                <w:tcPr>
                  <w:tcW w:w="533" w:type="dxa"/>
                  <w:vAlign w:val="center"/>
                </w:tcPr>
                <w:p>
                  <w:pPr>
                    <w:pStyle w:val="63"/>
                  </w:pPr>
                  <w:r>
                    <w:t>35</w:t>
                  </w:r>
                </w:p>
              </w:tc>
              <w:tc>
                <w:tcPr>
                  <w:tcW w:w="534" w:type="dxa"/>
                  <w:vAlign w:val="center"/>
                </w:tcPr>
                <w:p>
                  <w:pPr>
                    <w:pStyle w:val="63"/>
                  </w:pPr>
                  <w:r>
                    <w:t>65</w:t>
                  </w:r>
                </w:p>
              </w:tc>
              <w:tc>
                <w:tcPr>
                  <w:tcW w:w="534" w:type="dxa"/>
                  <w:vAlign w:val="center"/>
                </w:tcPr>
                <w:p>
                  <w:pPr>
                    <w:pStyle w:val="63"/>
                  </w:pPr>
                  <w:r>
                    <w:t>38</w:t>
                  </w:r>
                </w:p>
              </w:tc>
              <w:tc>
                <w:tcPr>
                  <w:tcW w:w="534" w:type="dxa"/>
                  <w:vAlign w:val="center"/>
                </w:tcPr>
                <w:p>
                  <w:pPr>
                    <w:pStyle w:val="63"/>
                  </w:pPr>
                  <w:r>
                    <w:t>44</w:t>
                  </w:r>
                </w:p>
              </w:tc>
              <w:tc>
                <w:tcPr>
                  <w:tcW w:w="534" w:type="dxa"/>
                  <w:vAlign w:val="center"/>
                </w:tcPr>
                <w:p>
                  <w:pPr>
                    <w:pStyle w:val="63"/>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4" w:type="dxa"/>
                  <w:vMerge w:val="continue"/>
                  <w:vAlign w:val="center"/>
                </w:tcPr>
                <w:p>
                  <w:pPr>
                    <w:pStyle w:val="63"/>
                  </w:pPr>
                </w:p>
              </w:tc>
              <w:tc>
                <w:tcPr>
                  <w:tcW w:w="714" w:type="dxa"/>
                  <w:vAlign w:val="center"/>
                </w:tcPr>
                <w:p>
                  <w:pPr>
                    <w:pStyle w:val="63"/>
                  </w:pPr>
                  <w:r>
                    <w:rPr>
                      <w:rFonts w:hint="eastAsia"/>
                    </w:rPr>
                    <w:t>达标</w:t>
                  </w:r>
                </w:p>
                <w:p>
                  <w:pPr>
                    <w:pStyle w:val="63"/>
                  </w:pPr>
                  <w:r>
                    <w:rPr>
                      <w:rFonts w:hint="eastAsia"/>
                    </w:rPr>
                    <w:t>情况</w:t>
                  </w:r>
                </w:p>
              </w:tc>
              <w:tc>
                <w:tcPr>
                  <w:tcW w:w="584" w:type="dxa"/>
                </w:tcPr>
                <w:p>
                  <w:pPr>
                    <w:pStyle w:val="63"/>
                  </w:pPr>
                  <w:r>
                    <w:rPr>
                      <w:rFonts w:hint="eastAsia"/>
                    </w:rPr>
                    <w:t>/</w:t>
                  </w:r>
                </w:p>
              </w:tc>
              <w:tc>
                <w:tcPr>
                  <w:tcW w:w="713" w:type="dxa"/>
                </w:tcPr>
                <w:p>
                  <w:pPr>
                    <w:pStyle w:val="63"/>
                  </w:pPr>
                  <w:r>
                    <w:rPr>
                      <w:rFonts w:hint="eastAsia"/>
                    </w:rPr>
                    <w:t>/</w:t>
                  </w:r>
                </w:p>
              </w:tc>
              <w:tc>
                <w:tcPr>
                  <w:tcW w:w="713" w:type="dxa"/>
                </w:tcPr>
                <w:p>
                  <w:pPr>
                    <w:pStyle w:val="63"/>
                  </w:pPr>
                  <w:r>
                    <w:rPr>
                      <w:rFonts w:hint="eastAsia"/>
                    </w:rPr>
                    <w:t>/</w:t>
                  </w:r>
                </w:p>
              </w:tc>
              <w:tc>
                <w:tcPr>
                  <w:tcW w:w="584" w:type="dxa"/>
                  <w:vAlign w:val="center"/>
                </w:tcPr>
                <w:p>
                  <w:pPr>
                    <w:pStyle w:val="63"/>
                  </w:pPr>
                  <w:r>
                    <w:rPr>
                      <w:rFonts w:hint="eastAsia"/>
                    </w:rPr>
                    <w:t>达标</w:t>
                  </w:r>
                </w:p>
              </w:tc>
              <w:tc>
                <w:tcPr>
                  <w:tcW w:w="689" w:type="dxa"/>
                  <w:vAlign w:val="center"/>
                </w:tcPr>
                <w:p>
                  <w:pPr>
                    <w:pStyle w:val="63"/>
                  </w:pPr>
                  <w:r>
                    <w:rPr>
                      <w:rFonts w:hint="eastAsia"/>
                    </w:rPr>
                    <w:t>达标</w:t>
                  </w:r>
                </w:p>
              </w:tc>
              <w:tc>
                <w:tcPr>
                  <w:tcW w:w="584" w:type="dxa"/>
                  <w:vAlign w:val="center"/>
                </w:tcPr>
                <w:p>
                  <w:pPr>
                    <w:pStyle w:val="63"/>
                  </w:pPr>
                  <w:r>
                    <w:rPr>
                      <w:rFonts w:hint="eastAsia"/>
                    </w:rPr>
                    <w:t>达标</w:t>
                  </w:r>
                </w:p>
              </w:tc>
              <w:tc>
                <w:tcPr>
                  <w:tcW w:w="533" w:type="dxa"/>
                  <w:vAlign w:val="center"/>
                </w:tcPr>
                <w:p>
                  <w:pPr>
                    <w:pStyle w:val="63"/>
                  </w:pPr>
                  <w:r>
                    <w:rPr>
                      <w:rFonts w:hint="eastAsia"/>
                    </w:rPr>
                    <w:t>达标</w:t>
                  </w:r>
                </w:p>
              </w:tc>
              <w:tc>
                <w:tcPr>
                  <w:tcW w:w="534" w:type="dxa"/>
                  <w:vAlign w:val="center"/>
                </w:tcPr>
                <w:p>
                  <w:pPr>
                    <w:pStyle w:val="63"/>
                  </w:pPr>
                  <w:r>
                    <w:rPr>
                      <w:rFonts w:hint="eastAsia"/>
                    </w:rPr>
                    <w:t>达标</w:t>
                  </w:r>
                </w:p>
              </w:tc>
              <w:tc>
                <w:tcPr>
                  <w:tcW w:w="534" w:type="dxa"/>
                </w:tcPr>
                <w:p>
                  <w:pPr>
                    <w:pStyle w:val="63"/>
                  </w:pPr>
                  <w:r>
                    <w:rPr>
                      <w:rFonts w:hint="eastAsia"/>
                    </w:rPr>
                    <w:t>达标</w:t>
                  </w:r>
                </w:p>
              </w:tc>
              <w:tc>
                <w:tcPr>
                  <w:tcW w:w="534" w:type="dxa"/>
                </w:tcPr>
                <w:p>
                  <w:pPr>
                    <w:pStyle w:val="63"/>
                  </w:pPr>
                  <w:r>
                    <w:rPr>
                      <w:rFonts w:hint="eastAsia"/>
                    </w:rPr>
                    <w:t>达标</w:t>
                  </w:r>
                </w:p>
              </w:tc>
              <w:tc>
                <w:tcPr>
                  <w:tcW w:w="534" w:type="dxa"/>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8" w:type="dxa"/>
                  <w:gridSpan w:val="2"/>
                  <w:vAlign w:val="center"/>
                </w:tcPr>
                <w:p>
                  <w:pPr>
                    <w:pStyle w:val="63"/>
                  </w:pPr>
                  <w:r>
                    <w:rPr>
                      <w:rFonts w:hint="eastAsia"/>
                    </w:rPr>
                    <w:t>标准值</w:t>
                  </w:r>
                </w:p>
              </w:tc>
              <w:tc>
                <w:tcPr>
                  <w:tcW w:w="584" w:type="dxa"/>
                </w:tcPr>
                <w:p>
                  <w:pPr>
                    <w:pStyle w:val="63"/>
                  </w:pPr>
                  <w:r>
                    <w:rPr>
                      <w:rFonts w:hint="eastAsia"/>
                    </w:rPr>
                    <w:t>/</w:t>
                  </w:r>
                </w:p>
              </w:tc>
              <w:tc>
                <w:tcPr>
                  <w:tcW w:w="713" w:type="dxa"/>
                </w:tcPr>
                <w:p>
                  <w:pPr>
                    <w:pStyle w:val="63"/>
                  </w:pPr>
                  <w:r>
                    <w:rPr>
                      <w:rFonts w:hint="eastAsia"/>
                    </w:rPr>
                    <w:t>/</w:t>
                  </w:r>
                </w:p>
              </w:tc>
              <w:tc>
                <w:tcPr>
                  <w:tcW w:w="713" w:type="dxa"/>
                </w:tcPr>
                <w:p>
                  <w:pPr>
                    <w:pStyle w:val="63"/>
                  </w:pPr>
                  <w:r>
                    <w:rPr>
                      <w:rFonts w:hint="eastAsia"/>
                    </w:rPr>
                    <w:t>/</w:t>
                  </w:r>
                </w:p>
              </w:tc>
              <w:tc>
                <w:tcPr>
                  <w:tcW w:w="584" w:type="dxa"/>
                  <w:vAlign w:val="center"/>
                </w:tcPr>
                <w:p>
                  <w:pPr>
                    <w:pStyle w:val="63"/>
                  </w:pPr>
                  <w:r>
                    <w:t>0.6</w:t>
                  </w:r>
                </w:p>
              </w:tc>
              <w:tc>
                <w:tcPr>
                  <w:tcW w:w="689" w:type="dxa"/>
                  <w:vAlign w:val="center"/>
                </w:tcPr>
                <w:p>
                  <w:pPr>
                    <w:pStyle w:val="63"/>
                  </w:pPr>
                  <w:r>
                    <w:t>1</w:t>
                  </w:r>
                </w:p>
              </w:tc>
              <w:tc>
                <w:tcPr>
                  <w:tcW w:w="584" w:type="dxa"/>
                  <w:vAlign w:val="center"/>
                </w:tcPr>
                <w:p>
                  <w:pPr>
                    <w:pStyle w:val="63"/>
                  </w:pPr>
                  <w:r>
                    <w:t>20</w:t>
                  </w:r>
                </w:p>
              </w:tc>
              <w:tc>
                <w:tcPr>
                  <w:tcW w:w="533" w:type="dxa"/>
                  <w:vAlign w:val="center"/>
                </w:tcPr>
                <w:p>
                  <w:pPr>
                    <w:pStyle w:val="63"/>
                  </w:pPr>
                  <w:r>
                    <w:t>170</w:t>
                  </w:r>
                </w:p>
              </w:tc>
              <w:tc>
                <w:tcPr>
                  <w:tcW w:w="534" w:type="dxa"/>
                  <w:vAlign w:val="center"/>
                </w:tcPr>
                <w:p>
                  <w:pPr>
                    <w:pStyle w:val="63"/>
                  </w:pPr>
                  <w:r>
                    <w:t>250</w:t>
                  </w:r>
                </w:p>
              </w:tc>
              <w:tc>
                <w:tcPr>
                  <w:tcW w:w="534" w:type="dxa"/>
                  <w:vAlign w:val="center"/>
                </w:tcPr>
                <w:p>
                  <w:pPr>
                    <w:pStyle w:val="63"/>
                  </w:pPr>
                  <w:r>
                    <w:t>100</w:t>
                  </w:r>
                </w:p>
              </w:tc>
              <w:tc>
                <w:tcPr>
                  <w:tcW w:w="534" w:type="dxa"/>
                  <w:vAlign w:val="center"/>
                </w:tcPr>
                <w:p>
                  <w:pPr>
                    <w:pStyle w:val="63"/>
                  </w:pPr>
                  <w:r>
                    <w:t>190</w:t>
                  </w:r>
                </w:p>
              </w:tc>
              <w:tc>
                <w:tcPr>
                  <w:tcW w:w="534" w:type="dxa"/>
                  <w:vAlign w:val="center"/>
                </w:tcPr>
                <w:p>
                  <w:pPr>
                    <w:pStyle w:val="63"/>
                  </w:pPr>
                  <w:r>
                    <w:t>300</w:t>
                  </w:r>
                </w:p>
              </w:tc>
            </w:tr>
          </w:tbl>
          <w:p/>
          <w:p>
            <w:pPr>
              <w:pStyle w:val="5"/>
              <w:ind w:firstLine="480"/>
            </w:pPr>
            <w:r>
              <w:rPr>
                <w:rFonts w:hint="eastAsia"/>
              </w:rPr>
              <w:t>根据监测结果，项目朱衣河河段底泥质量满足《土壤环境质量 农用地土壤污染风险管控标准》（GB15618-2018）。</w:t>
            </w:r>
          </w:p>
          <w:p>
            <w:pPr>
              <w:pStyle w:val="5"/>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保护</w:t>
            </w:r>
          </w:p>
          <w:p>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190" w:type="dxa"/>
            <w:vAlign w:val="center"/>
          </w:tcPr>
          <w:p>
            <w:pPr>
              <w:pStyle w:val="3"/>
              <w:spacing w:before="120" w:after="120"/>
            </w:pPr>
            <w:r>
              <w:rPr>
                <w:rFonts w:hint="eastAsia"/>
              </w:rPr>
              <w:t>环境保护目标</w:t>
            </w:r>
          </w:p>
          <w:p>
            <w:pPr>
              <w:pStyle w:val="4"/>
              <w:spacing w:before="120" w:after="120"/>
            </w:pPr>
            <w:r>
              <w:rPr>
                <w:rFonts w:hint="eastAsia"/>
              </w:rPr>
              <w:t>大气环境</w:t>
            </w:r>
          </w:p>
          <w:p>
            <w:pPr>
              <w:pStyle w:val="5"/>
              <w:ind w:firstLine="480"/>
            </w:pPr>
            <w:r>
              <w:rPr>
                <w:rFonts w:hint="eastAsia"/>
              </w:rPr>
              <w:t>工程厂界外500m范围内的大气环境保护目标见</w:t>
            </w:r>
            <w:r>
              <w:fldChar w:fldCharType="begin"/>
            </w:r>
            <w:r>
              <w:instrText xml:space="preserve"> </w:instrText>
            </w:r>
            <w:r>
              <w:rPr>
                <w:rFonts w:hint="eastAsia"/>
              </w:rPr>
              <w:instrText xml:space="preserve">REF _Ref143164662 \h</w:instrText>
            </w:r>
            <w:r>
              <w:instrText xml:space="preserve"> </w:instrText>
            </w:r>
            <w:r>
              <w:fldChar w:fldCharType="separate"/>
            </w:r>
            <w:r>
              <w:rPr>
                <w:rFonts w:hint="eastAsia"/>
              </w:rPr>
              <w:t xml:space="preserve">表 </w:t>
            </w:r>
            <w:r>
              <w:t>3.2</w:t>
            </w:r>
            <w:r>
              <w:noBreakHyphen/>
            </w:r>
            <w:r>
              <w:t>1</w:t>
            </w:r>
            <w:r>
              <w:fldChar w:fldCharType="end"/>
            </w:r>
            <w:r>
              <w:rPr>
                <w:rFonts w:hint="eastAsia"/>
              </w:rPr>
              <w:t>。</w:t>
            </w:r>
          </w:p>
          <w:p>
            <w:pPr>
              <w:pStyle w:val="14"/>
              <w:keepNext/>
            </w:pPr>
            <w:bookmarkStart w:id="50" w:name="_Ref143164662"/>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50"/>
            <w:r>
              <w:t xml:space="preserve">   </w:t>
            </w:r>
            <w:r>
              <w:rPr>
                <w:rFonts w:hint="eastAsia"/>
              </w:rPr>
              <w:t>环境空气保护目标</w:t>
            </w:r>
          </w:p>
          <w:tbl>
            <w:tblPr>
              <w:tblStyle w:val="3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735"/>
              <w:gridCol w:w="1093"/>
              <w:gridCol w:w="1004"/>
              <w:gridCol w:w="813"/>
              <w:gridCol w:w="818"/>
              <w:gridCol w:w="761"/>
              <w:gridCol w:w="822"/>
              <w:gridCol w:w="762"/>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 w:type="dxa"/>
                  <w:vMerge w:val="restart"/>
                  <w:vAlign w:val="center"/>
                </w:tcPr>
                <w:p>
                  <w:pPr>
                    <w:pStyle w:val="63"/>
                  </w:pPr>
                  <w:r>
                    <w:rPr>
                      <w:rFonts w:hint="eastAsia"/>
                    </w:rPr>
                    <w:t>序号</w:t>
                  </w:r>
                </w:p>
              </w:tc>
              <w:tc>
                <w:tcPr>
                  <w:tcW w:w="735" w:type="dxa"/>
                  <w:vMerge w:val="restart"/>
                  <w:vAlign w:val="center"/>
                </w:tcPr>
                <w:p>
                  <w:pPr>
                    <w:pStyle w:val="63"/>
                  </w:pPr>
                  <w:r>
                    <w:rPr>
                      <w:rFonts w:hint="eastAsia"/>
                    </w:rPr>
                    <w:t>名称</w:t>
                  </w:r>
                </w:p>
              </w:tc>
              <w:tc>
                <w:tcPr>
                  <w:tcW w:w="2097" w:type="dxa"/>
                  <w:gridSpan w:val="2"/>
                  <w:vAlign w:val="center"/>
                </w:tcPr>
                <w:p>
                  <w:pPr>
                    <w:pStyle w:val="63"/>
                  </w:pPr>
                  <w:r>
                    <w:rPr>
                      <w:rFonts w:hint="eastAsia"/>
                    </w:rPr>
                    <w:t>坐标/m</w:t>
                  </w:r>
                </w:p>
              </w:tc>
              <w:tc>
                <w:tcPr>
                  <w:tcW w:w="813" w:type="dxa"/>
                  <w:vMerge w:val="restart"/>
                  <w:vAlign w:val="center"/>
                </w:tcPr>
                <w:p>
                  <w:pPr>
                    <w:pStyle w:val="63"/>
                  </w:pPr>
                  <w:r>
                    <w:rPr>
                      <w:rFonts w:hint="eastAsia"/>
                    </w:rPr>
                    <w:t>保护</w:t>
                  </w:r>
                </w:p>
                <w:p>
                  <w:pPr>
                    <w:pStyle w:val="63"/>
                  </w:pPr>
                  <w:r>
                    <w:rPr>
                      <w:rFonts w:hint="eastAsia"/>
                    </w:rPr>
                    <w:t>对象</w:t>
                  </w:r>
                </w:p>
              </w:tc>
              <w:tc>
                <w:tcPr>
                  <w:tcW w:w="818" w:type="dxa"/>
                  <w:vMerge w:val="restart"/>
                  <w:vAlign w:val="center"/>
                </w:tcPr>
                <w:p>
                  <w:pPr>
                    <w:pStyle w:val="63"/>
                  </w:pPr>
                  <w:r>
                    <w:rPr>
                      <w:rFonts w:hint="eastAsia"/>
                    </w:rPr>
                    <w:t>保护</w:t>
                  </w:r>
                </w:p>
                <w:p>
                  <w:pPr>
                    <w:pStyle w:val="63"/>
                  </w:pPr>
                  <w:r>
                    <w:rPr>
                      <w:rFonts w:hint="eastAsia"/>
                    </w:rPr>
                    <w:t>内容</w:t>
                  </w:r>
                </w:p>
              </w:tc>
              <w:tc>
                <w:tcPr>
                  <w:tcW w:w="761" w:type="dxa"/>
                  <w:vMerge w:val="restart"/>
                  <w:vAlign w:val="center"/>
                </w:tcPr>
                <w:p>
                  <w:pPr>
                    <w:pStyle w:val="63"/>
                  </w:pPr>
                  <w:r>
                    <w:rPr>
                      <w:rFonts w:hint="eastAsia"/>
                    </w:rPr>
                    <w:t>环境</w:t>
                  </w:r>
                </w:p>
                <w:p>
                  <w:pPr>
                    <w:pStyle w:val="63"/>
                  </w:pPr>
                  <w:r>
                    <w:rPr>
                      <w:rFonts w:hint="eastAsia"/>
                    </w:rPr>
                    <w:t>功能区</w:t>
                  </w:r>
                </w:p>
              </w:tc>
              <w:tc>
                <w:tcPr>
                  <w:tcW w:w="822" w:type="dxa"/>
                  <w:vMerge w:val="restart"/>
                  <w:vAlign w:val="center"/>
                </w:tcPr>
                <w:p>
                  <w:pPr>
                    <w:pStyle w:val="63"/>
                  </w:pPr>
                  <w:r>
                    <w:rPr>
                      <w:rFonts w:hint="eastAsia"/>
                    </w:rPr>
                    <w:t>相对厂址方位</w:t>
                  </w:r>
                </w:p>
              </w:tc>
              <w:tc>
                <w:tcPr>
                  <w:tcW w:w="762" w:type="dxa"/>
                  <w:vMerge w:val="restart"/>
                  <w:vAlign w:val="center"/>
                </w:tcPr>
                <w:p>
                  <w:pPr>
                    <w:pStyle w:val="63"/>
                  </w:pPr>
                  <w:r>
                    <w:rPr>
                      <w:rFonts w:hint="eastAsia"/>
                    </w:rPr>
                    <w:t>相对厂界距离/m</w:t>
                  </w:r>
                </w:p>
              </w:tc>
              <w:tc>
                <w:tcPr>
                  <w:tcW w:w="678" w:type="dxa"/>
                  <w:vMerge w:val="restart"/>
                </w:tcPr>
                <w:p>
                  <w:pPr>
                    <w:pStyle w:val="63"/>
                  </w:pPr>
                  <w:r>
                    <w:rPr>
                      <w:rFonts w:hint="eastAsia"/>
                    </w:rPr>
                    <w:t>相对产臭单元距离/m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 w:type="dxa"/>
                  <w:vMerge w:val="continue"/>
                  <w:vAlign w:val="center"/>
                </w:tcPr>
                <w:p>
                  <w:pPr>
                    <w:pStyle w:val="63"/>
                  </w:pPr>
                </w:p>
              </w:tc>
              <w:tc>
                <w:tcPr>
                  <w:tcW w:w="735" w:type="dxa"/>
                  <w:vMerge w:val="continue"/>
                  <w:vAlign w:val="center"/>
                </w:tcPr>
                <w:p>
                  <w:pPr>
                    <w:pStyle w:val="63"/>
                  </w:pPr>
                </w:p>
              </w:tc>
              <w:tc>
                <w:tcPr>
                  <w:tcW w:w="1093" w:type="dxa"/>
                  <w:vAlign w:val="center"/>
                </w:tcPr>
                <w:p>
                  <w:pPr>
                    <w:pStyle w:val="63"/>
                  </w:pPr>
                  <w:r>
                    <w:rPr>
                      <w:rFonts w:hint="eastAsia"/>
                    </w:rPr>
                    <w:t>X</w:t>
                  </w:r>
                </w:p>
              </w:tc>
              <w:tc>
                <w:tcPr>
                  <w:tcW w:w="1004" w:type="dxa"/>
                  <w:vAlign w:val="center"/>
                </w:tcPr>
                <w:p>
                  <w:pPr>
                    <w:pStyle w:val="63"/>
                  </w:pPr>
                  <w:r>
                    <w:rPr>
                      <w:rFonts w:hint="eastAsia"/>
                    </w:rPr>
                    <w:t>Y</w:t>
                  </w:r>
                </w:p>
              </w:tc>
              <w:tc>
                <w:tcPr>
                  <w:tcW w:w="813" w:type="dxa"/>
                  <w:vMerge w:val="continue"/>
                  <w:vAlign w:val="center"/>
                </w:tcPr>
                <w:p>
                  <w:pPr>
                    <w:pStyle w:val="63"/>
                  </w:pPr>
                </w:p>
              </w:tc>
              <w:tc>
                <w:tcPr>
                  <w:tcW w:w="818" w:type="dxa"/>
                  <w:vMerge w:val="continue"/>
                  <w:vAlign w:val="center"/>
                </w:tcPr>
                <w:p>
                  <w:pPr>
                    <w:pStyle w:val="63"/>
                  </w:pPr>
                </w:p>
              </w:tc>
              <w:tc>
                <w:tcPr>
                  <w:tcW w:w="761" w:type="dxa"/>
                  <w:vMerge w:val="continue"/>
                  <w:vAlign w:val="center"/>
                </w:tcPr>
                <w:p>
                  <w:pPr>
                    <w:pStyle w:val="63"/>
                  </w:pPr>
                </w:p>
              </w:tc>
              <w:tc>
                <w:tcPr>
                  <w:tcW w:w="822" w:type="dxa"/>
                  <w:vMerge w:val="continue"/>
                  <w:vAlign w:val="center"/>
                </w:tcPr>
                <w:p>
                  <w:pPr>
                    <w:pStyle w:val="63"/>
                  </w:pPr>
                </w:p>
              </w:tc>
              <w:tc>
                <w:tcPr>
                  <w:tcW w:w="762" w:type="dxa"/>
                  <w:vMerge w:val="continue"/>
                  <w:vAlign w:val="center"/>
                </w:tcPr>
                <w:p>
                  <w:pPr>
                    <w:pStyle w:val="63"/>
                  </w:pPr>
                </w:p>
              </w:tc>
              <w:tc>
                <w:tcPr>
                  <w:tcW w:w="678" w:type="dxa"/>
                  <w:vMerge w:val="continue"/>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 w:type="dxa"/>
                  <w:vAlign w:val="center"/>
                </w:tcPr>
                <w:p>
                  <w:pPr>
                    <w:pStyle w:val="63"/>
                  </w:pPr>
                  <w:r>
                    <w:rPr>
                      <w:rFonts w:hint="eastAsia"/>
                    </w:rPr>
                    <w:t>1</w:t>
                  </w:r>
                </w:p>
              </w:tc>
              <w:tc>
                <w:tcPr>
                  <w:tcW w:w="735" w:type="dxa"/>
                  <w:vAlign w:val="center"/>
                </w:tcPr>
                <w:p>
                  <w:pPr>
                    <w:pStyle w:val="63"/>
                  </w:pPr>
                  <w:r>
                    <w:rPr>
                      <w:rFonts w:hint="eastAsia"/>
                    </w:rPr>
                    <w:t>古家院坝</w:t>
                  </w:r>
                </w:p>
              </w:tc>
              <w:tc>
                <w:tcPr>
                  <w:tcW w:w="1093" w:type="dxa"/>
                  <w:vAlign w:val="center"/>
                </w:tcPr>
                <w:p>
                  <w:pPr>
                    <w:pStyle w:val="63"/>
                  </w:pPr>
                  <w:r>
                    <w:rPr>
                      <w:rFonts w:hint="eastAsia"/>
                    </w:rPr>
                    <w:t>109.3559</w:t>
                  </w:r>
                </w:p>
              </w:tc>
              <w:tc>
                <w:tcPr>
                  <w:tcW w:w="1004" w:type="dxa"/>
                  <w:vAlign w:val="center"/>
                </w:tcPr>
                <w:p>
                  <w:pPr>
                    <w:pStyle w:val="63"/>
                  </w:pPr>
                  <w:r>
                    <w:rPr>
                      <w:rFonts w:hint="eastAsia"/>
                    </w:rPr>
                    <w:t>31.02978</w:t>
                  </w:r>
                </w:p>
              </w:tc>
              <w:tc>
                <w:tcPr>
                  <w:tcW w:w="813" w:type="dxa"/>
                  <w:vAlign w:val="center"/>
                </w:tcPr>
                <w:p>
                  <w:pPr>
                    <w:pStyle w:val="63"/>
                  </w:pPr>
                  <w:r>
                    <w:rPr>
                      <w:rFonts w:hint="eastAsia"/>
                    </w:rPr>
                    <w:t>农村聚集区</w:t>
                  </w:r>
                </w:p>
              </w:tc>
              <w:tc>
                <w:tcPr>
                  <w:tcW w:w="818" w:type="dxa"/>
                  <w:vAlign w:val="center"/>
                </w:tcPr>
                <w:p>
                  <w:pPr>
                    <w:pStyle w:val="63"/>
                  </w:pPr>
                  <w:r>
                    <w:rPr>
                      <w:rFonts w:hint="eastAsia"/>
                    </w:rPr>
                    <w:t>15户，60人</w:t>
                  </w:r>
                </w:p>
              </w:tc>
              <w:tc>
                <w:tcPr>
                  <w:tcW w:w="761" w:type="dxa"/>
                  <w:vAlign w:val="center"/>
                </w:tcPr>
                <w:p>
                  <w:pPr>
                    <w:pStyle w:val="63"/>
                  </w:pPr>
                  <w:r>
                    <w:rPr>
                      <w:rFonts w:hint="eastAsia"/>
                    </w:rPr>
                    <w:t>二类</w:t>
                  </w:r>
                </w:p>
              </w:tc>
              <w:tc>
                <w:tcPr>
                  <w:tcW w:w="822" w:type="dxa"/>
                  <w:vAlign w:val="center"/>
                </w:tcPr>
                <w:p>
                  <w:pPr>
                    <w:pStyle w:val="63"/>
                  </w:pPr>
                  <w:r>
                    <w:rPr>
                      <w:rFonts w:hint="eastAsia"/>
                    </w:rPr>
                    <w:t>N</w:t>
                  </w:r>
                </w:p>
              </w:tc>
              <w:tc>
                <w:tcPr>
                  <w:tcW w:w="762" w:type="dxa"/>
                  <w:vAlign w:val="center"/>
                </w:tcPr>
                <w:p>
                  <w:pPr>
                    <w:pStyle w:val="63"/>
                  </w:pPr>
                  <w:r>
                    <w:rPr>
                      <w:rFonts w:hint="eastAsia"/>
                    </w:rPr>
                    <w:t>180</w:t>
                  </w:r>
                </w:p>
              </w:tc>
              <w:tc>
                <w:tcPr>
                  <w:tcW w:w="678" w:type="dxa"/>
                  <w:vAlign w:val="center"/>
                </w:tcPr>
                <w:p>
                  <w:pPr>
                    <w:pStyle w:val="63"/>
                  </w:pPr>
                  <w:r>
                    <w:rPr>
                      <w:rFonts w:hint="eastAsia"/>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 w:type="dxa"/>
                  <w:vAlign w:val="center"/>
                </w:tcPr>
                <w:p>
                  <w:pPr>
                    <w:pStyle w:val="63"/>
                  </w:pPr>
                  <w:r>
                    <w:rPr>
                      <w:rFonts w:hint="eastAsia"/>
                    </w:rPr>
                    <w:t>2</w:t>
                  </w:r>
                </w:p>
              </w:tc>
              <w:tc>
                <w:tcPr>
                  <w:tcW w:w="735" w:type="dxa"/>
                  <w:vAlign w:val="center"/>
                </w:tcPr>
                <w:p>
                  <w:pPr>
                    <w:pStyle w:val="63"/>
                  </w:pPr>
                  <w:r>
                    <w:rPr>
                      <w:rFonts w:hint="eastAsia"/>
                    </w:rPr>
                    <w:t>张家湾</w:t>
                  </w:r>
                </w:p>
              </w:tc>
              <w:tc>
                <w:tcPr>
                  <w:tcW w:w="1093" w:type="dxa"/>
                  <w:vAlign w:val="center"/>
                </w:tcPr>
                <w:p>
                  <w:pPr>
                    <w:pStyle w:val="63"/>
                  </w:pPr>
                  <w:r>
                    <w:rPr>
                      <w:rFonts w:hint="eastAsia"/>
                    </w:rPr>
                    <w:t>109.3533</w:t>
                  </w:r>
                </w:p>
              </w:tc>
              <w:tc>
                <w:tcPr>
                  <w:tcW w:w="1004" w:type="dxa"/>
                  <w:vAlign w:val="center"/>
                </w:tcPr>
                <w:p>
                  <w:pPr>
                    <w:pStyle w:val="63"/>
                  </w:pPr>
                  <w:r>
                    <w:rPr>
                      <w:rFonts w:hint="eastAsia"/>
                    </w:rPr>
                    <w:t>31.0305</w:t>
                  </w:r>
                </w:p>
              </w:tc>
              <w:tc>
                <w:tcPr>
                  <w:tcW w:w="813" w:type="dxa"/>
                  <w:vAlign w:val="center"/>
                </w:tcPr>
                <w:p>
                  <w:pPr>
                    <w:pStyle w:val="63"/>
                  </w:pPr>
                  <w:r>
                    <w:rPr>
                      <w:rFonts w:hint="eastAsia"/>
                    </w:rPr>
                    <w:t>农村聚集区</w:t>
                  </w:r>
                </w:p>
              </w:tc>
              <w:tc>
                <w:tcPr>
                  <w:tcW w:w="818" w:type="dxa"/>
                  <w:vAlign w:val="center"/>
                </w:tcPr>
                <w:p>
                  <w:pPr>
                    <w:pStyle w:val="63"/>
                  </w:pPr>
                  <w:r>
                    <w:rPr>
                      <w:rFonts w:hint="eastAsia"/>
                    </w:rPr>
                    <w:t>20户，63人</w:t>
                  </w:r>
                </w:p>
              </w:tc>
              <w:tc>
                <w:tcPr>
                  <w:tcW w:w="761" w:type="dxa"/>
                  <w:vAlign w:val="center"/>
                </w:tcPr>
                <w:p>
                  <w:pPr>
                    <w:pStyle w:val="63"/>
                  </w:pPr>
                  <w:r>
                    <w:rPr>
                      <w:rFonts w:hint="eastAsia"/>
                    </w:rPr>
                    <w:t>二类</w:t>
                  </w:r>
                </w:p>
              </w:tc>
              <w:tc>
                <w:tcPr>
                  <w:tcW w:w="822" w:type="dxa"/>
                  <w:vAlign w:val="center"/>
                </w:tcPr>
                <w:p>
                  <w:pPr>
                    <w:pStyle w:val="63"/>
                  </w:pPr>
                  <w:r>
                    <w:rPr>
                      <w:rFonts w:hint="eastAsia"/>
                    </w:rPr>
                    <w:t>WN</w:t>
                  </w:r>
                </w:p>
              </w:tc>
              <w:tc>
                <w:tcPr>
                  <w:tcW w:w="762" w:type="dxa"/>
                  <w:vAlign w:val="center"/>
                </w:tcPr>
                <w:p>
                  <w:pPr>
                    <w:pStyle w:val="63"/>
                  </w:pPr>
                  <w:r>
                    <w:rPr>
                      <w:rFonts w:hint="eastAsia"/>
                    </w:rPr>
                    <w:t>370</w:t>
                  </w:r>
                </w:p>
              </w:tc>
              <w:tc>
                <w:tcPr>
                  <w:tcW w:w="678" w:type="dxa"/>
                  <w:vAlign w:val="center"/>
                </w:tcPr>
                <w:p>
                  <w:pPr>
                    <w:pStyle w:val="63"/>
                  </w:pPr>
                  <w:r>
                    <w:rPr>
                      <w:rFonts w:hint="eastAsia"/>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 w:type="dxa"/>
                  <w:vAlign w:val="center"/>
                </w:tcPr>
                <w:p>
                  <w:pPr>
                    <w:pStyle w:val="63"/>
                  </w:pPr>
                  <w:r>
                    <w:rPr>
                      <w:rFonts w:hint="eastAsia"/>
                    </w:rPr>
                    <w:t>3</w:t>
                  </w:r>
                </w:p>
              </w:tc>
              <w:tc>
                <w:tcPr>
                  <w:tcW w:w="735" w:type="dxa"/>
                  <w:vAlign w:val="center"/>
                </w:tcPr>
                <w:p>
                  <w:pPr>
                    <w:pStyle w:val="63"/>
                  </w:pPr>
                  <w:r>
                    <w:rPr>
                      <w:rFonts w:hint="eastAsia"/>
                    </w:rPr>
                    <w:t>大坪</w:t>
                  </w:r>
                </w:p>
              </w:tc>
              <w:tc>
                <w:tcPr>
                  <w:tcW w:w="1093" w:type="dxa"/>
                  <w:vAlign w:val="center"/>
                </w:tcPr>
                <w:p>
                  <w:pPr>
                    <w:pStyle w:val="63"/>
                  </w:pPr>
                  <w:r>
                    <w:rPr>
                      <w:rFonts w:hint="eastAsia"/>
                    </w:rPr>
                    <w:t>109.3515</w:t>
                  </w:r>
                </w:p>
              </w:tc>
              <w:tc>
                <w:tcPr>
                  <w:tcW w:w="1004" w:type="dxa"/>
                  <w:vAlign w:val="center"/>
                </w:tcPr>
                <w:p>
                  <w:pPr>
                    <w:pStyle w:val="63"/>
                  </w:pPr>
                  <w:r>
                    <w:rPr>
                      <w:rFonts w:hint="eastAsia"/>
                    </w:rPr>
                    <w:t>31.02456</w:t>
                  </w:r>
                </w:p>
              </w:tc>
              <w:tc>
                <w:tcPr>
                  <w:tcW w:w="813" w:type="dxa"/>
                  <w:vAlign w:val="center"/>
                </w:tcPr>
                <w:p>
                  <w:pPr>
                    <w:pStyle w:val="63"/>
                  </w:pPr>
                  <w:r>
                    <w:rPr>
                      <w:rFonts w:hint="eastAsia"/>
                    </w:rPr>
                    <w:t>农村居民点</w:t>
                  </w:r>
                </w:p>
              </w:tc>
              <w:tc>
                <w:tcPr>
                  <w:tcW w:w="818" w:type="dxa"/>
                  <w:vAlign w:val="center"/>
                </w:tcPr>
                <w:p>
                  <w:pPr>
                    <w:pStyle w:val="63"/>
                  </w:pPr>
                  <w:r>
                    <w:rPr>
                      <w:rFonts w:hint="eastAsia"/>
                    </w:rPr>
                    <w:t>40户，130人</w:t>
                  </w:r>
                </w:p>
              </w:tc>
              <w:tc>
                <w:tcPr>
                  <w:tcW w:w="761" w:type="dxa"/>
                  <w:vAlign w:val="center"/>
                </w:tcPr>
                <w:p>
                  <w:pPr>
                    <w:pStyle w:val="63"/>
                  </w:pPr>
                  <w:r>
                    <w:rPr>
                      <w:rFonts w:hint="eastAsia"/>
                    </w:rPr>
                    <w:t>二类</w:t>
                  </w:r>
                </w:p>
              </w:tc>
              <w:tc>
                <w:tcPr>
                  <w:tcW w:w="822" w:type="dxa"/>
                  <w:vAlign w:val="center"/>
                </w:tcPr>
                <w:p>
                  <w:pPr>
                    <w:pStyle w:val="63"/>
                  </w:pPr>
                  <w:r>
                    <w:rPr>
                      <w:rFonts w:hint="eastAsia"/>
                    </w:rPr>
                    <w:t>SW</w:t>
                  </w:r>
                </w:p>
              </w:tc>
              <w:tc>
                <w:tcPr>
                  <w:tcW w:w="762" w:type="dxa"/>
                  <w:vAlign w:val="center"/>
                </w:tcPr>
                <w:p>
                  <w:pPr>
                    <w:pStyle w:val="63"/>
                  </w:pPr>
                  <w:r>
                    <w:rPr>
                      <w:rFonts w:hint="eastAsia"/>
                    </w:rPr>
                    <w:t>400</w:t>
                  </w:r>
                </w:p>
              </w:tc>
              <w:tc>
                <w:tcPr>
                  <w:tcW w:w="678" w:type="dxa"/>
                  <w:vAlign w:val="center"/>
                </w:tcPr>
                <w:p>
                  <w:pPr>
                    <w:pStyle w:val="63"/>
                  </w:pPr>
                  <w:r>
                    <w:rPr>
                      <w:rFonts w:hint="eastAsia"/>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 w:type="dxa"/>
                  <w:vAlign w:val="center"/>
                </w:tcPr>
                <w:p>
                  <w:pPr>
                    <w:pStyle w:val="63"/>
                  </w:pPr>
                  <w:r>
                    <w:rPr>
                      <w:rFonts w:hint="eastAsia"/>
                    </w:rPr>
                    <w:t>4</w:t>
                  </w:r>
                </w:p>
              </w:tc>
              <w:tc>
                <w:tcPr>
                  <w:tcW w:w="735" w:type="dxa"/>
                  <w:vAlign w:val="center"/>
                </w:tcPr>
                <w:p>
                  <w:pPr>
                    <w:pStyle w:val="63"/>
                  </w:pPr>
                  <w:r>
                    <w:rPr>
                      <w:rFonts w:hint="eastAsia"/>
                    </w:rPr>
                    <w:t>散户3</w:t>
                  </w:r>
                </w:p>
              </w:tc>
              <w:tc>
                <w:tcPr>
                  <w:tcW w:w="1093" w:type="dxa"/>
                  <w:vAlign w:val="center"/>
                </w:tcPr>
                <w:p>
                  <w:pPr>
                    <w:pStyle w:val="63"/>
                  </w:pPr>
                  <w:r>
                    <w:rPr>
                      <w:rFonts w:hint="eastAsia"/>
                    </w:rPr>
                    <w:t>109.3541</w:t>
                  </w:r>
                </w:p>
              </w:tc>
              <w:tc>
                <w:tcPr>
                  <w:tcW w:w="1004" w:type="dxa"/>
                  <w:vAlign w:val="center"/>
                </w:tcPr>
                <w:p>
                  <w:pPr>
                    <w:pStyle w:val="63"/>
                  </w:pPr>
                  <w:r>
                    <w:rPr>
                      <w:rFonts w:hint="eastAsia"/>
                    </w:rPr>
                    <w:t>31.02329</w:t>
                  </w:r>
                </w:p>
              </w:tc>
              <w:tc>
                <w:tcPr>
                  <w:tcW w:w="813" w:type="dxa"/>
                  <w:vAlign w:val="center"/>
                </w:tcPr>
                <w:p>
                  <w:pPr>
                    <w:pStyle w:val="63"/>
                  </w:pPr>
                  <w:r>
                    <w:rPr>
                      <w:rFonts w:hint="eastAsia"/>
                    </w:rPr>
                    <w:t>农村居民点</w:t>
                  </w:r>
                </w:p>
              </w:tc>
              <w:tc>
                <w:tcPr>
                  <w:tcW w:w="818" w:type="dxa"/>
                  <w:vAlign w:val="center"/>
                </w:tcPr>
                <w:p>
                  <w:pPr>
                    <w:pStyle w:val="63"/>
                  </w:pPr>
                  <w:r>
                    <w:rPr>
                      <w:rFonts w:hint="eastAsia"/>
                    </w:rPr>
                    <w:t>8户，30人</w:t>
                  </w:r>
                </w:p>
              </w:tc>
              <w:tc>
                <w:tcPr>
                  <w:tcW w:w="761" w:type="dxa"/>
                  <w:vAlign w:val="center"/>
                </w:tcPr>
                <w:p>
                  <w:pPr>
                    <w:pStyle w:val="63"/>
                  </w:pPr>
                  <w:r>
                    <w:rPr>
                      <w:rFonts w:hint="eastAsia"/>
                    </w:rPr>
                    <w:t>二类</w:t>
                  </w:r>
                </w:p>
              </w:tc>
              <w:tc>
                <w:tcPr>
                  <w:tcW w:w="822" w:type="dxa"/>
                  <w:vAlign w:val="center"/>
                </w:tcPr>
                <w:p>
                  <w:pPr>
                    <w:pStyle w:val="63"/>
                  </w:pPr>
                  <w:r>
                    <w:rPr>
                      <w:rFonts w:hint="eastAsia"/>
                    </w:rPr>
                    <w:t>SSW</w:t>
                  </w:r>
                </w:p>
              </w:tc>
              <w:tc>
                <w:tcPr>
                  <w:tcW w:w="762" w:type="dxa"/>
                  <w:vAlign w:val="center"/>
                </w:tcPr>
                <w:p>
                  <w:pPr>
                    <w:pStyle w:val="63"/>
                  </w:pPr>
                  <w:r>
                    <w:rPr>
                      <w:rFonts w:hint="eastAsia"/>
                    </w:rPr>
                    <w:t>360</w:t>
                  </w:r>
                </w:p>
              </w:tc>
              <w:tc>
                <w:tcPr>
                  <w:tcW w:w="678" w:type="dxa"/>
                  <w:vAlign w:val="center"/>
                </w:tcPr>
                <w:p>
                  <w:pPr>
                    <w:pStyle w:val="63"/>
                  </w:pPr>
                  <w:r>
                    <w:rPr>
                      <w:rFonts w:hint="eastAsia"/>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 w:type="dxa"/>
                  <w:vAlign w:val="center"/>
                </w:tcPr>
                <w:p>
                  <w:pPr>
                    <w:pStyle w:val="63"/>
                  </w:pPr>
                  <w:r>
                    <w:rPr>
                      <w:rFonts w:hint="eastAsia"/>
                    </w:rPr>
                    <w:t>5</w:t>
                  </w:r>
                </w:p>
              </w:tc>
              <w:tc>
                <w:tcPr>
                  <w:tcW w:w="735" w:type="dxa"/>
                  <w:vAlign w:val="center"/>
                </w:tcPr>
                <w:p>
                  <w:pPr>
                    <w:pStyle w:val="63"/>
                  </w:pPr>
                  <w:r>
                    <w:rPr>
                      <w:rFonts w:hint="eastAsia"/>
                    </w:rPr>
                    <w:t>散户2</w:t>
                  </w:r>
                </w:p>
              </w:tc>
              <w:tc>
                <w:tcPr>
                  <w:tcW w:w="1093" w:type="dxa"/>
                  <w:vAlign w:val="center"/>
                </w:tcPr>
                <w:p>
                  <w:pPr>
                    <w:pStyle w:val="63"/>
                  </w:pPr>
                  <w:r>
                    <w:rPr>
                      <w:rFonts w:hint="eastAsia"/>
                    </w:rPr>
                    <w:t>109.3565</w:t>
                  </w:r>
                </w:p>
              </w:tc>
              <w:tc>
                <w:tcPr>
                  <w:tcW w:w="1004" w:type="dxa"/>
                  <w:vAlign w:val="center"/>
                </w:tcPr>
                <w:p>
                  <w:pPr>
                    <w:pStyle w:val="63"/>
                  </w:pPr>
                  <w:r>
                    <w:rPr>
                      <w:rFonts w:hint="eastAsia"/>
                    </w:rPr>
                    <w:t>31.02459</w:t>
                  </w:r>
                </w:p>
              </w:tc>
              <w:tc>
                <w:tcPr>
                  <w:tcW w:w="813" w:type="dxa"/>
                  <w:vAlign w:val="center"/>
                </w:tcPr>
                <w:p>
                  <w:pPr>
                    <w:pStyle w:val="63"/>
                  </w:pPr>
                  <w:r>
                    <w:rPr>
                      <w:rFonts w:hint="eastAsia"/>
                    </w:rPr>
                    <w:t>农村居民点</w:t>
                  </w:r>
                </w:p>
              </w:tc>
              <w:tc>
                <w:tcPr>
                  <w:tcW w:w="818" w:type="dxa"/>
                  <w:vAlign w:val="center"/>
                </w:tcPr>
                <w:p>
                  <w:pPr>
                    <w:pStyle w:val="63"/>
                  </w:pPr>
                  <w:r>
                    <w:rPr>
                      <w:rFonts w:hint="eastAsia"/>
                    </w:rPr>
                    <w:t>4户，16人</w:t>
                  </w:r>
                </w:p>
              </w:tc>
              <w:tc>
                <w:tcPr>
                  <w:tcW w:w="761" w:type="dxa"/>
                  <w:vAlign w:val="center"/>
                </w:tcPr>
                <w:p>
                  <w:pPr>
                    <w:pStyle w:val="63"/>
                  </w:pPr>
                  <w:r>
                    <w:rPr>
                      <w:rFonts w:hint="eastAsia"/>
                    </w:rPr>
                    <w:t>二类</w:t>
                  </w:r>
                </w:p>
              </w:tc>
              <w:tc>
                <w:tcPr>
                  <w:tcW w:w="822" w:type="dxa"/>
                  <w:vAlign w:val="center"/>
                </w:tcPr>
                <w:p>
                  <w:pPr>
                    <w:pStyle w:val="63"/>
                  </w:pPr>
                  <w:r>
                    <w:rPr>
                      <w:rFonts w:hint="eastAsia"/>
                    </w:rPr>
                    <w:t>SSE</w:t>
                  </w:r>
                </w:p>
              </w:tc>
              <w:tc>
                <w:tcPr>
                  <w:tcW w:w="762" w:type="dxa"/>
                  <w:vAlign w:val="center"/>
                </w:tcPr>
                <w:p>
                  <w:pPr>
                    <w:pStyle w:val="63"/>
                  </w:pPr>
                  <w:r>
                    <w:rPr>
                      <w:rFonts w:hint="eastAsia"/>
                    </w:rPr>
                    <w:t>190</w:t>
                  </w:r>
                </w:p>
              </w:tc>
              <w:tc>
                <w:tcPr>
                  <w:tcW w:w="678" w:type="dxa"/>
                  <w:vAlign w:val="center"/>
                </w:tcPr>
                <w:p>
                  <w:pPr>
                    <w:pStyle w:val="63"/>
                  </w:pPr>
                  <w:r>
                    <w:rPr>
                      <w:rFonts w:hint="eastAsia"/>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 w:type="dxa"/>
                  <w:vAlign w:val="center"/>
                </w:tcPr>
                <w:p>
                  <w:pPr>
                    <w:pStyle w:val="63"/>
                  </w:pPr>
                  <w:r>
                    <w:rPr>
                      <w:rFonts w:hint="eastAsia"/>
                    </w:rPr>
                    <w:t>6</w:t>
                  </w:r>
                </w:p>
              </w:tc>
              <w:tc>
                <w:tcPr>
                  <w:tcW w:w="735" w:type="dxa"/>
                  <w:vAlign w:val="center"/>
                </w:tcPr>
                <w:p>
                  <w:pPr>
                    <w:pStyle w:val="63"/>
                  </w:pPr>
                  <w:r>
                    <w:rPr>
                      <w:rFonts w:hint="eastAsia"/>
                    </w:rPr>
                    <w:t>散户1</w:t>
                  </w:r>
                </w:p>
              </w:tc>
              <w:tc>
                <w:tcPr>
                  <w:tcW w:w="1093" w:type="dxa"/>
                  <w:vAlign w:val="center"/>
                </w:tcPr>
                <w:p>
                  <w:pPr>
                    <w:pStyle w:val="63"/>
                  </w:pPr>
                  <w:r>
                    <w:rPr>
                      <w:rFonts w:hint="eastAsia"/>
                    </w:rPr>
                    <w:t>109.3571</w:t>
                  </w:r>
                </w:p>
              </w:tc>
              <w:tc>
                <w:tcPr>
                  <w:tcW w:w="1004" w:type="dxa"/>
                  <w:vAlign w:val="center"/>
                </w:tcPr>
                <w:p>
                  <w:pPr>
                    <w:pStyle w:val="63"/>
                  </w:pPr>
                  <w:r>
                    <w:rPr>
                      <w:rFonts w:hint="eastAsia"/>
                    </w:rPr>
                    <w:t>31.02615</w:t>
                  </w:r>
                </w:p>
              </w:tc>
              <w:tc>
                <w:tcPr>
                  <w:tcW w:w="813" w:type="dxa"/>
                  <w:vAlign w:val="center"/>
                </w:tcPr>
                <w:p>
                  <w:pPr>
                    <w:pStyle w:val="63"/>
                  </w:pPr>
                  <w:r>
                    <w:rPr>
                      <w:rFonts w:hint="eastAsia"/>
                    </w:rPr>
                    <w:t>农村居民点</w:t>
                  </w:r>
                </w:p>
              </w:tc>
              <w:tc>
                <w:tcPr>
                  <w:tcW w:w="818" w:type="dxa"/>
                  <w:vAlign w:val="center"/>
                </w:tcPr>
                <w:p>
                  <w:pPr>
                    <w:pStyle w:val="63"/>
                  </w:pPr>
                  <w:r>
                    <w:rPr>
                      <w:rFonts w:hint="eastAsia"/>
                    </w:rPr>
                    <w:t>2户，7人</w:t>
                  </w:r>
                </w:p>
              </w:tc>
              <w:tc>
                <w:tcPr>
                  <w:tcW w:w="761" w:type="dxa"/>
                  <w:vAlign w:val="center"/>
                </w:tcPr>
                <w:p>
                  <w:pPr>
                    <w:pStyle w:val="63"/>
                  </w:pPr>
                  <w:r>
                    <w:rPr>
                      <w:rFonts w:hint="eastAsia"/>
                    </w:rPr>
                    <w:t>二类</w:t>
                  </w:r>
                </w:p>
              </w:tc>
              <w:tc>
                <w:tcPr>
                  <w:tcW w:w="822" w:type="dxa"/>
                  <w:vAlign w:val="center"/>
                </w:tcPr>
                <w:p>
                  <w:pPr>
                    <w:pStyle w:val="63"/>
                  </w:pPr>
                  <w:r>
                    <w:rPr>
                      <w:rFonts w:hint="eastAsia"/>
                    </w:rPr>
                    <w:t>ESE</w:t>
                  </w:r>
                </w:p>
              </w:tc>
              <w:tc>
                <w:tcPr>
                  <w:tcW w:w="762" w:type="dxa"/>
                  <w:vAlign w:val="center"/>
                </w:tcPr>
                <w:p>
                  <w:pPr>
                    <w:pStyle w:val="63"/>
                  </w:pPr>
                  <w:r>
                    <w:rPr>
                      <w:rFonts w:hint="eastAsia"/>
                    </w:rPr>
                    <w:t>103</w:t>
                  </w:r>
                </w:p>
              </w:tc>
              <w:tc>
                <w:tcPr>
                  <w:tcW w:w="678" w:type="dxa"/>
                  <w:vAlign w:val="center"/>
                </w:tcPr>
                <w:p>
                  <w:pPr>
                    <w:pStyle w:val="63"/>
                  </w:pPr>
                  <w:r>
                    <w:rPr>
                      <w:rFonts w:hint="eastAsia"/>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 w:type="dxa"/>
                  <w:vAlign w:val="center"/>
                </w:tcPr>
                <w:p>
                  <w:pPr>
                    <w:pStyle w:val="63"/>
                  </w:pPr>
                  <w:r>
                    <w:rPr>
                      <w:rFonts w:hint="eastAsia"/>
                    </w:rPr>
                    <w:t>7</w:t>
                  </w:r>
                </w:p>
              </w:tc>
              <w:tc>
                <w:tcPr>
                  <w:tcW w:w="735" w:type="dxa"/>
                  <w:vAlign w:val="center"/>
                </w:tcPr>
                <w:p>
                  <w:pPr>
                    <w:pStyle w:val="63"/>
                  </w:pPr>
                  <w:r>
                    <w:rPr>
                      <w:rFonts w:hint="eastAsia"/>
                    </w:rPr>
                    <w:t>散户4</w:t>
                  </w:r>
                </w:p>
              </w:tc>
              <w:tc>
                <w:tcPr>
                  <w:tcW w:w="1093" w:type="dxa"/>
                  <w:vAlign w:val="center"/>
                </w:tcPr>
                <w:p>
                  <w:pPr>
                    <w:pStyle w:val="63"/>
                  </w:pPr>
                  <w:r>
                    <w:rPr>
                      <w:rFonts w:hint="eastAsia"/>
                    </w:rPr>
                    <w:t>109.3598</w:t>
                  </w:r>
                </w:p>
              </w:tc>
              <w:tc>
                <w:tcPr>
                  <w:tcW w:w="1004" w:type="dxa"/>
                  <w:vAlign w:val="center"/>
                </w:tcPr>
                <w:p>
                  <w:pPr>
                    <w:pStyle w:val="63"/>
                  </w:pPr>
                  <w:r>
                    <w:rPr>
                      <w:rFonts w:hint="eastAsia"/>
                    </w:rPr>
                    <w:t>31.0305</w:t>
                  </w:r>
                </w:p>
              </w:tc>
              <w:tc>
                <w:tcPr>
                  <w:tcW w:w="813" w:type="dxa"/>
                  <w:vAlign w:val="center"/>
                </w:tcPr>
                <w:p>
                  <w:pPr>
                    <w:pStyle w:val="63"/>
                  </w:pPr>
                  <w:r>
                    <w:rPr>
                      <w:rFonts w:hint="eastAsia"/>
                    </w:rPr>
                    <w:t>农村居民点</w:t>
                  </w:r>
                </w:p>
              </w:tc>
              <w:tc>
                <w:tcPr>
                  <w:tcW w:w="818" w:type="dxa"/>
                  <w:vAlign w:val="center"/>
                </w:tcPr>
                <w:p>
                  <w:pPr>
                    <w:pStyle w:val="63"/>
                  </w:pPr>
                  <w:r>
                    <w:rPr>
                      <w:rFonts w:hint="eastAsia"/>
                    </w:rPr>
                    <w:t>6户，25人</w:t>
                  </w:r>
                </w:p>
              </w:tc>
              <w:tc>
                <w:tcPr>
                  <w:tcW w:w="761" w:type="dxa"/>
                  <w:vAlign w:val="center"/>
                </w:tcPr>
                <w:p>
                  <w:pPr>
                    <w:pStyle w:val="63"/>
                  </w:pPr>
                  <w:r>
                    <w:rPr>
                      <w:rFonts w:hint="eastAsia"/>
                    </w:rPr>
                    <w:t>二类</w:t>
                  </w:r>
                </w:p>
              </w:tc>
              <w:tc>
                <w:tcPr>
                  <w:tcW w:w="822" w:type="dxa"/>
                  <w:vAlign w:val="center"/>
                </w:tcPr>
                <w:p>
                  <w:pPr>
                    <w:pStyle w:val="63"/>
                  </w:pPr>
                  <w:r>
                    <w:rPr>
                      <w:rFonts w:hint="eastAsia"/>
                    </w:rPr>
                    <w:t>NE</w:t>
                  </w:r>
                </w:p>
              </w:tc>
              <w:tc>
                <w:tcPr>
                  <w:tcW w:w="762" w:type="dxa"/>
                  <w:vAlign w:val="center"/>
                </w:tcPr>
                <w:p>
                  <w:pPr>
                    <w:pStyle w:val="63"/>
                  </w:pPr>
                  <w:r>
                    <w:rPr>
                      <w:rFonts w:hint="eastAsia"/>
                    </w:rPr>
                    <w:t>480</w:t>
                  </w:r>
                </w:p>
              </w:tc>
              <w:tc>
                <w:tcPr>
                  <w:tcW w:w="678" w:type="dxa"/>
                  <w:vAlign w:val="center"/>
                </w:tcPr>
                <w:p>
                  <w:pPr>
                    <w:pStyle w:val="63"/>
                  </w:pPr>
                  <w:r>
                    <w:rPr>
                      <w:rFonts w:hint="eastAsia"/>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6" w:type="dxa"/>
                  <w:gridSpan w:val="9"/>
                  <w:vAlign w:val="center"/>
                </w:tcPr>
                <w:p>
                  <w:pPr>
                    <w:pStyle w:val="64"/>
                  </w:pPr>
                  <w:r>
                    <w:rPr>
                      <w:rFonts w:hint="eastAsia"/>
                    </w:rPr>
                    <w:t>注：坐标采用CGCS2000。</w:t>
                  </w:r>
                </w:p>
              </w:tc>
              <w:tc>
                <w:tcPr>
                  <w:tcW w:w="678" w:type="dxa"/>
                </w:tcPr>
                <w:p>
                  <w:pPr>
                    <w:pStyle w:val="64"/>
                  </w:pPr>
                </w:p>
              </w:tc>
            </w:tr>
          </w:tbl>
          <w:p/>
          <w:p>
            <w:pPr>
              <w:pStyle w:val="4"/>
              <w:spacing w:before="120" w:after="120"/>
            </w:pPr>
            <w:r>
              <w:rPr>
                <w:rFonts w:hint="eastAsia"/>
              </w:rPr>
              <w:t>声环境</w:t>
            </w:r>
          </w:p>
          <w:p>
            <w:pPr>
              <w:pStyle w:val="5"/>
              <w:ind w:firstLine="480"/>
            </w:pPr>
            <w:r>
              <w:rPr>
                <w:rFonts w:hint="eastAsia"/>
              </w:rPr>
              <w:t>项目厂界外50m范围内现状无声环境保护目标，根据规划厂界周围用地为绿地和公辅设施用地，无规划声环境保护目标。所以项目厂界外50m范围内无现状和规划声环境保护目标。</w:t>
            </w:r>
          </w:p>
          <w:p>
            <w:pPr>
              <w:pStyle w:val="4"/>
              <w:spacing w:before="120" w:after="120"/>
            </w:pPr>
            <w:r>
              <w:rPr>
                <w:rFonts w:hint="eastAsia"/>
              </w:rPr>
              <w:t>地下水环境</w:t>
            </w:r>
          </w:p>
          <w:p>
            <w:pPr>
              <w:pStyle w:val="5"/>
              <w:ind w:firstLine="480"/>
            </w:pPr>
            <w:r>
              <w:rPr>
                <w:rFonts w:hint="eastAsia"/>
              </w:rPr>
              <w:t>项目厂界外500m范围内无地下水集中式饮用水水源和热水、矿泉水、温泉等特殊地下水资源。</w:t>
            </w:r>
          </w:p>
          <w:p>
            <w:pPr>
              <w:pStyle w:val="4"/>
              <w:spacing w:before="120" w:after="120"/>
            </w:pPr>
            <w:r>
              <w:rPr>
                <w:rFonts w:hint="eastAsia"/>
              </w:rPr>
              <w:t>地表水环境</w:t>
            </w:r>
          </w:p>
          <w:p>
            <w:pPr>
              <w:pStyle w:val="5"/>
              <w:ind w:firstLine="480"/>
            </w:pPr>
            <w:r>
              <w:rPr>
                <w:rFonts w:hint="eastAsia"/>
              </w:rPr>
              <w:t>项目评价江段不涉及饮用水源保护区，地表水保护目标主要为朱衣河，保护对象为朱衣河水质，水质目标为《地表水环境质量标准》（GB3838-2002）Ⅲ类水域标准。</w:t>
            </w:r>
          </w:p>
          <w:p>
            <w:pPr>
              <w:pStyle w:val="14"/>
              <w:keepNext/>
            </w:pPr>
            <w:r>
              <w:t xml:space="preserve">表 </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2</w:t>
            </w:r>
            <w:r>
              <w:fldChar w:fldCharType="end"/>
            </w:r>
            <w:r>
              <w:rPr>
                <w:rFonts w:hint="eastAsia"/>
              </w:rPr>
              <w:t xml:space="preserve">   地表水环境敏感目标</w:t>
            </w:r>
          </w:p>
          <w:tbl>
            <w:tblPr>
              <w:tblStyle w:val="3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387"/>
              <w:gridCol w:w="1387"/>
              <w:gridCol w:w="2955"/>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7" w:type="dxa"/>
                  <w:vAlign w:val="center"/>
                </w:tcPr>
                <w:p>
                  <w:pPr>
                    <w:pStyle w:val="63"/>
                  </w:pPr>
                  <w:r>
                    <w:rPr>
                      <w:rFonts w:hint="eastAsia"/>
                    </w:rPr>
                    <w:t>序号</w:t>
                  </w:r>
                </w:p>
              </w:tc>
              <w:tc>
                <w:tcPr>
                  <w:tcW w:w="1387" w:type="dxa"/>
                  <w:vAlign w:val="center"/>
                </w:tcPr>
                <w:p>
                  <w:pPr>
                    <w:pStyle w:val="63"/>
                  </w:pPr>
                  <w:r>
                    <w:rPr>
                      <w:rFonts w:hint="eastAsia"/>
                    </w:rPr>
                    <w:t>环境敏感目标</w:t>
                  </w:r>
                </w:p>
              </w:tc>
              <w:tc>
                <w:tcPr>
                  <w:tcW w:w="1387" w:type="dxa"/>
                  <w:vAlign w:val="center"/>
                </w:tcPr>
                <w:p>
                  <w:pPr>
                    <w:pStyle w:val="63"/>
                  </w:pPr>
                  <w:r>
                    <w:rPr>
                      <w:rFonts w:hint="eastAsia"/>
                    </w:rPr>
                    <w:t>环境功能区划</w:t>
                  </w:r>
                </w:p>
              </w:tc>
              <w:tc>
                <w:tcPr>
                  <w:tcW w:w="2955" w:type="dxa"/>
                  <w:vAlign w:val="center"/>
                </w:tcPr>
                <w:p>
                  <w:pPr>
                    <w:pStyle w:val="63"/>
                  </w:pPr>
                  <w:r>
                    <w:rPr>
                      <w:rFonts w:hint="eastAsia"/>
                    </w:rPr>
                    <w:t>位置关系</w:t>
                  </w:r>
                </w:p>
              </w:tc>
              <w:tc>
                <w:tcPr>
                  <w:tcW w:w="1588"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7" w:type="dxa"/>
                  <w:vAlign w:val="center"/>
                </w:tcPr>
                <w:p>
                  <w:pPr>
                    <w:pStyle w:val="63"/>
                  </w:pPr>
                  <w:r>
                    <w:rPr>
                      <w:rFonts w:hint="eastAsia"/>
                    </w:rPr>
                    <w:t>1</w:t>
                  </w:r>
                </w:p>
              </w:tc>
              <w:tc>
                <w:tcPr>
                  <w:tcW w:w="1387" w:type="dxa"/>
                  <w:vAlign w:val="center"/>
                </w:tcPr>
                <w:p>
                  <w:pPr>
                    <w:pStyle w:val="63"/>
                  </w:pPr>
                  <w:r>
                    <w:rPr>
                      <w:rFonts w:hint="eastAsia"/>
                    </w:rPr>
                    <w:t>朱衣河</w:t>
                  </w:r>
                </w:p>
              </w:tc>
              <w:tc>
                <w:tcPr>
                  <w:tcW w:w="1387" w:type="dxa"/>
                  <w:vAlign w:val="center"/>
                </w:tcPr>
                <w:p>
                  <w:pPr>
                    <w:pStyle w:val="63"/>
                  </w:pPr>
                  <w:r>
                    <w:rPr>
                      <w:rFonts w:hint="eastAsia"/>
                    </w:rPr>
                    <w:t>Ⅲ类</w:t>
                  </w:r>
                </w:p>
              </w:tc>
              <w:tc>
                <w:tcPr>
                  <w:tcW w:w="2955" w:type="dxa"/>
                  <w:vAlign w:val="center"/>
                </w:tcPr>
                <w:p>
                  <w:pPr>
                    <w:pStyle w:val="63"/>
                  </w:pPr>
                  <w:r>
                    <w:rPr>
                      <w:rFonts w:hint="eastAsia"/>
                    </w:rPr>
                    <w:t>项目东北侧，从排口至汇入长江河口约10</w:t>
                  </w:r>
                  <w:r>
                    <w:t>km</w:t>
                  </w:r>
                </w:p>
              </w:tc>
              <w:tc>
                <w:tcPr>
                  <w:tcW w:w="1588" w:type="dxa"/>
                  <w:vAlign w:val="center"/>
                </w:tcPr>
                <w:p>
                  <w:pPr>
                    <w:pStyle w:val="63"/>
                  </w:pPr>
                  <w:r>
                    <w:rPr>
                      <w:rFonts w:hint="eastAsia"/>
                    </w:rPr>
                    <w:t>尾水受纳水体</w:t>
                  </w:r>
                </w:p>
              </w:tc>
            </w:tr>
          </w:tbl>
          <w:p/>
          <w:p>
            <w:pPr>
              <w:pStyle w:val="4"/>
              <w:spacing w:before="120" w:after="120"/>
            </w:pPr>
            <w:r>
              <w:rPr>
                <w:rFonts w:hint="eastAsia"/>
              </w:rPr>
              <w:t>生态环境</w:t>
            </w:r>
          </w:p>
          <w:p>
            <w:pPr>
              <w:pStyle w:val="5"/>
              <w:ind w:firstLine="480"/>
            </w:pPr>
            <w:r>
              <w:rPr>
                <w:rFonts w:hint="eastAsia"/>
              </w:rPr>
              <w:t>项目生态保护目标见</w:t>
            </w:r>
            <w:r>
              <w:fldChar w:fldCharType="begin"/>
            </w:r>
            <w:r>
              <w:instrText xml:space="preserve"> </w:instrText>
            </w:r>
            <w:r>
              <w:rPr>
                <w:rFonts w:hint="eastAsia"/>
              </w:rPr>
              <w:instrText xml:space="preserve">REF _Ref170830235 \h</w:instrText>
            </w:r>
            <w:r>
              <w:instrText xml:space="preserve"> </w:instrText>
            </w:r>
            <w:r>
              <w:fldChar w:fldCharType="separate"/>
            </w:r>
            <w:r>
              <w:t>表 3.2</w:t>
            </w:r>
            <w:r>
              <w:noBreakHyphen/>
            </w:r>
            <w:r>
              <w:t>3</w:t>
            </w:r>
            <w:r>
              <w:fldChar w:fldCharType="end"/>
            </w:r>
            <w:r>
              <w:rPr>
                <w:rFonts w:hint="eastAsia"/>
              </w:rPr>
              <w:t>。</w:t>
            </w:r>
          </w:p>
          <w:p>
            <w:pPr>
              <w:pStyle w:val="14"/>
              <w:keepNext/>
            </w:pPr>
            <w:bookmarkStart w:id="51" w:name="_Ref170830235"/>
            <w:r>
              <w:t xml:space="preserve">表 </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3</w:t>
            </w:r>
            <w:r>
              <w:fldChar w:fldCharType="end"/>
            </w:r>
            <w:bookmarkEnd w:id="51"/>
            <w:r>
              <w:rPr>
                <w:rFonts w:hint="eastAsia"/>
              </w:rPr>
              <w:t xml:space="preserve">   生态保护目标</w:t>
            </w:r>
          </w:p>
          <w:tbl>
            <w:tblPr>
              <w:tblStyle w:val="39"/>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375"/>
              <w:gridCol w:w="3858"/>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vAlign w:val="center"/>
                </w:tcPr>
                <w:p>
                  <w:pPr>
                    <w:pStyle w:val="63"/>
                  </w:pPr>
                  <w:r>
                    <w:rPr>
                      <w:rFonts w:hint="eastAsia"/>
                    </w:rPr>
                    <w:t>类型</w:t>
                  </w:r>
                </w:p>
              </w:tc>
              <w:tc>
                <w:tcPr>
                  <w:tcW w:w="1375" w:type="dxa"/>
                  <w:vAlign w:val="center"/>
                </w:tcPr>
                <w:p>
                  <w:pPr>
                    <w:pStyle w:val="63"/>
                  </w:pPr>
                  <w:r>
                    <w:rPr>
                      <w:rFonts w:hint="eastAsia"/>
                    </w:rPr>
                    <w:t>生态保护目标</w:t>
                  </w:r>
                </w:p>
              </w:tc>
              <w:tc>
                <w:tcPr>
                  <w:tcW w:w="3858" w:type="dxa"/>
                  <w:vAlign w:val="center"/>
                </w:tcPr>
                <w:p>
                  <w:pPr>
                    <w:pStyle w:val="63"/>
                  </w:pPr>
                  <w:r>
                    <w:rPr>
                      <w:rFonts w:hint="eastAsia"/>
                    </w:rPr>
                    <w:t>保护对象</w:t>
                  </w:r>
                </w:p>
              </w:tc>
              <w:tc>
                <w:tcPr>
                  <w:tcW w:w="1692" w:type="dxa"/>
                  <w:vAlign w:val="center"/>
                </w:tcPr>
                <w:p>
                  <w:pPr>
                    <w:pStyle w:val="63"/>
                  </w:pPr>
                  <w:r>
                    <w:rPr>
                      <w:rFonts w:hint="eastAsia"/>
                    </w:rPr>
                    <w:t>相对位置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vAlign w:val="center"/>
                </w:tcPr>
                <w:p>
                  <w:pPr>
                    <w:pStyle w:val="63"/>
                  </w:pPr>
                  <w:r>
                    <w:rPr>
                      <w:rFonts w:hint="eastAsia"/>
                    </w:rPr>
                    <w:t>鱼类</w:t>
                  </w:r>
                </w:p>
              </w:tc>
              <w:tc>
                <w:tcPr>
                  <w:tcW w:w="1375" w:type="dxa"/>
                  <w:vAlign w:val="center"/>
                </w:tcPr>
                <w:p>
                  <w:pPr>
                    <w:pStyle w:val="63"/>
                  </w:pPr>
                  <w:r>
                    <w:rPr>
                      <w:rFonts w:hint="eastAsia"/>
                    </w:rPr>
                    <w:t>鱼类</w:t>
                  </w:r>
                </w:p>
              </w:tc>
              <w:tc>
                <w:tcPr>
                  <w:tcW w:w="3858" w:type="dxa"/>
                  <w:vAlign w:val="center"/>
                </w:tcPr>
                <w:p>
                  <w:pPr>
                    <w:pStyle w:val="63"/>
                  </w:pPr>
                  <w:r>
                    <w:rPr>
                      <w:rFonts w:hint="eastAsia"/>
                    </w:rPr>
                    <w:t>白条鱼、黄颡鱼、鲤鱼、鲫鱼等</w:t>
                  </w:r>
                </w:p>
              </w:tc>
              <w:tc>
                <w:tcPr>
                  <w:tcW w:w="1692"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vAlign w:val="center"/>
                </w:tcPr>
                <w:p>
                  <w:pPr>
                    <w:pStyle w:val="63"/>
                  </w:pPr>
                  <w:r>
                    <w:rPr>
                      <w:rFonts w:hint="eastAsia"/>
                    </w:rPr>
                    <w:t>产卵场</w:t>
                  </w:r>
                </w:p>
              </w:tc>
              <w:tc>
                <w:tcPr>
                  <w:tcW w:w="1375" w:type="dxa"/>
                  <w:vAlign w:val="center"/>
                </w:tcPr>
                <w:p>
                  <w:pPr>
                    <w:pStyle w:val="63"/>
                  </w:pPr>
                  <w:r>
                    <w:rPr>
                      <w:rFonts w:hint="eastAsia"/>
                    </w:rPr>
                    <w:t>冒峰村产卵场</w:t>
                  </w:r>
                </w:p>
              </w:tc>
              <w:tc>
                <w:tcPr>
                  <w:tcW w:w="3858" w:type="dxa"/>
                  <w:vAlign w:val="center"/>
                </w:tcPr>
                <w:p>
                  <w:pPr>
                    <w:pStyle w:val="63"/>
                  </w:pPr>
                  <w:r>
                    <w:t>产粘性卵的产卵场，产卵种类主要为草鱼、鲤鱼、鲢鱼、翘嘴红鲌</w:t>
                  </w:r>
                  <w:r>
                    <w:rPr>
                      <w:rFonts w:hint="eastAsia"/>
                    </w:rPr>
                    <w:t>，</w:t>
                  </w:r>
                  <w:r>
                    <w:t>产卵场面积约2hm</w:t>
                  </w:r>
                  <w:r>
                    <w:rPr>
                      <w:vertAlign w:val="superscript"/>
                    </w:rPr>
                    <w:t>2</w:t>
                  </w:r>
                </w:p>
              </w:tc>
              <w:tc>
                <w:tcPr>
                  <w:tcW w:w="1692" w:type="dxa"/>
                  <w:vAlign w:val="center"/>
                </w:tcPr>
                <w:p>
                  <w:pPr>
                    <w:pStyle w:val="63"/>
                  </w:pPr>
                  <w:r>
                    <w:rPr>
                      <w:rFonts w:hint="eastAsia"/>
                    </w:rPr>
                    <w:t>项目排口下游5.0km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vAlign w:val="center"/>
                </w:tcPr>
                <w:p>
                  <w:pPr>
                    <w:pStyle w:val="63"/>
                  </w:pPr>
                  <w:r>
                    <w:rPr>
                      <w:rFonts w:hint="eastAsia"/>
                    </w:rPr>
                    <w:t>索饵场</w:t>
                  </w:r>
                </w:p>
              </w:tc>
              <w:tc>
                <w:tcPr>
                  <w:tcW w:w="1375" w:type="dxa"/>
                  <w:vAlign w:val="center"/>
                </w:tcPr>
                <w:p>
                  <w:pPr>
                    <w:pStyle w:val="63"/>
                  </w:pPr>
                  <w:r>
                    <w:rPr>
                      <w:rFonts w:hint="eastAsia"/>
                    </w:rPr>
                    <w:t>索饵场朱衣河河口区域河段</w:t>
                  </w:r>
                </w:p>
              </w:tc>
              <w:tc>
                <w:tcPr>
                  <w:tcW w:w="3858" w:type="dxa"/>
                  <w:vAlign w:val="center"/>
                </w:tcPr>
                <w:p>
                  <w:pPr>
                    <w:pStyle w:val="63"/>
                  </w:pPr>
                  <w:r>
                    <w:rPr>
                      <w:rFonts w:hint="eastAsia"/>
                    </w:rPr>
                    <w:t>白条鱼、黄颡鱼、鲤鱼、鲫鱼等</w:t>
                  </w:r>
                </w:p>
              </w:tc>
              <w:tc>
                <w:tcPr>
                  <w:tcW w:w="1692" w:type="dxa"/>
                  <w:vAlign w:val="center"/>
                </w:tcPr>
                <w:p>
                  <w:pPr>
                    <w:pStyle w:val="63"/>
                  </w:pPr>
                  <w:r>
                    <w:rPr>
                      <w:rFonts w:hint="eastAsia"/>
                    </w:rPr>
                    <w:t>朱衣河河口区域河段，项目下游10km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vAlign w:val="center"/>
                </w:tcPr>
                <w:p>
                  <w:pPr>
                    <w:pStyle w:val="63"/>
                  </w:pPr>
                  <w:r>
                    <w:rPr>
                      <w:rFonts w:hint="eastAsia"/>
                    </w:rPr>
                    <w:t>越冬场</w:t>
                  </w:r>
                </w:p>
              </w:tc>
              <w:tc>
                <w:tcPr>
                  <w:tcW w:w="1375" w:type="dxa"/>
                  <w:vAlign w:val="center"/>
                </w:tcPr>
                <w:p>
                  <w:pPr>
                    <w:pStyle w:val="63"/>
                  </w:pPr>
                  <w:r>
                    <w:rPr>
                      <w:rFonts w:hint="eastAsia"/>
                    </w:rPr>
                    <w:t>越冬场</w:t>
                  </w:r>
                </w:p>
              </w:tc>
              <w:tc>
                <w:tcPr>
                  <w:tcW w:w="3858" w:type="dxa"/>
                  <w:vAlign w:val="center"/>
                </w:tcPr>
                <w:p>
                  <w:pPr>
                    <w:pStyle w:val="63"/>
                  </w:pPr>
                  <w:r>
                    <w:rPr>
                      <w:rFonts w:hint="eastAsia"/>
                    </w:rPr>
                    <w:t>鱼类</w:t>
                  </w:r>
                </w:p>
              </w:tc>
              <w:tc>
                <w:tcPr>
                  <w:tcW w:w="1692" w:type="dxa"/>
                  <w:vAlign w:val="center"/>
                </w:tcPr>
                <w:p>
                  <w:pPr>
                    <w:pStyle w:val="63"/>
                  </w:pPr>
                  <w:r>
                    <w:rPr>
                      <w:rFonts w:hint="eastAsia"/>
                    </w:rPr>
                    <w:t>项目排口下游5.0km至河口10km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vAlign w:val="center"/>
                </w:tcPr>
                <w:p>
                  <w:pPr>
                    <w:pStyle w:val="63"/>
                  </w:pPr>
                  <w:r>
                    <w:rPr>
                      <w:rFonts w:hint="eastAsia"/>
                    </w:rPr>
                    <w:t>洄游</w:t>
                  </w:r>
                </w:p>
                <w:p>
                  <w:pPr>
                    <w:pStyle w:val="63"/>
                  </w:pPr>
                  <w:r>
                    <w:rPr>
                      <w:rFonts w:hint="eastAsia"/>
                    </w:rPr>
                    <w:t>水道</w:t>
                  </w:r>
                </w:p>
              </w:tc>
              <w:tc>
                <w:tcPr>
                  <w:tcW w:w="1375" w:type="dxa"/>
                  <w:vAlign w:val="center"/>
                </w:tcPr>
                <w:p>
                  <w:pPr>
                    <w:pStyle w:val="63"/>
                  </w:pPr>
                  <w:r>
                    <w:rPr>
                      <w:rFonts w:hint="eastAsia"/>
                    </w:rPr>
                    <w:t>鱼类</w:t>
                  </w:r>
                </w:p>
              </w:tc>
              <w:tc>
                <w:tcPr>
                  <w:tcW w:w="3858" w:type="dxa"/>
                  <w:vAlign w:val="center"/>
                </w:tcPr>
                <w:p>
                  <w:pPr>
                    <w:pStyle w:val="63"/>
                  </w:pPr>
                  <w:r>
                    <w:rPr>
                      <w:rFonts w:hint="eastAsia"/>
                    </w:rPr>
                    <w:t>鱼类</w:t>
                  </w:r>
                </w:p>
              </w:tc>
              <w:tc>
                <w:tcPr>
                  <w:tcW w:w="1692"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64" w:type="dxa"/>
                  <w:gridSpan w:val="4"/>
                  <w:vAlign w:val="center"/>
                </w:tcPr>
                <w:p>
                  <w:pPr>
                    <w:pStyle w:val="64"/>
                  </w:pPr>
                  <w:r>
                    <w:rPr>
                      <w:rFonts w:hint="eastAsia"/>
                    </w:rPr>
                    <w:t>注：项目位置为位置零点。</w:t>
                  </w:r>
                </w:p>
              </w:tc>
            </w:tr>
          </w:tbl>
          <w:p>
            <w:pPr>
              <w:pStyle w:val="5"/>
              <w:ind w:firstLine="480"/>
            </w:pPr>
          </w:p>
          <w:p>
            <w:pPr>
              <w:pStyle w:val="5"/>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2906" w:hRule="atLeast"/>
          <w:jc w:val="center"/>
        </w:trPr>
        <w:tc>
          <w:tcPr>
            <w:tcW w:w="800" w:type="dxa"/>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污染</w:t>
            </w:r>
          </w:p>
          <w:p>
            <w:pPr>
              <w:adjustRightInd w:val="0"/>
              <w:snapToGrid w:val="0"/>
              <w:jc w:val="center"/>
              <w:rPr>
                <w:rFonts w:hint="eastAsia" w:ascii="宋体" w:hAnsi="宋体" w:cs="宋体"/>
                <w:kern w:val="0"/>
                <w:szCs w:val="21"/>
              </w:rPr>
            </w:pPr>
            <w:r>
              <w:rPr>
                <w:rFonts w:hint="eastAsia" w:ascii="宋体" w:hAnsi="宋体" w:cs="宋体"/>
                <w:kern w:val="0"/>
                <w:szCs w:val="21"/>
              </w:rPr>
              <w:t>物排</w:t>
            </w:r>
          </w:p>
          <w:p>
            <w:pPr>
              <w:adjustRightInd w:val="0"/>
              <w:snapToGrid w:val="0"/>
              <w:jc w:val="center"/>
              <w:rPr>
                <w:rFonts w:hint="eastAsia" w:ascii="宋体" w:hAnsi="宋体" w:cs="宋体"/>
                <w:kern w:val="0"/>
                <w:szCs w:val="21"/>
              </w:rPr>
            </w:pPr>
            <w:r>
              <w:rPr>
                <w:rFonts w:hint="eastAsia" w:ascii="宋体" w:hAnsi="宋体" w:cs="宋体"/>
                <w:kern w:val="0"/>
                <w:szCs w:val="21"/>
              </w:rPr>
              <w:t>放控</w:t>
            </w:r>
          </w:p>
          <w:p>
            <w:pPr>
              <w:adjustRightInd w:val="0"/>
              <w:snapToGrid w:val="0"/>
              <w:jc w:val="center"/>
              <w:rPr>
                <w:rFonts w:hint="eastAsia" w:ascii="宋体" w:hAnsi="宋体" w:cs="宋体"/>
                <w:kern w:val="0"/>
                <w:szCs w:val="21"/>
              </w:rPr>
            </w:pPr>
            <w:r>
              <w:rPr>
                <w:rFonts w:hint="eastAsia" w:ascii="宋体" w:hAnsi="宋体" w:cs="宋体"/>
                <w:kern w:val="0"/>
                <w:szCs w:val="21"/>
              </w:rPr>
              <w:t>制标</w:t>
            </w:r>
          </w:p>
          <w:p>
            <w:pPr>
              <w:adjustRightInd w:val="0"/>
              <w:snapToGrid w:val="0"/>
              <w:jc w:val="center"/>
              <w:rPr>
                <w:rFonts w:hint="eastAsia" w:ascii="宋体" w:hAnsi="宋体" w:cs="宋体"/>
                <w:kern w:val="0"/>
                <w:szCs w:val="21"/>
              </w:rPr>
            </w:pPr>
            <w:r>
              <w:rPr>
                <w:rFonts w:hint="eastAsia" w:ascii="宋体" w:hAnsi="宋体" w:cs="宋体"/>
                <w:kern w:val="0"/>
                <w:szCs w:val="21"/>
              </w:rPr>
              <w:t>准</w:t>
            </w:r>
          </w:p>
        </w:tc>
        <w:tc>
          <w:tcPr>
            <w:tcW w:w="8190" w:type="dxa"/>
            <w:vAlign w:val="center"/>
          </w:tcPr>
          <w:p>
            <w:pPr>
              <w:pStyle w:val="3"/>
              <w:spacing w:before="120" w:after="120"/>
            </w:pPr>
            <w:r>
              <w:rPr>
                <w:rFonts w:hint="eastAsia"/>
              </w:rPr>
              <w:t>污染物排放控制标准</w:t>
            </w:r>
          </w:p>
          <w:p>
            <w:pPr>
              <w:pStyle w:val="4"/>
              <w:spacing w:before="120" w:after="120"/>
            </w:pPr>
            <w:r>
              <w:rPr>
                <w:rFonts w:hint="eastAsia"/>
              </w:rPr>
              <w:t>大气污染物排放标准</w:t>
            </w:r>
          </w:p>
          <w:p>
            <w:pPr>
              <w:pStyle w:val="5"/>
              <w:ind w:firstLine="480"/>
              <w:rPr>
                <w:rFonts w:cs="Times New Roman"/>
              </w:rPr>
            </w:pPr>
            <w:r>
              <w:rPr>
                <w:rFonts w:hint="eastAsia"/>
              </w:rPr>
              <w:t>施工期大气污染物排放执行《重庆市大气污染物综合排放标准》（DB50/418-2016），即颗粒物无组织排放监控点位限值1.0mg/m</w:t>
            </w:r>
            <w:r>
              <w:rPr>
                <w:rFonts w:hint="eastAsia"/>
                <w:vertAlign w:val="superscript"/>
              </w:rPr>
              <w:t>3</w:t>
            </w:r>
            <w:r>
              <w:rPr>
                <w:rFonts w:hint="eastAsia"/>
              </w:rPr>
              <w:t>。项目位于环境空气二类区，建设性质为新建，营运期臭气有组织排放执行《恶臭污染物排放标准》（GB14554-93）二级标准，标准限值见</w:t>
            </w:r>
            <w:r>
              <w:fldChar w:fldCharType="begin"/>
            </w:r>
            <w:r>
              <w:instrText xml:space="preserve"> </w:instrText>
            </w:r>
            <w:r>
              <w:rPr>
                <w:rFonts w:hint="eastAsia"/>
              </w:rPr>
              <w:instrText xml:space="preserve">REF _Ref169521542 \h</w:instrText>
            </w:r>
            <w:r>
              <w:instrText xml:space="preserve"> </w:instrText>
            </w:r>
            <w:r>
              <w:fldChar w:fldCharType="separate"/>
            </w:r>
            <w:r>
              <w:rPr>
                <w:rFonts w:hint="eastAsia"/>
              </w:rPr>
              <w:t xml:space="preserve">表 </w:t>
            </w:r>
            <w:r>
              <w:t>3.3</w:t>
            </w:r>
            <w:r>
              <w:noBreakHyphen/>
            </w:r>
            <w:r>
              <w:t>1</w:t>
            </w:r>
            <w:r>
              <w:fldChar w:fldCharType="end"/>
            </w:r>
            <w:r>
              <w:rPr>
                <w:rFonts w:hint="eastAsia"/>
              </w:rPr>
              <w:t>，无组织排放执行《城镇污水处理厂污染物排放标准》（GB18918-2002）表5二级标准，标准限值见</w:t>
            </w:r>
            <w:r>
              <w:fldChar w:fldCharType="begin"/>
            </w:r>
            <w:r>
              <w:instrText xml:space="preserve"> </w:instrText>
            </w:r>
            <w:r>
              <w:rPr>
                <w:rFonts w:hint="eastAsia"/>
              </w:rPr>
              <w:instrText xml:space="preserve">REF _Ref170896842 \h</w:instrText>
            </w:r>
            <w:r>
              <w:instrText xml:space="preserve"> </w:instrText>
            </w:r>
            <w:r>
              <w:fldChar w:fldCharType="separate"/>
            </w:r>
            <w:r>
              <w:t>表 3.3</w:t>
            </w:r>
            <w:r>
              <w:noBreakHyphen/>
            </w:r>
            <w:r>
              <w:t>2</w:t>
            </w:r>
            <w:r>
              <w:fldChar w:fldCharType="end"/>
            </w:r>
            <w:r>
              <w:rPr>
                <w:rFonts w:cs="Times New Roman"/>
              </w:rPr>
              <w:t>。</w:t>
            </w:r>
          </w:p>
          <w:p>
            <w:pPr>
              <w:pStyle w:val="14"/>
              <w:keepNext/>
            </w:pPr>
            <w:bookmarkStart w:id="52" w:name="_Ref169521542"/>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52"/>
            <w:r>
              <w:rPr>
                <w:rFonts w:hint="eastAsia"/>
              </w:rPr>
              <w:t xml:space="preserve">   《恶臭污染物排放标准》（GB14554-93）</w:t>
            </w:r>
          </w:p>
          <w:tbl>
            <w:tblPr>
              <w:tblStyle w:val="3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3719"/>
              <w:gridCol w:w="1668"/>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5" w:type="dxa"/>
                  <w:vMerge w:val="restart"/>
                  <w:vAlign w:val="center"/>
                </w:tcPr>
                <w:p>
                  <w:pPr>
                    <w:pStyle w:val="63"/>
                  </w:pPr>
                  <w:r>
                    <w:rPr>
                      <w:rFonts w:hint="eastAsia"/>
                    </w:rPr>
                    <w:t>序号</w:t>
                  </w:r>
                </w:p>
              </w:tc>
              <w:tc>
                <w:tcPr>
                  <w:tcW w:w="3719" w:type="dxa"/>
                  <w:vMerge w:val="restart"/>
                  <w:vAlign w:val="center"/>
                </w:tcPr>
                <w:p>
                  <w:pPr>
                    <w:pStyle w:val="63"/>
                  </w:pPr>
                  <w:r>
                    <w:rPr>
                      <w:rFonts w:hint="eastAsia"/>
                    </w:rPr>
                    <w:t>控制项目</w:t>
                  </w:r>
                </w:p>
              </w:tc>
              <w:tc>
                <w:tcPr>
                  <w:tcW w:w="3610" w:type="dxa"/>
                  <w:gridSpan w:val="2"/>
                  <w:vAlign w:val="center"/>
                </w:tcPr>
                <w:p>
                  <w:pPr>
                    <w:pStyle w:val="63"/>
                  </w:pPr>
                  <w:r>
                    <w:rPr>
                      <w:rFonts w:hint="eastAsia"/>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5" w:type="dxa"/>
                  <w:vMerge w:val="continue"/>
                  <w:vAlign w:val="center"/>
                </w:tcPr>
                <w:p>
                  <w:pPr>
                    <w:pStyle w:val="63"/>
                  </w:pPr>
                </w:p>
              </w:tc>
              <w:tc>
                <w:tcPr>
                  <w:tcW w:w="3719" w:type="dxa"/>
                  <w:vMerge w:val="continue"/>
                  <w:vAlign w:val="center"/>
                </w:tcPr>
                <w:p>
                  <w:pPr>
                    <w:pStyle w:val="63"/>
                  </w:pPr>
                </w:p>
              </w:tc>
              <w:tc>
                <w:tcPr>
                  <w:tcW w:w="1668" w:type="dxa"/>
                  <w:vAlign w:val="center"/>
                </w:tcPr>
                <w:p>
                  <w:pPr>
                    <w:pStyle w:val="63"/>
                  </w:pPr>
                  <w:r>
                    <w:rPr>
                      <w:rFonts w:hint="eastAsia"/>
                    </w:rPr>
                    <w:t>排气筒高度/m</w:t>
                  </w:r>
                </w:p>
              </w:tc>
              <w:tc>
                <w:tcPr>
                  <w:tcW w:w="1942" w:type="dxa"/>
                  <w:vAlign w:val="center"/>
                </w:tcPr>
                <w:p>
                  <w:pPr>
                    <w:pStyle w:val="63"/>
                  </w:pPr>
                  <w:r>
                    <w:rPr>
                      <w:rFonts w:hint="eastAsia"/>
                    </w:rPr>
                    <w:t>排放量kg/h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5" w:type="dxa"/>
                  <w:vAlign w:val="center"/>
                </w:tcPr>
                <w:p>
                  <w:pPr>
                    <w:pStyle w:val="63"/>
                  </w:pPr>
                  <w:r>
                    <w:rPr>
                      <w:rFonts w:hint="eastAsia"/>
                    </w:rPr>
                    <w:t>1</w:t>
                  </w:r>
                </w:p>
              </w:tc>
              <w:tc>
                <w:tcPr>
                  <w:tcW w:w="3719" w:type="dxa"/>
                  <w:vAlign w:val="center"/>
                </w:tcPr>
                <w:p>
                  <w:pPr>
                    <w:pStyle w:val="63"/>
                  </w:pPr>
                  <w:r>
                    <w:rPr>
                      <w:rFonts w:hint="eastAsia"/>
                    </w:rPr>
                    <w:t>氨</w:t>
                  </w:r>
                </w:p>
              </w:tc>
              <w:tc>
                <w:tcPr>
                  <w:tcW w:w="1668" w:type="dxa"/>
                  <w:vMerge w:val="restart"/>
                  <w:vAlign w:val="center"/>
                </w:tcPr>
                <w:p>
                  <w:pPr>
                    <w:pStyle w:val="63"/>
                  </w:pPr>
                  <w:r>
                    <w:rPr>
                      <w:rFonts w:hint="eastAsia"/>
                    </w:rPr>
                    <w:t>15</w:t>
                  </w:r>
                </w:p>
              </w:tc>
              <w:tc>
                <w:tcPr>
                  <w:tcW w:w="1942" w:type="dxa"/>
                  <w:vAlign w:val="center"/>
                </w:tcPr>
                <w:p>
                  <w:pPr>
                    <w:pStyle w:val="63"/>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5" w:type="dxa"/>
                  <w:vAlign w:val="center"/>
                </w:tcPr>
                <w:p>
                  <w:pPr>
                    <w:pStyle w:val="63"/>
                  </w:pPr>
                  <w:r>
                    <w:rPr>
                      <w:rFonts w:hint="eastAsia"/>
                    </w:rPr>
                    <w:t>2</w:t>
                  </w:r>
                </w:p>
              </w:tc>
              <w:tc>
                <w:tcPr>
                  <w:tcW w:w="3719" w:type="dxa"/>
                  <w:vAlign w:val="center"/>
                </w:tcPr>
                <w:p>
                  <w:pPr>
                    <w:pStyle w:val="63"/>
                  </w:pPr>
                  <w:r>
                    <w:rPr>
                      <w:rFonts w:hint="eastAsia"/>
                    </w:rPr>
                    <w:t>硫化氢</w:t>
                  </w:r>
                </w:p>
              </w:tc>
              <w:tc>
                <w:tcPr>
                  <w:tcW w:w="1668" w:type="dxa"/>
                  <w:vMerge w:val="continue"/>
                  <w:vAlign w:val="center"/>
                </w:tcPr>
                <w:p>
                  <w:pPr>
                    <w:pStyle w:val="63"/>
                  </w:pPr>
                </w:p>
              </w:tc>
              <w:tc>
                <w:tcPr>
                  <w:tcW w:w="1942" w:type="dxa"/>
                  <w:vAlign w:val="center"/>
                </w:tcPr>
                <w:p>
                  <w:pPr>
                    <w:pStyle w:val="63"/>
                  </w:pPr>
                  <w:r>
                    <w:rPr>
                      <w:rFonts w:hint="eastAsia"/>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5" w:type="dxa"/>
                  <w:vAlign w:val="center"/>
                </w:tcPr>
                <w:p>
                  <w:pPr>
                    <w:pStyle w:val="63"/>
                  </w:pPr>
                  <w:r>
                    <w:rPr>
                      <w:rFonts w:hint="eastAsia"/>
                    </w:rPr>
                    <w:t>3</w:t>
                  </w:r>
                </w:p>
              </w:tc>
              <w:tc>
                <w:tcPr>
                  <w:tcW w:w="3719" w:type="dxa"/>
                  <w:vAlign w:val="center"/>
                </w:tcPr>
                <w:p>
                  <w:pPr>
                    <w:pStyle w:val="63"/>
                  </w:pPr>
                  <w:r>
                    <w:rPr>
                      <w:rFonts w:hint="eastAsia"/>
                    </w:rPr>
                    <w:t>臭气浓度</w:t>
                  </w:r>
                </w:p>
              </w:tc>
              <w:tc>
                <w:tcPr>
                  <w:tcW w:w="1668" w:type="dxa"/>
                  <w:vMerge w:val="continue"/>
                  <w:vAlign w:val="center"/>
                </w:tcPr>
                <w:p>
                  <w:pPr>
                    <w:pStyle w:val="63"/>
                  </w:pPr>
                </w:p>
              </w:tc>
              <w:tc>
                <w:tcPr>
                  <w:tcW w:w="1942" w:type="dxa"/>
                  <w:vAlign w:val="center"/>
                </w:tcPr>
                <w:p>
                  <w:pPr>
                    <w:pStyle w:val="63"/>
                  </w:pPr>
                  <w:r>
                    <w:rPr>
                      <w:rFonts w:hint="eastAsia"/>
                    </w:rPr>
                    <w:t>2000（无量纲）</w:t>
                  </w:r>
                </w:p>
              </w:tc>
            </w:tr>
          </w:tbl>
          <w:p>
            <w:pPr>
              <w:pStyle w:val="14"/>
              <w:keepNext/>
            </w:pPr>
            <w:bookmarkStart w:id="53" w:name="_Ref170896842"/>
            <w:r>
              <w:t xml:space="preserve">表 </w:t>
            </w:r>
            <w:r>
              <w:fldChar w:fldCharType="begin"/>
            </w:r>
            <w:r>
              <w:instrText xml:space="preserve"> STYLEREF 2 \s </w:instrText>
            </w:r>
            <w:r>
              <w:fldChar w:fldCharType="separate"/>
            </w:r>
            <w:r>
              <w:t>3.3</w:t>
            </w:r>
            <w:r>
              <w:fldChar w:fldCharType="end"/>
            </w:r>
            <w:r>
              <w:noBreakHyphen/>
            </w:r>
            <w:r>
              <w:fldChar w:fldCharType="begin"/>
            </w:r>
            <w:r>
              <w:instrText xml:space="preserve"> SEQ 表 \* ARABIC \s 2 </w:instrText>
            </w:r>
            <w:r>
              <w:fldChar w:fldCharType="separate"/>
            </w:r>
            <w:r>
              <w:t>2</w:t>
            </w:r>
            <w:r>
              <w:fldChar w:fldCharType="end"/>
            </w:r>
            <w:bookmarkEnd w:id="53"/>
            <w:r>
              <w:rPr>
                <w:rFonts w:hint="eastAsia"/>
              </w:rPr>
              <w:t xml:space="preserve">   厂界废气排放最高允许浓度  mg/m</w:t>
            </w:r>
            <w:r>
              <w:rPr>
                <w:rFonts w:hint="eastAsia"/>
                <w:vertAlign w:val="superscript"/>
              </w:rPr>
              <w:t>3</w:t>
            </w:r>
          </w:p>
          <w:tbl>
            <w:tblPr>
              <w:tblStyle w:val="3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4642"/>
              <w:gridCol w:w="2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tcPr>
                <w:p>
                  <w:pPr>
                    <w:pStyle w:val="63"/>
                  </w:pPr>
                  <w:r>
                    <w:rPr>
                      <w:rFonts w:hint="eastAsia"/>
                    </w:rPr>
                    <w:t>序号</w:t>
                  </w:r>
                </w:p>
              </w:tc>
              <w:tc>
                <w:tcPr>
                  <w:tcW w:w="4642" w:type="dxa"/>
                </w:tcPr>
                <w:p>
                  <w:pPr>
                    <w:pStyle w:val="63"/>
                  </w:pPr>
                  <w:r>
                    <w:rPr>
                      <w:rFonts w:hint="eastAsia"/>
                    </w:rPr>
                    <w:t>控制项目</w:t>
                  </w:r>
                </w:p>
              </w:tc>
              <w:tc>
                <w:tcPr>
                  <w:tcW w:w="2642" w:type="dxa"/>
                </w:tcPr>
                <w:p>
                  <w:pPr>
                    <w:pStyle w:val="63"/>
                  </w:pPr>
                  <w:r>
                    <w:rPr>
                      <w:rFonts w:hint="eastAsia"/>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Align w:val="center"/>
                </w:tcPr>
                <w:p>
                  <w:pPr>
                    <w:pStyle w:val="63"/>
                  </w:pPr>
                  <w:r>
                    <w:rPr>
                      <w:rFonts w:hint="eastAsia"/>
                    </w:rPr>
                    <w:t>1</w:t>
                  </w:r>
                </w:p>
              </w:tc>
              <w:tc>
                <w:tcPr>
                  <w:tcW w:w="4642" w:type="dxa"/>
                  <w:vAlign w:val="center"/>
                </w:tcPr>
                <w:p>
                  <w:pPr>
                    <w:pStyle w:val="63"/>
                  </w:pPr>
                  <w:r>
                    <w:rPr>
                      <w:rFonts w:hint="eastAsia"/>
                    </w:rPr>
                    <w:t>氨</w:t>
                  </w:r>
                </w:p>
              </w:tc>
              <w:tc>
                <w:tcPr>
                  <w:tcW w:w="2642" w:type="dxa"/>
                  <w:vAlign w:val="center"/>
                </w:tcPr>
                <w:p>
                  <w:pPr>
                    <w:pStyle w:val="63"/>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Align w:val="center"/>
                </w:tcPr>
                <w:p>
                  <w:pPr>
                    <w:pStyle w:val="63"/>
                  </w:pPr>
                  <w:r>
                    <w:rPr>
                      <w:rFonts w:hint="eastAsia"/>
                    </w:rPr>
                    <w:t>2</w:t>
                  </w:r>
                </w:p>
              </w:tc>
              <w:tc>
                <w:tcPr>
                  <w:tcW w:w="4642" w:type="dxa"/>
                  <w:vAlign w:val="center"/>
                </w:tcPr>
                <w:p>
                  <w:pPr>
                    <w:pStyle w:val="63"/>
                  </w:pPr>
                  <w:r>
                    <w:rPr>
                      <w:rFonts w:hint="eastAsia"/>
                    </w:rPr>
                    <w:t>硫化氢</w:t>
                  </w:r>
                </w:p>
              </w:tc>
              <w:tc>
                <w:tcPr>
                  <w:tcW w:w="2642" w:type="dxa"/>
                  <w:vAlign w:val="center"/>
                </w:tcPr>
                <w:p>
                  <w:pPr>
                    <w:pStyle w:val="63"/>
                  </w:pPr>
                  <w:r>
                    <w:rPr>
                      <w:rFonts w:hint="eastAsia"/>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Align w:val="center"/>
                </w:tcPr>
                <w:p>
                  <w:pPr>
                    <w:pStyle w:val="63"/>
                  </w:pPr>
                  <w:r>
                    <w:rPr>
                      <w:rFonts w:hint="eastAsia"/>
                    </w:rPr>
                    <w:t>3</w:t>
                  </w:r>
                </w:p>
              </w:tc>
              <w:tc>
                <w:tcPr>
                  <w:tcW w:w="4642" w:type="dxa"/>
                  <w:vAlign w:val="center"/>
                </w:tcPr>
                <w:p>
                  <w:pPr>
                    <w:pStyle w:val="63"/>
                  </w:pPr>
                  <w:r>
                    <w:rPr>
                      <w:rFonts w:hint="eastAsia"/>
                    </w:rPr>
                    <w:t>臭气浓度（量纲为1）</w:t>
                  </w:r>
                </w:p>
              </w:tc>
              <w:tc>
                <w:tcPr>
                  <w:tcW w:w="2642" w:type="dxa"/>
                  <w:vAlign w:val="center"/>
                </w:tcPr>
                <w:p>
                  <w:pPr>
                    <w:pStyle w:val="63"/>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0" w:type="dxa"/>
                  <w:vAlign w:val="center"/>
                </w:tcPr>
                <w:p>
                  <w:pPr>
                    <w:pStyle w:val="63"/>
                  </w:pPr>
                  <w:r>
                    <w:rPr>
                      <w:rFonts w:hint="eastAsia"/>
                    </w:rPr>
                    <w:t>4</w:t>
                  </w:r>
                </w:p>
              </w:tc>
              <w:tc>
                <w:tcPr>
                  <w:tcW w:w="4642" w:type="dxa"/>
                  <w:vAlign w:val="center"/>
                </w:tcPr>
                <w:p>
                  <w:pPr>
                    <w:pStyle w:val="63"/>
                  </w:pPr>
                  <w:r>
                    <w:rPr>
                      <w:rFonts w:hint="eastAsia"/>
                    </w:rPr>
                    <w:t>甲烷（厂区最高体积浓度，%）</w:t>
                  </w:r>
                </w:p>
              </w:tc>
              <w:tc>
                <w:tcPr>
                  <w:tcW w:w="2642" w:type="dxa"/>
                  <w:vAlign w:val="center"/>
                </w:tcPr>
                <w:p>
                  <w:pPr>
                    <w:pStyle w:val="63"/>
                  </w:pPr>
                  <w:r>
                    <w:rPr>
                      <w:rFonts w:hint="eastAsia"/>
                    </w:rPr>
                    <w:t>1</w:t>
                  </w:r>
                </w:p>
              </w:tc>
            </w:tr>
          </w:tbl>
          <w:p/>
          <w:p>
            <w:pPr>
              <w:pStyle w:val="4"/>
              <w:spacing w:before="120" w:after="120"/>
            </w:pPr>
            <w:r>
              <w:rPr>
                <w:rFonts w:hint="eastAsia"/>
              </w:rPr>
              <w:t>污水排放标准</w:t>
            </w:r>
          </w:p>
          <w:p>
            <w:pPr>
              <w:pStyle w:val="5"/>
              <w:ind w:firstLine="480"/>
            </w:pPr>
            <w:r>
              <w:rPr>
                <w:rFonts w:hint="eastAsia"/>
              </w:rPr>
              <w:t>根据项目方案设计和备案证，项目出水水质执行《城镇污水处理厂污染物排放标准》（GB18918-2002）一级A标准，尾水处理达标后排入朱衣河，具体标准值见</w:t>
            </w:r>
            <w:r>
              <w:fldChar w:fldCharType="begin"/>
            </w:r>
            <w:r>
              <w:instrText xml:space="preserve"> </w:instrText>
            </w:r>
            <w:r>
              <w:rPr>
                <w:rFonts w:hint="eastAsia"/>
              </w:rPr>
              <w:instrText xml:space="preserve">REF _Ref169018316 \h</w:instrText>
            </w:r>
            <w:r>
              <w:instrText xml:space="preserve"> </w:instrText>
            </w:r>
            <w:r>
              <w:fldChar w:fldCharType="separate"/>
            </w:r>
            <w:r>
              <w:rPr>
                <w:rFonts w:hint="eastAsia"/>
              </w:rPr>
              <w:t xml:space="preserve">表 </w:t>
            </w:r>
            <w:r>
              <w:t>3.3</w:t>
            </w:r>
            <w:r>
              <w:noBreakHyphen/>
            </w:r>
            <w:r>
              <w:t>3</w:t>
            </w:r>
            <w:r>
              <w:fldChar w:fldCharType="end"/>
            </w:r>
            <w:r>
              <w:rPr>
                <w:rFonts w:hint="eastAsia"/>
              </w:rPr>
              <w:t>。</w:t>
            </w:r>
          </w:p>
          <w:p>
            <w:pPr>
              <w:pStyle w:val="14"/>
              <w:keepNext/>
            </w:pPr>
            <w:bookmarkStart w:id="54" w:name="_Ref169018316"/>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bookmarkEnd w:id="54"/>
            <w:r>
              <w:rPr>
                <w:rFonts w:hint="eastAsia"/>
              </w:rPr>
              <w:t xml:space="preserve">   《城镇污水处理厂污染物排放标准》一级A标准(摘录)  mg/L</w:t>
            </w:r>
          </w:p>
          <w:tbl>
            <w:tblPr>
              <w:tblStyle w:val="38"/>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396"/>
              <w:gridCol w:w="2464"/>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rPr>
                      <w:szCs w:val="21"/>
                    </w:rPr>
                  </w:pPr>
                  <w:r>
                    <w:t>序号</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基本控制项目</w:t>
                  </w:r>
                </w:p>
              </w:tc>
              <w:tc>
                <w:tcPr>
                  <w:tcW w:w="2464" w:type="dxa"/>
                  <w:tcBorders>
                    <w:top w:val="single" w:color="auto" w:sz="4" w:space="0"/>
                    <w:left w:val="single" w:color="auto" w:sz="4" w:space="0"/>
                    <w:bottom w:val="single" w:color="auto" w:sz="4" w:space="0"/>
                    <w:right w:val="single" w:color="auto" w:sz="4" w:space="0"/>
                  </w:tcBorders>
                  <w:vAlign w:val="center"/>
                </w:tcPr>
                <w:p>
                  <w:pPr>
                    <w:pStyle w:val="63"/>
                  </w:pPr>
                  <w:r>
                    <w:t>执行标准</w:t>
                  </w: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1</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pH</w:t>
                  </w:r>
                </w:p>
              </w:tc>
              <w:tc>
                <w:tcPr>
                  <w:tcW w:w="2464" w:type="dxa"/>
                  <w:vMerge w:val="restart"/>
                  <w:tcBorders>
                    <w:top w:val="nil"/>
                    <w:left w:val="single" w:color="auto" w:sz="4" w:space="0"/>
                    <w:bottom w:val="single" w:color="auto" w:sz="4" w:space="0"/>
                    <w:right w:val="single" w:color="auto" w:sz="4" w:space="0"/>
                  </w:tcBorders>
                  <w:vAlign w:val="center"/>
                </w:tcPr>
                <w:p>
                  <w:pPr>
                    <w:pStyle w:val="63"/>
                  </w:pPr>
                  <w:r>
                    <w:t>《城镇污水处理厂污染物排放标准》（GB18918-2002）一级A标准</w:t>
                  </w: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2</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COD</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3</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BOD</w:t>
                  </w:r>
                  <w:r>
                    <w:rPr>
                      <w:vertAlign w:val="subscript"/>
                    </w:rPr>
                    <w:t>5</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4</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NH</w:t>
                  </w:r>
                  <w:r>
                    <w:rPr>
                      <w:vertAlign w:val="subscript"/>
                    </w:rPr>
                    <w:t>3</w:t>
                  </w:r>
                  <w:r>
                    <w:t>-N</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5</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总磷</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6</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总氮</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7</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石油类</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8</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SS</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9</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阴离子表面活性剂</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10</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动植物油</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11</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色度（稀释倍数）</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53" w:type="dxa"/>
                  <w:tcBorders>
                    <w:top w:val="single" w:color="auto" w:sz="4" w:space="0"/>
                    <w:left w:val="single" w:color="auto" w:sz="4" w:space="0"/>
                    <w:bottom w:val="single" w:color="auto" w:sz="4" w:space="0"/>
                    <w:right w:val="single" w:color="auto" w:sz="4" w:space="0"/>
                  </w:tcBorders>
                  <w:vAlign w:val="center"/>
                </w:tcPr>
                <w:p>
                  <w:pPr>
                    <w:pStyle w:val="63"/>
                  </w:pPr>
                  <w:r>
                    <w:t>12</w:t>
                  </w:r>
                </w:p>
              </w:tc>
              <w:tc>
                <w:tcPr>
                  <w:tcW w:w="2396" w:type="dxa"/>
                  <w:tcBorders>
                    <w:top w:val="single" w:color="auto" w:sz="4" w:space="0"/>
                    <w:left w:val="single" w:color="auto" w:sz="4" w:space="0"/>
                    <w:bottom w:val="single" w:color="auto" w:sz="4" w:space="0"/>
                    <w:right w:val="single" w:color="auto" w:sz="4" w:space="0"/>
                  </w:tcBorders>
                  <w:vAlign w:val="center"/>
                </w:tcPr>
                <w:p>
                  <w:pPr>
                    <w:pStyle w:val="63"/>
                  </w:pPr>
                  <w:r>
                    <w:t>粪大肠菌群数（个/L）</w:t>
                  </w:r>
                </w:p>
              </w:tc>
              <w:tc>
                <w:tcPr>
                  <w:tcW w:w="246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351" w:type="dxa"/>
                  <w:tcBorders>
                    <w:top w:val="single" w:color="auto" w:sz="4" w:space="0"/>
                    <w:left w:val="single" w:color="auto" w:sz="4" w:space="0"/>
                    <w:bottom w:val="single" w:color="auto" w:sz="4" w:space="0"/>
                    <w:right w:val="single" w:color="auto" w:sz="4" w:space="0"/>
                  </w:tcBorders>
                  <w:vAlign w:val="center"/>
                </w:tcPr>
                <w:p>
                  <w:pPr>
                    <w:pStyle w:val="63"/>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7964" w:type="dxa"/>
                  <w:gridSpan w:val="4"/>
                  <w:tcBorders>
                    <w:top w:val="single" w:color="auto" w:sz="4" w:space="0"/>
                    <w:left w:val="single" w:color="auto" w:sz="4" w:space="0"/>
                    <w:bottom w:val="single" w:color="auto" w:sz="4" w:space="0"/>
                    <w:right w:val="single" w:color="auto" w:sz="4" w:space="0"/>
                  </w:tcBorders>
                  <w:vAlign w:val="center"/>
                </w:tcPr>
                <w:p>
                  <w:pPr>
                    <w:pStyle w:val="64"/>
                  </w:pPr>
                  <w:r>
                    <w:rPr>
                      <w:rFonts w:hint="eastAsia"/>
                    </w:rPr>
                    <w:t>*备注：括号外数值为水温&gt;12℃时的控制指标，括号内数值为水温≤12℃时的控制指标。</w:t>
                  </w:r>
                </w:p>
              </w:tc>
            </w:tr>
          </w:tbl>
          <w:p/>
          <w:p>
            <w:pPr>
              <w:pStyle w:val="4"/>
              <w:spacing w:before="120" w:after="120"/>
            </w:pPr>
            <w:r>
              <w:rPr>
                <w:rFonts w:hint="eastAsia"/>
              </w:rPr>
              <w:t>噪声排放标准</w:t>
            </w:r>
          </w:p>
          <w:p>
            <w:pPr>
              <w:pStyle w:val="5"/>
              <w:ind w:firstLine="480"/>
            </w:pPr>
            <w:r>
              <w:rPr>
                <w:rFonts w:hint="eastAsia"/>
              </w:rPr>
              <w:t>施工期执行《建筑施工场界噪声排放标准》（GB12523-2011）中限值要求，即昼间70dB（A），夜间55dB（A）。根据《奉节县人民政府办公室关于印发奉节县“十四五”声环境功能区划分调整方案的通知》（奉节府办发〔2023〕42 号），项目涉及2类和4a类声功能区，详见附图2-3。营运期执行《工业企业厂界环境噪声排放标准》（GB12348-2008）2类和4类标准限值，标准见</w:t>
            </w:r>
            <w:r>
              <w:fldChar w:fldCharType="begin"/>
            </w:r>
            <w:r>
              <w:instrText xml:space="preserve"> </w:instrText>
            </w:r>
            <w:r>
              <w:rPr>
                <w:rFonts w:hint="eastAsia"/>
              </w:rPr>
              <w:instrText xml:space="preserve">REF _Ref26196681 \h</w:instrText>
            </w:r>
            <w:r>
              <w:instrText xml:space="preserve">  \* MERGEFORMAT </w:instrText>
            </w:r>
            <w:r>
              <w:fldChar w:fldCharType="separate"/>
            </w:r>
            <w:r>
              <w:rPr>
                <w:rFonts w:hint="eastAsia"/>
              </w:rPr>
              <w:t xml:space="preserve">表 </w:t>
            </w:r>
            <w:r>
              <w:t>3.3</w:t>
            </w:r>
            <w:r>
              <w:noBreakHyphen/>
            </w:r>
            <w:r>
              <w:t>4</w:t>
            </w:r>
            <w:r>
              <w:fldChar w:fldCharType="end"/>
            </w:r>
            <w:r>
              <w:rPr>
                <w:rFonts w:hint="eastAsia"/>
              </w:rPr>
              <w:t>。其中夜间频发噪声（如货物装卸噪声）、偶发噪声（如短促鸣笛声）的最大声级超过限值的幅度不得高于10 dB（A）和15 dB（A）。</w:t>
            </w:r>
          </w:p>
          <w:p>
            <w:pPr>
              <w:pStyle w:val="14"/>
              <w:keepNext/>
            </w:pPr>
            <w:bookmarkStart w:id="55" w:name="_Ref26196681"/>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55"/>
            <w:r>
              <w:rPr>
                <w:rFonts w:hint="eastAsia"/>
              </w:rPr>
              <w:t xml:space="preserve">   营运期噪声排放限值  dB（A）</w:t>
            </w:r>
          </w:p>
          <w:tbl>
            <w:tblPr>
              <w:tblStyle w:val="39"/>
              <w:tblW w:w="79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1418"/>
              <w:gridCol w:w="991"/>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4" w:type="dxa"/>
                  <w:vMerge w:val="restart"/>
                  <w:vAlign w:val="center"/>
                </w:tcPr>
                <w:p>
                  <w:pPr>
                    <w:pStyle w:val="63"/>
                  </w:pPr>
                  <w:r>
                    <w:rPr>
                      <w:rFonts w:hint="eastAsia"/>
                    </w:rPr>
                    <w:t>厂界外声功能区域类别</w:t>
                  </w:r>
                </w:p>
              </w:tc>
              <w:tc>
                <w:tcPr>
                  <w:tcW w:w="2409" w:type="dxa"/>
                  <w:gridSpan w:val="2"/>
                  <w:vAlign w:val="center"/>
                </w:tcPr>
                <w:p>
                  <w:pPr>
                    <w:pStyle w:val="63"/>
                  </w:pPr>
                  <w:r>
                    <w:rPr>
                      <w:rFonts w:hint="eastAsia"/>
                    </w:rPr>
                    <w:t>标准限值</w:t>
                  </w:r>
                </w:p>
              </w:tc>
              <w:tc>
                <w:tcPr>
                  <w:tcW w:w="3071" w:type="dxa"/>
                  <w:vMerge w:val="restart"/>
                  <w:vAlign w:val="center"/>
                </w:tcPr>
                <w:p>
                  <w:pPr>
                    <w:pStyle w:val="63"/>
                  </w:pPr>
                  <w:r>
                    <w:rPr>
                      <w:rFonts w:hint="eastAsia"/>
                    </w:rPr>
                    <w:t>适用区域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4" w:type="dxa"/>
                  <w:vMerge w:val="continue"/>
                  <w:vAlign w:val="center"/>
                </w:tcPr>
                <w:p>
                  <w:pPr>
                    <w:pStyle w:val="63"/>
                  </w:pPr>
                </w:p>
              </w:tc>
              <w:tc>
                <w:tcPr>
                  <w:tcW w:w="1418" w:type="dxa"/>
                  <w:vAlign w:val="center"/>
                </w:tcPr>
                <w:p>
                  <w:pPr>
                    <w:pStyle w:val="63"/>
                  </w:pPr>
                  <w:r>
                    <w:rPr>
                      <w:rFonts w:hint="eastAsia"/>
                    </w:rPr>
                    <w:t>昼间</w:t>
                  </w:r>
                </w:p>
              </w:tc>
              <w:tc>
                <w:tcPr>
                  <w:tcW w:w="991" w:type="dxa"/>
                  <w:vAlign w:val="center"/>
                </w:tcPr>
                <w:p>
                  <w:pPr>
                    <w:pStyle w:val="63"/>
                  </w:pPr>
                  <w:r>
                    <w:rPr>
                      <w:rFonts w:hint="eastAsia"/>
                    </w:rPr>
                    <w:t>夜间</w:t>
                  </w:r>
                </w:p>
              </w:tc>
              <w:tc>
                <w:tcPr>
                  <w:tcW w:w="3071"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4" w:type="dxa"/>
                  <w:vAlign w:val="center"/>
                </w:tcPr>
                <w:p>
                  <w:pPr>
                    <w:pStyle w:val="63"/>
                  </w:pPr>
                  <w:r>
                    <w:rPr>
                      <w:rFonts w:hint="eastAsia"/>
                    </w:rPr>
                    <w:t>2类</w:t>
                  </w:r>
                </w:p>
              </w:tc>
              <w:tc>
                <w:tcPr>
                  <w:tcW w:w="1418" w:type="dxa"/>
                  <w:vAlign w:val="center"/>
                </w:tcPr>
                <w:p>
                  <w:pPr>
                    <w:pStyle w:val="63"/>
                  </w:pPr>
                  <w:r>
                    <w:rPr>
                      <w:rFonts w:hint="eastAsia"/>
                    </w:rPr>
                    <w:t>60</w:t>
                  </w:r>
                </w:p>
              </w:tc>
              <w:tc>
                <w:tcPr>
                  <w:tcW w:w="991" w:type="dxa"/>
                  <w:vAlign w:val="center"/>
                </w:tcPr>
                <w:p>
                  <w:pPr>
                    <w:pStyle w:val="63"/>
                  </w:pPr>
                  <w:r>
                    <w:rPr>
                      <w:rFonts w:hint="eastAsia"/>
                    </w:rPr>
                    <w:t>50</w:t>
                  </w:r>
                </w:p>
              </w:tc>
              <w:tc>
                <w:tcPr>
                  <w:tcW w:w="3071" w:type="dxa"/>
                  <w:vAlign w:val="center"/>
                </w:tcPr>
                <w:p>
                  <w:pPr>
                    <w:pStyle w:val="63"/>
                  </w:pPr>
                  <w:r>
                    <w:rPr>
                      <w:rFonts w:hint="eastAsia"/>
                    </w:rPr>
                    <w:t>南侧、西侧、东侧厂界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84" w:type="dxa"/>
                  <w:vAlign w:val="center"/>
                </w:tcPr>
                <w:p>
                  <w:pPr>
                    <w:pStyle w:val="63"/>
                  </w:pPr>
                  <w:r>
                    <w:rPr>
                      <w:rFonts w:hint="eastAsia"/>
                    </w:rPr>
                    <w:t>4类</w:t>
                  </w:r>
                </w:p>
              </w:tc>
              <w:tc>
                <w:tcPr>
                  <w:tcW w:w="1418" w:type="dxa"/>
                  <w:vAlign w:val="center"/>
                </w:tcPr>
                <w:p>
                  <w:pPr>
                    <w:pStyle w:val="63"/>
                  </w:pPr>
                  <w:r>
                    <w:rPr>
                      <w:rFonts w:hint="eastAsia"/>
                    </w:rPr>
                    <w:t>70</w:t>
                  </w:r>
                </w:p>
              </w:tc>
              <w:tc>
                <w:tcPr>
                  <w:tcW w:w="991" w:type="dxa"/>
                  <w:vAlign w:val="center"/>
                </w:tcPr>
                <w:p>
                  <w:pPr>
                    <w:pStyle w:val="63"/>
                  </w:pPr>
                  <w:r>
                    <w:rPr>
                      <w:rFonts w:hint="eastAsia"/>
                    </w:rPr>
                    <w:t>55</w:t>
                  </w:r>
                </w:p>
              </w:tc>
              <w:tc>
                <w:tcPr>
                  <w:tcW w:w="3071" w:type="dxa"/>
                  <w:vAlign w:val="center"/>
                </w:tcPr>
                <w:p>
                  <w:pPr>
                    <w:pStyle w:val="63"/>
                  </w:pPr>
                  <w:r>
                    <w:rPr>
                      <w:rFonts w:hint="eastAsia"/>
                    </w:rPr>
                    <w:t>北侧厂界</w:t>
                  </w:r>
                </w:p>
              </w:tc>
            </w:tr>
          </w:tbl>
          <w:p/>
          <w:p>
            <w:pPr>
              <w:pStyle w:val="4"/>
              <w:spacing w:before="120" w:after="120"/>
            </w:pPr>
            <w:r>
              <w:rPr>
                <w:rFonts w:hint="eastAsia"/>
              </w:rPr>
              <w:t>固体废物</w:t>
            </w:r>
          </w:p>
          <w:p>
            <w:pPr>
              <w:pStyle w:val="5"/>
              <w:ind w:firstLine="480"/>
            </w:pPr>
            <w:r>
              <w:rPr>
                <w:rFonts w:hint="eastAsia"/>
              </w:rPr>
              <w:t>一般工业固体废物贮存过程满足相应防渗漏、防雨淋、防扬尘等环境保护要求；危险废物执行《危险废物贮存污染控制标准》（GB18597-2023）要求。</w:t>
            </w:r>
          </w:p>
          <w:p>
            <w:pPr>
              <w:pStyle w:val="5"/>
              <w:ind w:firstLine="480"/>
            </w:pPr>
          </w:p>
          <w:p>
            <w:pPr>
              <w:pStyle w:val="5"/>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总量</w:t>
            </w:r>
          </w:p>
          <w:p>
            <w:pPr>
              <w:adjustRightInd w:val="0"/>
              <w:snapToGrid w:val="0"/>
              <w:jc w:val="center"/>
              <w:rPr>
                <w:rFonts w:hint="eastAsia" w:ascii="宋体" w:hAnsi="宋体" w:cs="宋体"/>
                <w:kern w:val="0"/>
                <w:szCs w:val="21"/>
              </w:rPr>
            </w:pPr>
            <w:r>
              <w:rPr>
                <w:rFonts w:hint="eastAsia" w:ascii="宋体" w:hAnsi="宋体" w:cs="宋体"/>
                <w:kern w:val="0"/>
                <w:szCs w:val="21"/>
              </w:rPr>
              <w:t>控制</w:t>
            </w:r>
          </w:p>
          <w:p>
            <w:pPr>
              <w:adjustRightInd w:val="0"/>
              <w:snapToGrid w:val="0"/>
              <w:jc w:val="center"/>
              <w:rPr>
                <w:rFonts w:hint="eastAsia" w:ascii="宋体" w:hAnsi="宋体" w:cs="宋体"/>
                <w:kern w:val="0"/>
                <w:szCs w:val="21"/>
              </w:rPr>
            </w:pPr>
            <w:r>
              <w:rPr>
                <w:rFonts w:hint="eastAsia" w:ascii="宋体" w:hAnsi="宋体" w:cs="宋体"/>
                <w:kern w:val="0"/>
                <w:szCs w:val="21"/>
              </w:rPr>
              <w:t>指标</w:t>
            </w:r>
          </w:p>
        </w:tc>
        <w:tc>
          <w:tcPr>
            <w:tcW w:w="8190" w:type="dxa"/>
            <w:vAlign w:val="center"/>
          </w:tcPr>
          <w:p>
            <w:pPr>
              <w:pStyle w:val="3"/>
              <w:spacing w:before="120" w:after="120"/>
            </w:pPr>
            <w:r>
              <w:rPr>
                <w:rFonts w:hint="eastAsia"/>
              </w:rPr>
              <w:t>总量控制指标</w:t>
            </w:r>
          </w:p>
          <w:p>
            <w:pPr>
              <w:pStyle w:val="5"/>
              <w:ind w:firstLine="480"/>
            </w:pPr>
            <w:r>
              <w:rPr>
                <w:rFonts w:hint="eastAsia"/>
              </w:rPr>
              <w:t>项目总量控制指标见</w:t>
            </w:r>
            <w:r>
              <w:fldChar w:fldCharType="begin"/>
            </w:r>
            <w:r>
              <w:instrText xml:space="preserve"> </w:instrText>
            </w:r>
            <w:r>
              <w:rPr>
                <w:rFonts w:hint="eastAsia"/>
              </w:rPr>
              <w:instrText xml:space="preserve">REF _Ref31715077 \h</w:instrText>
            </w:r>
            <w:r>
              <w:instrText xml:space="preserve">  \* MERGEFORMAT </w:instrText>
            </w:r>
            <w:r>
              <w:fldChar w:fldCharType="separate"/>
            </w:r>
            <w:r>
              <w:rPr>
                <w:rFonts w:hint="eastAsia"/>
              </w:rPr>
              <w:t xml:space="preserve">表 </w:t>
            </w:r>
            <w:r>
              <w:t>3.4</w:t>
            </w:r>
            <w:r>
              <w:noBreakHyphen/>
            </w:r>
            <w:r>
              <w:t>1</w:t>
            </w:r>
            <w:r>
              <w:fldChar w:fldCharType="end"/>
            </w:r>
            <w:r>
              <w:rPr>
                <w:rFonts w:hint="eastAsia"/>
              </w:rPr>
              <w:t>。</w:t>
            </w:r>
          </w:p>
          <w:p>
            <w:pPr>
              <w:pStyle w:val="14"/>
            </w:pPr>
            <w:bookmarkStart w:id="56" w:name="_Ref31715077"/>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56"/>
            <w:r>
              <w:rPr>
                <w:rFonts w:hint="eastAsia"/>
              </w:rPr>
              <w:t xml:space="preserve">   项目总量控制指标  t/a</w:t>
            </w:r>
          </w:p>
          <w:tbl>
            <w:tblPr>
              <w:tblStyle w:val="39"/>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609"/>
              <w:gridCol w:w="1993"/>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Align w:val="center"/>
                </w:tcPr>
                <w:p>
                  <w:pPr>
                    <w:pStyle w:val="63"/>
                  </w:pPr>
                  <w:r>
                    <w:rPr>
                      <w:rFonts w:hint="eastAsia"/>
                    </w:rPr>
                    <w:t>类型</w:t>
                  </w:r>
                </w:p>
              </w:tc>
              <w:tc>
                <w:tcPr>
                  <w:tcW w:w="1609" w:type="dxa"/>
                  <w:vAlign w:val="center"/>
                </w:tcPr>
                <w:p>
                  <w:pPr>
                    <w:pStyle w:val="63"/>
                  </w:pPr>
                  <w:r>
                    <w:rPr>
                      <w:rFonts w:hint="eastAsia"/>
                    </w:rPr>
                    <w:t>污染物</w:t>
                  </w:r>
                </w:p>
              </w:tc>
              <w:tc>
                <w:tcPr>
                  <w:tcW w:w="1993" w:type="dxa"/>
                  <w:vAlign w:val="center"/>
                </w:tcPr>
                <w:p>
                  <w:pPr>
                    <w:pStyle w:val="63"/>
                  </w:pPr>
                  <w:r>
                    <w:rPr>
                      <w:rFonts w:hint="eastAsia"/>
                    </w:rPr>
                    <w:t>排放量</w:t>
                  </w:r>
                </w:p>
              </w:tc>
              <w:tc>
                <w:tcPr>
                  <w:tcW w:w="3402"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restart"/>
                  <w:vAlign w:val="center"/>
                </w:tcPr>
                <w:p>
                  <w:pPr>
                    <w:pStyle w:val="63"/>
                  </w:pPr>
                  <w:r>
                    <w:rPr>
                      <w:rFonts w:hint="eastAsia"/>
                    </w:rPr>
                    <w:t>废气</w:t>
                  </w:r>
                </w:p>
              </w:tc>
              <w:tc>
                <w:tcPr>
                  <w:tcW w:w="1609" w:type="dxa"/>
                </w:tcPr>
                <w:p>
                  <w:pPr>
                    <w:pStyle w:val="63"/>
                  </w:pPr>
                  <w:r>
                    <w:rPr>
                      <w:rFonts w:hint="eastAsia"/>
                    </w:rPr>
                    <w:t>氨</w:t>
                  </w:r>
                </w:p>
              </w:tc>
              <w:tc>
                <w:tcPr>
                  <w:tcW w:w="1993" w:type="dxa"/>
                </w:tcPr>
                <w:p>
                  <w:pPr>
                    <w:pStyle w:val="63"/>
                  </w:pPr>
                  <w:r>
                    <w:t>0.05</w:t>
                  </w:r>
                  <w:r>
                    <w:rPr>
                      <w:rFonts w:hint="eastAsia"/>
                    </w:rPr>
                    <w:t>5</w:t>
                  </w:r>
                </w:p>
              </w:tc>
              <w:tc>
                <w:tcPr>
                  <w:tcW w:w="3402" w:type="dxa"/>
                  <w:vMerge w:val="restart"/>
                  <w:vAlign w:val="center"/>
                </w:tcPr>
                <w:p>
                  <w:pPr>
                    <w:pStyle w:val="63"/>
                  </w:pPr>
                  <w:r>
                    <w:rPr>
                      <w:rFonts w:hint="eastAsia"/>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rPr>
                      <w:rFonts w:hint="eastAsia"/>
                    </w:rPr>
                    <w:t>硫化氢</w:t>
                  </w:r>
                </w:p>
              </w:tc>
              <w:tc>
                <w:tcPr>
                  <w:tcW w:w="1993" w:type="dxa"/>
                </w:tcPr>
                <w:p>
                  <w:pPr>
                    <w:pStyle w:val="63"/>
                  </w:pPr>
                  <w:r>
                    <w:t>0.003</w:t>
                  </w:r>
                </w:p>
              </w:tc>
              <w:tc>
                <w:tcPr>
                  <w:tcW w:w="3402"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rPr>
                      <w:rFonts w:hint="eastAsia"/>
                    </w:rPr>
                    <w:t>氨</w:t>
                  </w:r>
                </w:p>
              </w:tc>
              <w:tc>
                <w:tcPr>
                  <w:tcW w:w="1993" w:type="dxa"/>
                </w:tcPr>
                <w:p>
                  <w:pPr>
                    <w:pStyle w:val="63"/>
                  </w:pPr>
                  <w:r>
                    <w:t>0.03</w:t>
                  </w:r>
                  <w:r>
                    <w:rPr>
                      <w:rFonts w:hint="eastAsia"/>
                    </w:rPr>
                    <w:t>04</w:t>
                  </w:r>
                </w:p>
              </w:tc>
              <w:tc>
                <w:tcPr>
                  <w:tcW w:w="3402" w:type="dxa"/>
                  <w:vMerge w:val="restart"/>
                  <w:vAlign w:val="center"/>
                </w:tcPr>
                <w:p>
                  <w:pPr>
                    <w:pStyle w:val="63"/>
                  </w:pPr>
                  <w:r>
                    <w:rPr>
                      <w:rFonts w:hint="eastAsia"/>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rPr>
                      <w:rFonts w:hint="eastAsia"/>
                    </w:rPr>
                    <w:t>硫化氢</w:t>
                  </w:r>
                </w:p>
              </w:tc>
              <w:tc>
                <w:tcPr>
                  <w:tcW w:w="1993" w:type="dxa"/>
                </w:tcPr>
                <w:p>
                  <w:pPr>
                    <w:pStyle w:val="63"/>
                  </w:pPr>
                  <w:r>
                    <w:t>0.00</w:t>
                  </w:r>
                  <w:r>
                    <w:rPr>
                      <w:rFonts w:hint="eastAsia"/>
                    </w:rPr>
                    <w:t>168</w:t>
                  </w:r>
                </w:p>
              </w:tc>
              <w:tc>
                <w:tcPr>
                  <w:tcW w:w="3402"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restart"/>
                  <w:vAlign w:val="center"/>
                </w:tcPr>
                <w:p>
                  <w:pPr>
                    <w:pStyle w:val="63"/>
                  </w:pPr>
                  <w:r>
                    <w:rPr>
                      <w:rFonts w:hint="eastAsia"/>
                    </w:rPr>
                    <w:t>尾水</w:t>
                  </w:r>
                </w:p>
              </w:tc>
              <w:tc>
                <w:tcPr>
                  <w:tcW w:w="1609" w:type="dxa"/>
                  <w:vAlign w:val="center"/>
                </w:tcPr>
                <w:p>
                  <w:pPr>
                    <w:pStyle w:val="63"/>
                  </w:pPr>
                  <w:r>
                    <w:rPr>
                      <w:rFonts w:hint="eastAsia"/>
                    </w:rPr>
                    <w:t>废水量 万m</w:t>
                  </w:r>
                  <w:r>
                    <w:rPr>
                      <w:rFonts w:hint="eastAsia"/>
                      <w:vertAlign w:val="superscript"/>
                    </w:rPr>
                    <w:t>3</w:t>
                  </w:r>
                  <w:r>
                    <w:rPr>
                      <w:rFonts w:hint="eastAsia"/>
                    </w:rPr>
                    <w:t>/a</w:t>
                  </w:r>
                </w:p>
              </w:tc>
              <w:tc>
                <w:tcPr>
                  <w:tcW w:w="1993" w:type="dxa"/>
                  <w:vAlign w:val="center"/>
                </w:tcPr>
                <w:p>
                  <w:pPr>
                    <w:pStyle w:val="63"/>
                  </w:pPr>
                  <w:r>
                    <w:rPr>
                      <w:rFonts w:hint="eastAsia"/>
                    </w:rPr>
                    <w:t>365</w:t>
                  </w:r>
                </w:p>
              </w:tc>
              <w:tc>
                <w:tcPr>
                  <w:tcW w:w="3402" w:type="dxa"/>
                  <w:vMerge w:val="restart"/>
                  <w:vAlign w:val="center"/>
                </w:tcPr>
                <w:p>
                  <w:pPr>
                    <w:pStyle w:val="63"/>
                  </w:pPr>
                  <w:r>
                    <w:rPr>
                      <w:rFonts w:hint="eastAsia"/>
                    </w:rPr>
                    <w:t>主体处理工艺为预处理+二级处理+深度处理+消毒，处理能力10000 m</w:t>
                  </w:r>
                  <w:r>
                    <w:rPr>
                      <w:rFonts w:hint="eastAsia"/>
                      <w:vertAlign w:val="superscript"/>
                    </w:rPr>
                    <w:t>3</w:t>
                  </w:r>
                  <w:r>
                    <w:rPr>
                      <w:rFonts w:hint="eastAsia"/>
                    </w:rPr>
                    <w:t>/d, 污水达到《城镇污水处理厂污染物排放标准》（GB18918-2002）一级A标准后排入朱衣河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t>COD</w:t>
                  </w:r>
                </w:p>
              </w:tc>
              <w:tc>
                <w:tcPr>
                  <w:tcW w:w="1993" w:type="dxa"/>
                </w:tcPr>
                <w:p>
                  <w:pPr>
                    <w:pStyle w:val="63"/>
                  </w:pPr>
                  <w:r>
                    <w:t>182.5</w:t>
                  </w:r>
                </w:p>
              </w:tc>
              <w:tc>
                <w:tcPr>
                  <w:tcW w:w="3402"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t>BOD</w:t>
                  </w:r>
                  <w:r>
                    <w:rPr>
                      <w:vertAlign w:val="subscript"/>
                    </w:rPr>
                    <w:t>5</w:t>
                  </w:r>
                </w:p>
              </w:tc>
              <w:tc>
                <w:tcPr>
                  <w:tcW w:w="1993" w:type="dxa"/>
                </w:tcPr>
                <w:p>
                  <w:pPr>
                    <w:pStyle w:val="63"/>
                  </w:pPr>
                  <w:r>
                    <w:t>36.5</w:t>
                  </w:r>
                </w:p>
              </w:tc>
              <w:tc>
                <w:tcPr>
                  <w:tcW w:w="3402"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rPr>
                      <w:rFonts w:hint="eastAsia"/>
                    </w:rPr>
                    <w:t>石油类</w:t>
                  </w:r>
                </w:p>
              </w:tc>
              <w:tc>
                <w:tcPr>
                  <w:tcW w:w="1993" w:type="dxa"/>
                </w:tcPr>
                <w:p>
                  <w:pPr>
                    <w:pStyle w:val="63"/>
                  </w:pPr>
                  <w:r>
                    <w:t>3.65</w:t>
                  </w:r>
                </w:p>
              </w:tc>
              <w:tc>
                <w:tcPr>
                  <w:tcW w:w="3402"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rPr>
                      <w:rFonts w:hint="eastAsia"/>
                    </w:rPr>
                    <w:t>动植物油</w:t>
                  </w:r>
                </w:p>
              </w:tc>
              <w:tc>
                <w:tcPr>
                  <w:tcW w:w="1993" w:type="dxa"/>
                </w:tcPr>
                <w:p>
                  <w:pPr>
                    <w:pStyle w:val="63"/>
                  </w:pPr>
                  <w:r>
                    <w:t>3.65</w:t>
                  </w:r>
                </w:p>
              </w:tc>
              <w:tc>
                <w:tcPr>
                  <w:tcW w:w="3402"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rPr>
                      <w:rFonts w:hint="eastAsia"/>
                    </w:rPr>
                    <w:t>氨氮</w:t>
                  </w:r>
                </w:p>
              </w:tc>
              <w:tc>
                <w:tcPr>
                  <w:tcW w:w="1993" w:type="dxa"/>
                </w:tcPr>
                <w:p>
                  <w:pPr>
                    <w:pStyle w:val="63"/>
                  </w:pPr>
                  <w:r>
                    <w:t>18.25</w:t>
                  </w:r>
                </w:p>
              </w:tc>
              <w:tc>
                <w:tcPr>
                  <w:tcW w:w="3402"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t>SS</w:t>
                  </w:r>
                </w:p>
              </w:tc>
              <w:tc>
                <w:tcPr>
                  <w:tcW w:w="1993" w:type="dxa"/>
                </w:tcPr>
                <w:p>
                  <w:pPr>
                    <w:pStyle w:val="63"/>
                  </w:pPr>
                  <w:r>
                    <w:t>36.5</w:t>
                  </w:r>
                </w:p>
              </w:tc>
              <w:tc>
                <w:tcPr>
                  <w:tcW w:w="3402"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rPr>
                      <w:rFonts w:hint="eastAsia"/>
                    </w:rPr>
                    <w:t>总磷</w:t>
                  </w:r>
                </w:p>
              </w:tc>
              <w:tc>
                <w:tcPr>
                  <w:tcW w:w="1993" w:type="dxa"/>
                </w:tcPr>
                <w:p>
                  <w:pPr>
                    <w:pStyle w:val="63"/>
                  </w:pPr>
                  <w:r>
                    <w:t>1.825</w:t>
                  </w:r>
                </w:p>
              </w:tc>
              <w:tc>
                <w:tcPr>
                  <w:tcW w:w="3402"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0" w:type="dxa"/>
                  <w:vMerge w:val="continue"/>
                  <w:vAlign w:val="center"/>
                </w:tcPr>
                <w:p>
                  <w:pPr>
                    <w:pStyle w:val="63"/>
                  </w:pPr>
                </w:p>
              </w:tc>
              <w:tc>
                <w:tcPr>
                  <w:tcW w:w="1609" w:type="dxa"/>
                </w:tcPr>
                <w:p>
                  <w:pPr>
                    <w:pStyle w:val="63"/>
                  </w:pPr>
                  <w:r>
                    <w:rPr>
                      <w:rFonts w:hint="eastAsia"/>
                    </w:rPr>
                    <w:t>总氮</w:t>
                  </w:r>
                </w:p>
              </w:tc>
              <w:tc>
                <w:tcPr>
                  <w:tcW w:w="1993" w:type="dxa"/>
                </w:tcPr>
                <w:p>
                  <w:pPr>
                    <w:pStyle w:val="63"/>
                  </w:pPr>
                  <w:r>
                    <w:t>54.75</w:t>
                  </w:r>
                </w:p>
              </w:tc>
              <w:tc>
                <w:tcPr>
                  <w:tcW w:w="3402" w:type="dxa"/>
                  <w:vMerge w:val="continue"/>
                  <w:vAlign w:val="center"/>
                </w:tcPr>
                <w:p>
                  <w:pPr>
                    <w:pStyle w:val="63"/>
                  </w:pPr>
                </w:p>
              </w:tc>
            </w:tr>
          </w:tbl>
          <w:p>
            <w:pPr>
              <w:pStyle w:val="5"/>
              <w:ind w:firstLine="0" w:firstLineChars="0"/>
            </w:pPr>
          </w:p>
          <w:p>
            <w:pPr>
              <w:pStyle w:val="5"/>
              <w:ind w:firstLine="0" w:firstLineChars="0"/>
            </w:pPr>
          </w:p>
          <w:p>
            <w:pPr>
              <w:pStyle w:val="5"/>
              <w:ind w:firstLine="0" w:firstLineChars="0"/>
            </w:pPr>
          </w:p>
        </w:tc>
      </w:tr>
    </w:tbl>
    <w:p>
      <w:pPr>
        <w:pStyle w:val="2"/>
        <w:rPr>
          <w:snapToGrid w:val="0"/>
        </w:rPr>
      </w:pPr>
      <w:r>
        <w:rPr>
          <w:rFonts w:hint="eastAsia"/>
          <w:snapToGrid w:val="0"/>
        </w:rPr>
        <w:t>主要环境影响和保护措施</w:t>
      </w:r>
    </w:p>
    <w:tbl>
      <w:tblPr>
        <w:tblStyle w:val="38"/>
        <w:tblW w:w="882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1"/>
        <w:gridCol w:w="7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4749" w:hRule="atLeast"/>
          <w:jc w:val="center"/>
        </w:trPr>
        <w:tc>
          <w:tcPr>
            <w:tcW w:w="841" w:type="dxa"/>
            <w:tcMar>
              <w:left w:w="28" w:type="dxa"/>
              <w:right w:w="28" w:type="dxa"/>
            </w:tcMar>
            <w:vAlign w:val="center"/>
          </w:tcPr>
          <w:p>
            <w:pPr>
              <w:pStyle w:val="33"/>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施工</w:t>
            </w:r>
          </w:p>
          <w:p>
            <w:pPr>
              <w:pStyle w:val="33"/>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期环</w:t>
            </w:r>
          </w:p>
          <w:p>
            <w:pPr>
              <w:pStyle w:val="33"/>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境保</w:t>
            </w:r>
          </w:p>
          <w:p>
            <w:pPr>
              <w:pStyle w:val="33"/>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护措</w:t>
            </w:r>
          </w:p>
          <w:p>
            <w:pPr>
              <w:pStyle w:val="33"/>
              <w:adjustRightInd w:val="0"/>
              <w:snapToGrid w:val="0"/>
              <w:spacing w:before="0" w:beforeAutospacing="0" w:after="0" w:afterAutospacing="0"/>
              <w:jc w:val="center"/>
              <w:rPr>
                <w:rFonts w:hint="eastAsia" w:cs="宋体"/>
                <w:bCs/>
                <w:kern w:val="2"/>
                <w:sz w:val="21"/>
                <w:szCs w:val="21"/>
              </w:rPr>
            </w:pPr>
            <w:r>
              <w:rPr>
                <w:rFonts w:hint="eastAsia" w:cs="宋体"/>
                <w:kern w:val="2"/>
                <w:sz w:val="21"/>
                <w:szCs w:val="21"/>
              </w:rPr>
              <w:t>施</w:t>
            </w:r>
          </w:p>
        </w:tc>
        <w:tc>
          <w:tcPr>
            <w:tcW w:w="7984" w:type="dxa"/>
            <w:vAlign w:val="center"/>
          </w:tcPr>
          <w:p>
            <w:pPr>
              <w:pStyle w:val="3"/>
              <w:spacing w:before="120" w:after="120"/>
            </w:pPr>
            <w:r>
              <w:rPr>
                <w:rFonts w:hint="eastAsia"/>
              </w:rPr>
              <w:t>施工期环境保护措施</w:t>
            </w:r>
          </w:p>
          <w:p>
            <w:pPr>
              <w:pStyle w:val="4"/>
              <w:spacing w:before="120" w:after="120"/>
            </w:pPr>
            <w:r>
              <w:rPr>
                <w:rFonts w:hint="eastAsia"/>
              </w:rPr>
              <w:t>废水</w:t>
            </w:r>
          </w:p>
          <w:p>
            <w:pPr>
              <w:pStyle w:val="5"/>
              <w:ind w:firstLine="480"/>
            </w:pPr>
            <w:r>
              <w:rPr>
                <w:rFonts w:hint="eastAsia"/>
              </w:rPr>
              <w:t>施工期的污水主要是施工人员少量的生活污水和少量施工废水。</w:t>
            </w:r>
          </w:p>
          <w:p>
            <w:pPr>
              <w:pStyle w:val="5"/>
              <w:ind w:firstLine="480"/>
            </w:pPr>
            <w:r>
              <w:rPr>
                <w:rFonts w:hint="eastAsia"/>
              </w:rPr>
              <w:t>（</w:t>
            </w:r>
            <w:r>
              <w:t>1）生活污水</w:t>
            </w:r>
          </w:p>
          <w:p>
            <w:pPr>
              <w:pStyle w:val="5"/>
              <w:ind w:firstLine="480"/>
            </w:pPr>
            <w:r>
              <w:rPr>
                <w:rFonts w:hint="eastAsia"/>
              </w:rPr>
              <w:t>施工场地设置施工营地，施工人员生活污水通过施工营地内设置的化粪池处理后，周围果园果肥利用。</w:t>
            </w:r>
          </w:p>
          <w:p>
            <w:pPr>
              <w:pStyle w:val="5"/>
              <w:ind w:firstLine="480"/>
            </w:pPr>
            <w:r>
              <w:rPr>
                <w:rFonts w:hint="eastAsia"/>
              </w:rPr>
              <w:t>（</w:t>
            </w:r>
            <w:r>
              <w:t>2）施工废水</w:t>
            </w:r>
          </w:p>
          <w:p>
            <w:pPr>
              <w:pStyle w:val="5"/>
              <w:ind w:firstLine="480"/>
            </w:pPr>
            <w:r>
              <w:rPr>
                <w:rFonts w:hint="eastAsia"/>
              </w:rPr>
              <w:t>采用商品混凝土，不在现场设混凝土搅拌站；施工场地设置沉砂池等，施工废水经场地内沉淀池经沉淀后回用于施工场地喷洒降尘，不外排。</w:t>
            </w:r>
          </w:p>
          <w:p>
            <w:pPr>
              <w:pStyle w:val="5"/>
              <w:ind w:firstLine="480"/>
            </w:pPr>
            <w:r>
              <w:rPr>
                <w:rFonts w:hint="eastAsia"/>
              </w:rPr>
              <w:t>项目严格按照《中华人民共和国环境保护法》、《中华人民共和国水污染防治法》、《中华人民共和国水污染防治法实施细则》等规定，施工期废水污染防治措施如下：</w:t>
            </w:r>
          </w:p>
          <w:p>
            <w:pPr>
              <w:pStyle w:val="5"/>
              <w:ind w:firstLine="480"/>
            </w:pPr>
            <w:r>
              <w:rPr>
                <w:rFonts w:hint="eastAsia"/>
              </w:rPr>
              <w:t>（</w:t>
            </w:r>
            <w:r>
              <w:t>1）合理安排施工时间和施工进度，尽量缩短施工工期，生活垃圾、建材弃渣以及其他固体废物规定地点统一收集处理，禁止进入</w:t>
            </w:r>
            <w:r>
              <w:rPr>
                <w:rFonts w:hint="eastAsia"/>
              </w:rPr>
              <w:t>朱衣河</w:t>
            </w:r>
            <w:r>
              <w:t>水体。</w:t>
            </w:r>
          </w:p>
          <w:p>
            <w:pPr>
              <w:pStyle w:val="5"/>
              <w:ind w:firstLine="480"/>
            </w:pPr>
            <w:r>
              <w:rPr>
                <w:rFonts w:hint="eastAsia"/>
              </w:rPr>
              <w:t>（</w:t>
            </w:r>
            <w:r>
              <w:t>2）严格管理施工机械，严禁油料泄漏或倾倒废油料。施工机械现场冲洗，应在冲洗设施内进行，冲洗废水通过隔油、沉淀等处理后回用于车辆冲洗和施工场地洒水降尘。场地冲洗废水、施工区初期雨水中含有大量泥沙，施工场地边沟收集漫溢的废水和初期雨水，收集废水经沉淀池处理后回用于场地降尘。</w:t>
            </w:r>
          </w:p>
          <w:p>
            <w:pPr>
              <w:pStyle w:val="5"/>
              <w:ind w:firstLine="480"/>
            </w:pPr>
            <w:r>
              <w:rPr>
                <w:rFonts w:hint="eastAsia"/>
              </w:rPr>
              <w:t>（</w:t>
            </w:r>
            <w:r>
              <w:t>3）</w:t>
            </w:r>
            <w:r>
              <w:rPr>
                <w:rFonts w:hint="eastAsia"/>
              </w:rPr>
              <w:t>生活污水通过施工营地内设置的化粪池处理后，周围果园果肥利用</w:t>
            </w:r>
            <w:r>
              <w:t>。</w:t>
            </w:r>
          </w:p>
          <w:p>
            <w:pPr>
              <w:pStyle w:val="5"/>
              <w:ind w:firstLine="480"/>
            </w:pPr>
            <w:r>
              <w:rPr>
                <w:rFonts w:hint="eastAsia"/>
              </w:rPr>
              <w:t>（</w:t>
            </w:r>
            <w:r>
              <w:t>4）选用先进的设备、机械，加强机械和车辆的维修保养，减少跑、冒、滴、漏油情况的发生。</w:t>
            </w:r>
          </w:p>
          <w:p>
            <w:pPr>
              <w:pStyle w:val="5"/>
              <w:ind w:firstLine="480"/>
            </w:pPr>
            <w:r>
              <w:rPr>
                <w:rFonts w:hint="eastAsia"/>
              </w:rPr>
              <w:t>（</w:t>
            </w:r>
            <w:r>
              <w:t>5）建筑材料运输过程中防止洒漏，施工材料堆放场地应设蓬盖，以减少雨水冲刷造成污染。</w:t>
            </w:r>
          </w:p>
          <w:p>
            <w:pPr>
              <w:pStyle w:val="5"/>
              <w:ind w:firstLine="480"/>
            </w:pPr>
            <w:r>
              <w:rPr>
                <w:rFonts w:hint="eastAsia"/>
              </w:rPr>
              <w:t>（</w:t>
            </w:r>
            <w:r>
              <w:t>6）禁止在</w:t>
            </w:r>
            <w:r>
              <w:rPr>
                <w:rFonts w:hint="eastAsia"/>
              </w:rPr>
              <w:t>朱衣河</w:t>
            </w:r>
            <w:r>
              <w:t>内清洗贮存油类或有毒有害污染物的容器、车辆，禁止向水体排放油类等有毒有害物质，禁止向</w:t>
            </w:r>
            <w:r>
              <w:rPr>
                <w:rFonts w:hint="eastAsia"/>
              </w:rPr>
              <w:t>朱衣河</w:t>
            </w:r>
            <w:r>
              <w:t>倾倒建筑垃圾、生活垃圾、有毒有害物品等固体废物。</w:t>
            </w:r>
          </w:p>
          <w:p>
            <w:pPr>
              <w:pStyle w:val="5"/>
              <w:ind w:firstLine="480"/>
            </w:pPr>
            <w:r>
              <w:rPr>
                <w:rFonts w:hint="eastAsia"/>
              </w:rPr>
              <w:t>在采取以上水污染防治措施后，施工期产生的废水对水环境影响小，污染防治措施可行。</w:t>
            </w:r>
          </w:p>
          <w:p>
            <w:pPr>
              <w:pStyle w:val="4"/>
              <w:spacing w:before="120" w:after="120"/>
            </w:pPr>
            <w:r>
              <w:rPr>
                <w:rFonts w:hint="eastAsia"/>
              </w:rPr>
              <w:t>环境空气</w:t>
            </w:r>
          </w:p>
          <w:p>
            <w:pPr>
              <w:pStyle w:val="5"/>
              <w:ind w:firstLine="480"/>
            </w:pPr>
            <w:r>
              <w:rPr>
                <w:rFonts w:hint="eastAsia"/>
              </w:rPr>
              <w:t>施工过程大气污染源主要为施工机械和运输车辆运行时产生的扬尘、燃油尾气。施工期的大气污染物主要有</w:t>
            </w:r>
            <w:r>
              <w:t>TSP、NO</w:t>
            </w:r>
            <w:r>
              <w:rPr>
                <w:vertAlign w:val="subscript"/>
              </w:rPr>
              <w:t>2</w:t>
            </w:r>
            <w:r>
              <w:t>、非甲烷总烃等，排放方式为无组织排放。</w:t>
            </w:r>
          </w:p>
          <w:p>
            <w:pPr>
              <w:pStyle w:val="5"/>
              <w:ind w:firstLine="480"/>
            </w:pPr>
            <w:r>
              <w:rPr>
                <w:rFonts w:hint="eastAsia"/>
              </w:rPr>
              <w:t>在施工期，扬尘是环境空气的主要污染源。施工期扬尘影响包括以下方面：黄沙、水泥等建筑材料运输装卸过程中产生扬尘；建材堆场的风力扬尘；建筑材料运输产生的交通道路扬尘。</w:t>
            </w:r>
          </w:p>
          <w:p>
            <w:pPr>
              <w:pStyle w:val="5"/>
              <w:ind w:firstLine="480"/>
            </w:pPr>
            <w:r>
              <w:rPr>
                <w:rFonts w:hint="eastAsia"/>
              </w:rPr>
              <w:t>对整个施工期而言，施工产生的扬尘主要集中在土建施工阶段，按起尘的原因可分为风力起尘和动力起尘。露天堆放的建材（如黄沙、水泥等）及裸露的施工区表层浮尘由于天气干燥及大风，产生风力扬尘；而动力起尘，主要是在建材的装卸过程中，由于外力而产生的尘粒再悬浮而造成，其中施工及装卸车辆造成的扬尘最为严重。</w:t>
            </w:r>
          </w:p>
          <w:p>
            <w:pPr>
              <w:pStyle w:val="5"/>
              <w:ind w:firstLine="480"/>
            </w:pPr>
            <w:r>
              <w:rPr>
                <w:rFonts w:hint="eastAsia"/>
              </w:rPr>
              <w:t>施工期产生的施工扬尘粉尘浓度随风力和物料、土壤干燥程度不同而有所变化，一般在</w:t>
            </w:r>
            <w:r>
              <w:t>1.5～30mg/m</w:t>
            </w:r>
            <w:r>
              <w:rPr>
                <w:vertAlign w:val="superscript"/>
              </w:rPr>
              <w:t>3</w:t>
            </w:r>
            <w:r>
              <w:t>之间。施工扬尘影响范围主要是施工场地周围50m，下风向影响范围约100～150m。针对施工期的扬尘影响，应采取如下针对性环保措施：</w:t>
            </w:r>
          </w:p>
          <w:p>
            <w:pPr>
              <w:pStyle w:val="5"/>
              <w:ind w:firstLine="480"/>
            </w:pPr>
            <w:r>
              <w:rPr>
                <w:rFonts w:hint="eastAsia"/>
              </w:rPr>
              <w:t>①</w:t>
            </w:r>
            <w:r>
              <w:t xml:space="preserve"> 施工过程中，</w:t>
            </w:r>
            <w:r>
              <w:rPr>
                <w:rFonts w:hint="eastAsia"/>
              </w:rPr>
              <w:t>施工场地及时进行洒水处理、保持施工场地湿润。建设单位应在每天对施工场地至少进行2次洒水作业，上午下午各一次，在干燥炎热的夏季或大风天气需适当增加洒水次数</w:t>
            </w:r>
            <w:r>
              <w:t>，有效减小扬尘对项目附近环境空气的影响。</w:t>
            </w:r>
          </w:p>
          <w:p>
            <w:pPr>
              <w:pStyle w:val="5"/>
              <w:ind w:firstLine="480"/>
            </w:pPr>
            <w:r>
              <w:rPr>
                <w:rFonts w:hint="eastAsia"/>
              </w:rPr>
              <w:t>②</w:t>
            </w:r>
            <w:r>
              <w:t xml:space="preserve"> 对施工场地四周进行围挡，加强环境空气的保护工作，加大洒水抑尘力度。</w:t>
            </w:r>
            <w:r>
              <w:rPr>
                <w:rFonts w:hint="eastAsia"/>
              </w:rPr>
              <w:t>对散装建材物料堆场设置挡板、防尘布、防雨棚等措施。施工过程中使用的易产生扬尘的建筑材料，应采取防尘措施，如设置围挡或采用防尘布苫盖，</w:t>
            </w:r>
            <w:r>
              <w:t>采用商品混凝土，不在施工现场进行混凝土的拌和</w:t>
            </w:r>
            <w:r>
              <w:rPr>
                <w:rFonts w:hint="eastAsia"/>
              </w:rPr>
              <w:t>。</w:t>
            </w:r>
          </w:p>
          <w:p>
            <w:pPr>
              <w:pStyle w:val="5"/>
              <w:ind w:firstLine="480"/>
            </w:pPr>
            <w:r>
              <w:rPr>
                <w:rFonts w:hint="eastAsia"/>
              </w:rPr>
              <w:t>③</w:t>
            </w:r>
            <w:r>
              <w:t xml:space="preserve"> 土石方开挖、调运、装卸等极易产生扬尘的施工环节尽量避免在大风干燥季节实施；车辆装卸应尽量降低操作高度，粉粒物料严禁抛洒；细颗粒散装建筑材料应储存于库房内或密闭存放，运输采用密闭式罐车运输。</w:t>
            </w:r>
          </w:p>
          <w:p>
            <w:pPr>
              <w:pStyle w:val="5"/>
              <w:ind w:firstLine="480"/>
            </w:pPr>
            <w:r>
              <w:rPr>
                <w:rFonts w:hint="eastAsia"/>
              </w:rPr>
              <w:t>④</w:t>
            </w:r>
            <w:r>
              <w:t xml:space="preserve"> 土石方运输车辆的车斗应进行覆盖，避免沿途尘土洒落</w:t>
            </w:r>
            <w:r>
              <w:rPr>
                <w:rFonts w:hint="eastAsia"/>
              </w:rPr>
              <w:t>，离开施工场地车辆轮胎进行冲洗，严禁带泥上路</w:t>
            </w:r>
            <w:r>
              <w:t>；严禁车辆超速行驶，以防止运输中的二次扬尘产生。</w:t>
            </w:r>
          </w:p>
          <w:p>
            <w:pPr>
              <w:pStyle w:val="5"/>
              <w:ind w:firstLine="480"/>
            </w:pPr>
            <w:r>
              <w:rPr>
                <w:rFonts w:hint="eastAsia"/>
              </w:rPr>
              <w:t>⑤</w:t>
            </w:r>
            <w:r>
              <w:t xml:space="preserve"> 对进出施工场区的道路进行清扫和洒水抑尘；并加强进出场区道路的维护，避免运输道路的损坏造成运输车辆颠簸，从而产生扬尘。</w:t>
            </w:r>
          </w:p>
          <w:p>
            <w:pPr>
              <w:pStyle w:val="5"/>
              <w:ind w:firstLine="480"/>
            </w:pPr>
            <w:r>
              <w:rPr>
                <w:rFonts w:hint="eastAsia"/>
              </w:rPr>
              <w:t>⑥</w:t>
            </w:r>
            <w:r>
              <w:t xml:space="preserve"> 土石方开挖时应及时送至填方处，并压实，以减少粉尘产生量；并尽快完成厂区地面的硬化与绿化工程。运输车辆和施工机械要及时进行保养，保证其正常运行，避免因机械保养不当而导致的尾气排放量增大，对于排放量超标的机械应禁止使用；运输车辆严禁超载运输，避免超过车载负荷而尾气排放量大幅度上升</w:t>
            </w:r>
            <w:r>
              <w:rPr>
                <w:rFonts w:hint="eastAsia"/>
              </w:rPr>
              <w:t>。</w:t>
            </w:r>
          </w:p>
          <w:p>
            <w:pPr>
              <w:pStyle w:val="5"/>
              <w:ind w:firstLine="480"/>
            </w:pPr>
            <w:r>
              <w:rPr>
                <w:rFonts w:hint="eastAsia"/>
              </w:rPr>
              <w:t>通过以上措施，可以很大程度的削减扬尘产生量，扬尘对大气环境的影响不大，且只在施工期产生，不会造成长期影响，所以，施工扬尘对大气环境的影响是可以接受的，废气污染防治措施可行。</w:t>
            </w:r>
          </w:p>
          <w:p>
            <w:pPr>
              <w:pStyle w:val="4"/>
              <w:spacing w:before="120" w:after="120"/>
            </w:pPr>
            <w:r>
              <w:rPr>
                <w:rFonts w:hint="eastAsia"/>
              </w:rPr>
              <w:t>噪声</w:t>
            </w:r>
          </w:p>
          <w:p>
            <w:pPr>
              <w:pStyle w:val="5"/>
              <w:ind w:firstLine="480"/>
            </w:pPr>
            <w:r>
              <w:t>利用距离传播衰减模式预测分析施工噪声范围、程度，预测时不考虑障碍物如场界围墙、树木等造成的噪声衰减量。评价中采用下式对污水处理厂的噪声进行预测。</w:t>
            </w:r>
          </w:p>
          <w:p>
            <w:pPr>
              <w:pStyle w:val="5"/>
              <w:ind w:firstLine="480"/>
            </w:pPr>
            <w:r>
              <w:t>其预测模式如下：</w:t>
            </w:r>
          </w:p>
          <w:p>
            <w:pPr>
              <w:pStyle w:val="5"/>
              <w:ind w:firstLine="480"/>
              <w:jc w:val="center"/>
            </w:pP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rPr>
                <w:rFonts w:hint="eastAsia"/>
              </w:rPr>
              <w:fldChar w:fldCharType="begin"/>
            </w:r>
            <w:r>
              <w:rPr>
                <w:rFonts w:hint="eastAsia"/>
              </w:rPr>
              <w:instrText xml:space="preserve"> INCLUDEPICTURE  "C:\\Users\\Connie\\AppData\\Local\\Temp\\ksohtml4912\\wps2.png" \* MERGEFORMATINET </w:instrText>
            </w:r>
            <w:r>
              <w:rPr>
                <w:rFonts w:hint="eastAsia"/>
              </w:rP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fldChar w:fldCharType="begin"/>
            </w:r>
            <w:r>
              <w:instrText xml:space="preserve"> INCLUDEPICTURE  "C:\\Users\\Connie\\AppData\\Local\\Temp\\ksohtml4912\\wps2.png" \* MERGEFORMATINET </w:instrText>
            </w:r>
            <w:r>
              <w:fldChar w:fldCharType="separate"/>
            </w:r>
            <w:r>
              <w:pict>
                <v:shape id="_x0000_i1026" o:spt="75" type="#_x0000_t75" style="height:13.4pt;width:143.95pt;" filled="f" o:preferrelative="t" stroked="f" coordsize="21600,21600">
                  <v:path/>
                  <v:fill on="f" focussize="0,0"/>
                  <v:stroke on="f" joinstyle="miter"/>
                  <v:imagedata r:id="rId19" r:href="rId20" o:title=""/>
                  <o:lock v:ext="edit" aspectratio="t"/>
                  <w10:wrap type="none"/>
                  <w10:anchorlock/>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pPr>
              <w:pStyle w:val="5"/>
              <w:ind w:firstLine="480"/>
            </w:pPr>
            <w:r>
              <w:t>式中：L</w:t>
            </w:r>
            <w:r>
              <w:rPr>
                <w:vertAlign w:val="subscript"/>
              </w:rPr>
              <w:t>p1</w:t>
            </w:r>
            <w:r>
              <w:t>——受声点p</w:t>
            </w:r>
            <w:r>
              <w:rPr>
                <w:vertAlign w:val="subscript"/>
              </w:rPr>
              <w:t>1</w:t>
            </w:r>
            <w:r>
              <w:t>处的声级，dB(A)；</w:t>
            </w:r>
          </w:p>
          <w:p>
            <w:pPr>
              <w:pStyle w:val="5"/>
              <w:ind w:firstLine="480"/>
            </w:pPr>
            <w:r>
              <w:t xml:space="preserve">      L</w:t>
            </w:r>
            <w:r>
              <w:rPr>
                <w:vertAlign w:val="subscript"/>
              </w:rPr>
              <w:t>p2</w:t>
            </w:r>
            <w:r>
              <w:t>——受声点p</w:t>
            </w:r>
            <w:r>
              <w:rPr>
                <w:vertAlign w:val="subscript"/>
              </w:rPr>
              <w:t>2</w:t>
            </w:r>
            <w:r>
              <w:t>处的声级，dB(A)；</w:t>
            </w:r>
          </w:p>
          <w:p>
            <w:pPr>
              <w:pStyle w:val="5"/>
              <w:ind w:firstLine="480"/>
            </w:pPr>
            <w:r>
              <w:t xml:space="preserve">      r</w:t>
            </w:r>
            <w:r>
              <w:rPr>
                <w:vertAlign w:val="subscript"/>
              </w:rPr>
              <w:t>1</w:t>
            </w:r>
            <w:r>
              <w:t>——声源至p</w:t>
            </w:r>
            <w:r>
              <w:rPr>
                <w:vertAlign w:val="subscript"/>
              </w:rPr>
              <w:t>1</w:t>
            </w:r>
            <w:r>
              <w:t>的距离，m；</w:t>
            </w:r>
          </w:p>
          <w:p>
            <w:pPr>
              <w:pStyle w:val="5"/>
              <w:ind w:firstLine="1399" w:firstLineChars="583"/>
            </w:pPr>
            <w:r>
              <w:t>r</w:t>
            </w:r>
            <w:r>
              <w:rPr>
                <w:vertAlign w:val="subscript"/>
              </w:rPr>
              <w:t>2</w:t>
            </w:r>
            <w:r>
              <w:t>——声源至p</w:t>
            </w:r>
            <w:r>
              <w:rPr>
                <w:vertAlign w:val="subscript"/>
              </w:rPr>
              <w:t>2</w:t>
            </w:r>
            <w:r>
              <w:t>的距离，m；</w:t>
            </w:r>
          </w:p>
          <w:p>
            <w:pPr>
              <w:pStyle w:val="5"/>
              <w:ind w:firstLine="480"/>
            </w:pPr>
            <w:r>
              <w:t xml:space="preserve">      </w:t>
            </w:r>
            <w:r>
              <w:rPr>
                <w:rFonts w:hint="eastAsia" w:ascii="宋体" w:hAnsi="宋体"/>
              </w:rPr>
              <w:t>△</w:t>
            </w:r>
            <w:r>
              <w:t>L——额外衰减值，dB(A)（可不考虑）。</w:t>
            </w:r>
          </w:p>
          <w:p>
            <w:pPr>
              <w:pStyle w:val="5"/>
              <w:ind w:firstLine="480"/>
            </w:pPr>
            <w:r>
              <w:rPr>
                <w:rFonts w:hint="eastAsia"/>
              </w:rPr>
              <w:t>项目昼间施工，所以进行昼间影响预测，预测结果</w:t>
            </w:r>
            <w:r>
              <w:t>见下表。</w:t>
            </w:r>
            <w:r>
              <w:rPr>
                <w:rFonts w:hint="eastAsia"/>
              </w:rPr>
              <w:t>根据预测结果，项目施工期厂界昼间噪声贡献值满足《建筑施工场界噪声排放标准》（GB12523-2011）中限值要求，即昼间70dB（A）。</w:t>
            </w:r>
          </w:p>
          <w:p>
            <w:pPr>
              <w:pStyle w:val="14"/>
            </w:pPr>
            <w:r>
              <w:t xml:space="preserve">表 </w:t>
            </w:r>
            <w:r>
              <w:fldChar w:fldCharType="begin"/>
            </w:r>
            <w:r>
              <w:instrText xml:space="preserve"> STYLEREF 2 \s </w:instrText>
            </w:r>
            <w:r>
              <w:fldChar w:fldCharType="separate"/>
            </w:r>
            <w:r>
              <w:t>4.1</w:t>
            </w:r>
            <w:r>
              <w:fldChar w:fldCharType="end"/>
            </w:r>
            <w:r>
              <w:noBreakHyphen/>
            </w:r>
            <w:r>
              <w:fldChar w:fldCharType="begin"/>
            </w:r>
            <w:r>
              <w:instrText xml:space="preserve"> SEQ 表 \* ARABIC \s 2 </w:instrText>
            </w:r>
            <w:r>
              <w:fldChar w:fldCharType="separate"/>
            </w:r>
            <w:r>
              <w:t>1</w:t>
            </w:r>
            <w:r>
              <w:fldChar w:fldCharType="end"/>
            </w:r>
            <w:r>
              <w:t xml:space="preserve">   施工</w:t>
            </w:r>
            <w:r>
              <w:rPr>
                <w:rFonts w:hint="eastAsia"/>
              </w:rPr>
              <w:t>厂界</w:t>
            </w:r>
            <w:r>
              <w:t>噪声影响预测结果及分析</w:t>
            </w:r>
            <w:r>
              <w:rPr>
                <w:rFonts w:hint="eastAsia"/>
              </w:rPr>
              <w:t xml:space="preserve">  </w:t>
            </w:r>
            <w:r>
              <w:t>dB（A）</w:t>
            </w:r>
          </w:p>
          <w:tbl>
            <w:tblPr>
              <w:tblStyle w:val="39"/>
              <w:tblW w:w="7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52"/>
              <w:gridCol w:w="1552"/>
              <w:gridCol w:w="1550"/>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vAlign w:val="center"/>
                </w:tcPr>
                <w:p>
                  <w:pPr>
                    <w:pStyle w:val="63"/>
                  </w:pPr>
                  <w:r>
                    <w:rPr>
                      <w:rFonts w:hint="eastAsia"/>
                    </w:rPr>
                    <w:t>厂界</w:t>
                  </w:r>
                </w:p>
              </w:tc>
              <w:tc>
                <w:tcPr>
                  <w:tcW w:w="1552" w:type="dxa"/>
                  <w:vAlign w:val="center"/>
                </w:tcPr>
                <w:p>
                  <w:pPr>
                    <w:pStyle w:val="63"/>
                  </w:pPr>
                  <w:r>
                    <w:rPr>
                      <w:rFonts w:hint="eastAsia"/>
                    </w:rPr>
                    <w:t>时间</w:t>
                  </w:r>
                </w:p>
              </w:tc>
              <w:tc>
                <w:tcPr>
                  <w:tcW w:w="1552" w:type="dxa"/>
                  <w:vAlign w:val="center"/>
                </w:tcPr>
                <w:p>
                  <w:pPr>
                    <w:pStyle w:val="63"/>
                  </w:pPr>
                  <w:r>
                    <w:rPr>
                      <w:rFonts w:hint="eastAsia"/>
                    </w:rPr>
                    <w:t>贡献值</w:t>
                  </w:r>
                </w:p>
              </w:tc>
              <w:tc>
                <w:tcPr>
                  <w:tcW w:w="1550" w:type="dxa"/>
                  <w:vAlign w:val="center"/>
                </w:tcPr>
                <w:p>
                  <w:pPr>
                    <w:pStyle w:val="63"/>
                  </w:pPr>
                  <w:r>
                    <w:rPr>
                      <w:rFonts w:hint="eastAsia"/>
                    </w:rPr>
                    <w:t>标准值</w:t>
                  </w:r>
                </w:p>
              </w:tc>
              <w:tc>
                <w:tcPr>
                  <w:tcW w:w="1553" w:type="dxa"/>
                  <w:vAlign w:val="center"/>
                </w:tcPr>
                <w:p>
                  <w:pPr>
                    <w:pStyle w:val="63"/>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vAlign w:val="center"/>
                </w:tcPr>
                <w:p>
                  <w:pPr>
                    <w:pStyle w:val="63"/>
                  </w:pPr>
                  <w:r>
                    <w:rPr>
                      <w:rFonts w:hint="eastAsia"/>
                    </w:rPr>
                    <w:t>北厂界</w:t>
                  </w:r>
                </w:p>
              </w:tc>
              <w:tc>
                <w:tcPr>
                  <w:tcW w:w="1552" w:type="dxa"/>
                  <w:vAlign w:val="center"/>
                </w:tcPr>
                <w:p>
                  <w:pPr>
                    <w:pStyle w:val="63"/>
                  </w:pPr>
                  <w:r>
                    <w:rPr>
                      <w:rFonts w:hint="eastAsia"/>
                    </w:rPr>
                    <w:t>昼间</w:t>
                  </w:r>
                </w:p>
              </w:tc>
              <w:tc>
                <w:tcPr>
                  <w:tcW w:w="1552" w:type="dxa"/>
                </w:tcPr>
                <w:p>
                  <w:pPr>
                    <w:pStyle w:val="63"/>
                  </w:pPr>
                  <w:r>
                    <w:rPr>
                      <w:rFonts w:hint="eastAsia"/>
                    </w:rPr>
                    <w:t>62.3</w:t>
                  </w:r>
                </w:p>
              </w:tc>
              <w:tc>
                <w:tcPr>
                  <w:tcW w:w="1550" w:type="dxa"/>
                  <w:vAlign w:val="center"/>
                </w:tcPr>
                <w:p>
                  <w:pPr>
                    <w:pStyle w:val="63"/>
                  </w:pPr>
                  <w:r>
                    <w:rPr>
                      <w:rFonts w:hint="eastAsia"/>
                    </w:rPr>
                    <w:t>70</w:t>
                  </w:r>
                </w:p>
              </w:tc>
              <w:tc>
                <w:tcPr>
                  <w:tcW w:w="1553"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vAlign w:val="center"/>
                </w:tcPr>
                <w:p>
                  <w:pPr>
                    <w:pStyle w:val="63"/>
                  </w:pPr>
                  <w:r>
                    <w:rPr>
                      <w:rFonts w:hint="eastAsia"/>
                    </w:rPr>
                    <w:t>南厂界</w:t>
                  </w:r>
                </w:p>
              </w:tc>
              <w:tc>
                <w:tcPr>
                  <w:tcW w:w="1552" w:type="dxa"/>
                  <w:vAlign w:val="center"/>
                </w:tcPr>
                <w:p>
                  <w:pPr>
                    <w:pStyle w:val="63"/>
                  </w:pPr>
                  <w:r>
                    <w:rPr>
                      <w:rFonts w:hint="eastAsia"/>
                    </w:rPr>
                    <w:t>昼间</w:t>
                  </w:r>
                </w:p>
              </w:tc>
              <w:tc>
                <w:tcPr>
                  <w:tcW w:w="1552" w:type="dxa"/>
                </w:tcPr>
                <w:p>
                  <w:pPr>
                    <w:pStyle w:val="63"/>
                  </w:pPr>
                  <w:r>
                    <w:rPr>
                      <w:rFonts w:hint="eastAsia"/>
                    </w:rPr>
                    <w:t>65.2</w:t>
                  </w:r>
                </w:p>
              </w:tc>
              <w:tc>
                <w:tcPr>
                  <w:tcW w:w="1550" w:type="dxa"/>
                  <w:vAlign w:val="center"/>
                </w:tcPr>
                <w:p>
                  <w:pPr>
                    <w:pStyle w:val="63"/>
                  </w:pPr>
                  <w:r>
                    <w:rPr>
                      <w:rFonts w:hint="eastAsia"/>
                    </w:rPr>
                    <w:t>70</w:t>
                  </w:r>
                </w:p>
              </w:tc>
              <w:tc>
                <w:tcPr>
                  <w:tcW w:w="1553"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vAlign w:val="center"/>
                </w:tcPr>
                <w:p>
                  <w:pPr>
                    <w:pStyle w:val="63"/>
                  </w:pPr>
                  <w:r>
                    <w:rPr>
                      <w:rFonts w:hint="eastAsia"/>
                    </w:rPr>
                    <w:t>西厂界</w:t>
                  </w:r>
                </w:p>
              </w:tc>
              <w:tc>
                <w:tcPr>
                  <w:tcW w:w="1552" w:type="dxa"/>
                  <w:vAlign w:val="center"/>
                </w:tcPr>
                <w:p>
                  <w:pPr>
                    <w:pStyle w:val="63"/>
                  </w:pPr>
                  <w:r>
                    <w:rPr>
                      <w:rFonts w:hint="eastAsia"/>
                    </w:rPr>
                    <w:t>昼间</w:t>
                  </w:r>
                </w:p>
              </w:tc>
              <w:tc>
                <w:tcPr>
                  <w:tcW w:w="1552" w:type="dxa"/>
                </w:tcPr>
                <w:p>
                  <w:pPr>
                    <w:pStyle w:val="63"/>
                  </w:pPr>
                  <w:r>
                    <w:rPr>
                      <w:rFonts w:hint="eastAsia"/>
                    </w:rPr>
                    <w:t>69.6</w:t>
                  </w:r>
                </w:p>
              </w:tc>
              <w:tc>
                <w:tcPr>
                  <w:tcW w:w="1550" w:type="dxa"/>
                  <w:vAlign w:val="center"/>
                </w:tcPr>
                <w:p>
                  <w:pPr>
                    <w:pStyle w:val="63"/>
                  </w:pPr>
                  <w:r>
                    <w:rPr>
                      <w:rFonts w:hint="eastAsia"/>
                    </w:rPr>
                    <w:t>70</w:t>
                  </w:r>
                </w:p>
              </w:tc>
              <w:tc>
                <w:tcPr>
                  <w:tcW w:w="1553"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1" w:type="dxa"/>
                  <w:vAlign w:val="center"/>
                </w:tcPr>
                <w:p>
                  <w:pPr>
                    <w:pStyle w:val="63"/>
                  </w:pPr>
                  <w:r>
                    <w:rPr>
                      <w:rFonts w:hint="eastAsia"/>
                    </w:rPr>
                    <w:t>东厂界</w:t>
                  </w:r>
                </w:p>
              </w:tc>
              <w:tc>
                <w:tcPr>
                  <w:tcW w:w="1552" w:type="dxa"/>
                  <w:vAlign w:val="center"/>
                </w:tcPr>
                <w:p>
                  <w:pPr>
                    <w:pStyle w:val="63"/>
                  </w:pPr>
                  <w:r>
                    <w:rPr>
                      <w:rFonts w:hint="eastAsia"/>
                    </w:rPr>
                    <w:t>昼间</w:t>
                  </w:r>
                </w:p>
              </w:tc>
              <w:tc>
                <w:tcPr>
                  <w:tcW w:w="1552" w:type="dxa"/>
                </w:tcPr>
                <w:p>
                  <w:pPr>
                    <w:pStyle w:val="63"/>
                  </w:pPr>
                  <w:r>
                    <w:rPr>
                      <w:rFonts w:hint="eastAsia"/>
                    </w:rPr>
                    <w:t>60.4</w:t>
                  </w:r>
                </w:p>
              </w:tc>
              <w:tc>
                <w:tcPr>
                  <w:tcW w:w="1550" w:type="dxa"/>
                  <w:vAlign w:val="center"/>
                </w:tcPr>
                <w:p>
                  <w:pPr>
                    <w:pStyle w:val="63"/>
                  </w:pPr>
                  <w:r>
                    <w:rPr>
                      <w:rFonts w:hint="eastAsia"/>
                    </w:rPr>
                    <w:t>70</w:t>
                  </w:r>
                </w:p>
              </w:tc>
              <w:tc>
                <w:tcPr>
                  <w:tcW w:w="1553" w:type="dxa"/>
                  <w:vAlign w:val="center"/>
                </w:tcPr>
                <w:p>
                  <w:pPr>
                    <w:pStyle w:val="63"/>
                  </w:pPr>
                  <w:r>
                    <w:rPr>
                      <w:rFonts w:hint="eastAsia"/>
                    </w:rPr>
                    <w:t>达标</w:t>
                  </w:r>
                </w:p>
              </w:tc>
            </w:tr>
          </w:tbl>
          <w:p/>
          <w:p>
            <w:pPr>
              <w:pStyle w:val="5"/>
              <w:ind w:firstLine="480"/>
            </w:pPr>
            <w:r>
              <w:rPr>
                <w:rFonts w:hint="eastAsia"/>
              </w:rPr>
              <w:t>根据《中华人民共和国环境保护法》、《中华人民共和国噪声污染防治法》等规定，施工期噪声污染防治措施如下：</w:t>
            </w:r>
          </w:p>
          <w:p>
            <w:pPr>
              <w:pStyle w:val="5"/>
              <w:ind w:firstLine="480"/>
            </w:pPr>
            <w:r>
              <w:rPr>
                <w:rFonts w:hint="eastAsia"/>
              </w:rPr>
              <w:t>（</w:t>
            </w:r>
            <w:r>
              <w:t>1）进一步优化施工进度和施工工序，合理安排施工时段。因施工工艺要求必须夜间进行连续施工的需取得夜间施工许可证，并提前张贴公告或广播等形式告知周边群众。</w:t>
            </w:r>
          </w:p>
          <w:p>
            <w:pPr>
              <w:pStyle w:val="5"/>
              <w:ind w:firstLine="480"/>
            </w:pPr>
            <w:r>
              <w:rPr>
                <w:rFonts w:hint="eastAsia"/>
              </w:rPr>
              <w:t>（2</w:t>
            </w:r>
            <w:r>
              <w:t>）施工单位使用符合国家规定噪声排放标准的施工机械和车辆，应尽量选用低噪音、低振动的各类施工机械设备，并带有消声和隔音的附属设备；固定的施工机械安装减振装置；避免多台高噪音的机械设备在同一工场和同一时间使用。</w:t>
            </w:r>
          </w:p>
          <w:p>
            <w:pPr>
              <w:pStyle w:val="5"/>
              <w:ind w:firstLine="480"/>
            </w:pPr>
            <w:r>
              <w:rPr>
                <w:rFonts w:hint="eastAsia"/>
              </w:rPr>
              <w:t>（3</w:t>
            </w:r>
            <w:r>
              <w:t>）施工运输车辆，尤其是大型运输车辆，应按照有关部门的规定，确定合理运输路线和时间。</w:t>
            </w:r>
          </w:p>
          <w:p>
            <w:pPr>
              <w:pStyle w:val="5"/>
              <w:ind w:firstLine="480"/>
            </w:pPr>
            <w:r>
              <w:rPr>
                <w:rFonts w:hint="eastAsia"/>
              </w:rPr>
              <w:t>（4</w:t>
            </w:r>
            <w:r>
              <w:t>）设置封闭的木工房以有效降低电锯加工噪声影响。</w:t>
            </w:r>
          </w:p>
          <w:p>
            <w:pPr>
              <w:pStyle w:val="5"/>
              <w:ind w:firstLine="480"/>
            </w:pPr>
            <w:r>
              <w:rPr>
                <w:rFonts w:hint="eastAsia"/>
              </w:rPr>
              <w:t>（5</w:t>
            </w:r>
            <w:r>
              <w:t>）根据国家和地方的有关法律、法令、条例、规定，施工单位应主动接受环保部门的监督管理和检查；建设单位在进行工程承包时，应将有关施工噪声控制纳入承包内容，并在施工和工程监理过程中设专人负责，以确保控制施工噪声措施的实施。</w:t>
            </w:r>
          </w:p>
          <w:p>
            <w:pPr>
              <w:pStyle w:val="4"/>
              <w:spacing w:before="120" w:after="120"/>
            </w:pPr>
            <w:r>
              <w:rPr>
                <w:rFonts w:hint="eastAsia"/>
              </w:rPr>
              <w:t>固体废物</w:t>
            </w:r>
          </w:p>
          <w:p>
            <w:pPr>
              <w:pStyle w:val="5"/>
              <w:ind w:firstLine="480"/>
            </w:pPr>
            <w:r>
              <w:rPr>
                <w:rFonts w:hint="eastAsia"/>
              </w:rPr>
              <w:t>工程施工期固体废物主要包括施工产生的建筑垃圾等，施工人员的进驻也会产生一定量的生活垃圾。建筑物弃渣按环保要求运送至指定地点进行处理，项目在施工前需落实建筑弃渣的具体去向。</w:t>
            </w:r>
          </w:p>
          <w:p>
            <w:pPr>
              <w:pStyle w:val="5"/>
              <w:ind w:firstLine="480"/>
            </w:pPr>
            <w:r>
              <w:rPr>
                <w:rFonts w:hint="eastAsia"/>
              </w:rPr>
              <w:t>由于施工过程中将产生一定量的土石方临时堆置，遇大风及干燥天气时将产生扬尘。开挖土石方尽量就地回填处置，未能及时回填的土方应采取临时水土保持措施，防雨布覆盖，周围设置临时排水沟。</w:t>
            </w:r>
          </w:p>
          <w:p>
            <w:pPr>
              <w:pStyle w:val="5"/>
              <w:ind w:firstLine="480"/>
            </w:pPr>
            <w:r>
              <w:rPr>
                <w:rFonts w:hint="eastAsia"/>
              </w:rPr>
              <w:t>根据《中华人民共和国环境保护法》、《中华人民共和国固体废物污染环境防治法》等规定，施工期固体废物污染防治措施如下：</w:t>
            </w:r>
          </w:p>
          <w:p>
            <w:pPr>
              <w:pStyle w:val="5"/>
              <w:ind w:firstLine="480"/>
            </w:pPr>
            <w:r>
              <w:rPr>
                <w:rFonts w:hint="eastAsia"/>
              </w:rPr>
              <w:t>（</w:t>
            </w:r>
            <w:r>
              <w:t>1）施工期固体废物采取“集中收集、分类处理、尽量回用”的原则，建筑垃圾运往</w:t>
            </w:r>
            <w:r>
              <w:rPr>
                <w:rFonts w:hint="eastAsia"/>
              </w:rPr>
              <w:t>政府指定</w:t>
            </w:r>
            <w:r>
              <w:t>建筑垃圾处置场</w:t>
            </w:r>
            <w:r>
              <w:rPr>
                <w:rFonts w:hint="eastAsia"/>
              </w:rPr>
              <w:t>所进行处置</w:t>
            </w:r>
            <w:r>
              <w:t>，生活垃圾集中收集交由当地环卫部门处置。</w:t>
            </w:r>
          </w:p>
          <w:p>
            <w:pPr>
              <w:pStyle w:val="5"/>
              <w:ind w:firstLine="480"/>
            </w:pPr>
            <w:r>
              <w:rPr>
                <w:rFonts w:hint="eastAsia"/>
              </w:rPr>
              <w:t>（</w:t>
            </w:r>
            <w:r>
              <w:t>2）建筑垃圾应当交由已取得建筑垃圾处置许可文件的运输企业运输。运输建筑垃圾应当遵守下列规定：</w:t>
            </w:r>
            <w:r>
              <w:rPr>
                <w:rFonts w:hint="eastAsia" w:ascii="宋体" w:hAnsi="宋体" w:cs="宋体"/>
              </w:rPr>
              <w:t>①</w:t>
            </w:r>
            <w:r>
              <w:t>使用经审核登记的车辆运输；</w:t>
            </w:r>
            <w:r>
              <w:rPr>
                <w:rFonts w:hint="eastAsia" w:ascii="宋体" w:hAnsi="宋体" w:cs="宋体"/>
              </w:rPr>
              <w:t>②</w:t>
            </w:r>
            <w:r>
              <w:t>车辆驶离施工场地应当实行密闭运输，不得遗撒、泄漏；</w:t>
            </w:r>
            <w:r>
              <w:rPr>
                <w:rFonts w:hint="eastAsia" w:ascii="宋体" w:hAnsi="宋体" w:cs="宋体"/>
              </w:rPr>
              <w:t>③</w:t>
            </w:r>
            <w:r>
              <w:t>按照核定的时间、路线、地点运输、倾倒建筑垃圾；</w:t>
            </w:r>
            <w:r>
              <w:rPr>
                <w:rFonts w:hint="eastAsia" w:ascii="宋体" w:hAnsi="宋体" w:cs="宋体"/>
              </w:rPr>
              <w:t>④</w:t>
            </w:r>
            <w:r>
              <w:t>随车携带建筑垃圾处置许可文件副本、运输证；</w:t>
            </w:r>
            <w:r>
              <w:rPr>
                <w:rFonts w:hint="eastAsia" w:ascii="宋体" w:hAnsi="宋体" w:cs="宋体"/>
              </w:rPr>
              <w:t>⑤</w:t>
            </w:r>
            <w:r>
              <w:t>遵守货运车辆道路通行相关规定。</w:t>
            </w:r>
          </w:p>
          <w:p>
            <w:pPr>
              <w:pStyle w:val="5"/>
              <w:ind w:firstLine="480"/>
            </w:pPr>
            <w:r>
              <w:rPr>
                <w:rFonts w:hint="eastAsia"/>
              </w:rPr>
              <w:t>（</w:t>
            </w:r>
            <w:r>
              <w:t>3）生活垃圾、建材弃渣以及其他固体废物规定地点统一收集处理，禁止进入</w:t>
            </w:r>
            <w:r>
              <w:rPr>
                <w:rFonts w:hint="eastAsia"/>
              </w:rPr>
              <w:t>朱衣河</w:t>
            </w:r>
            <w:r>
              <w:t>水体。</w:t>
            </w:r>
          </w:p>
          <w:p>
            <w:pPr>
              <w:pStyle w:val="5"/>
              <w:ind w:firstLine="480"/>
            </w:pPr>
            <w:r>
              <w:rPr>
                <w:rFonts w:hint="eastAsia"/>
              </w:rPr>
              <w:t>（</w:t>
            </w:r>
            <w:r>
              <w:t>4）建筑材料堆放场地需远离</w:t>
            </w:r>
            <w:r>
              <w:rPr>
                <w:rFonts w:hint="eastAsia"/>
              </w:rPr>
              <w:t>朱衣河</w:t>
            </w:r>
            <w:r>
              <w:t>岸边，堆场应设蓬盖以免被雨水冲刷进入河流中造成污染。</w:t>
            </w:r>
          </w:p>
          <w:p>
            <w:pPr>
              <w:pStyle w:val="4"/>
              <w:spacing w:before="120" w:after="120"/>
            </w:pPr>
            <w:r>
              <w:rPr>
                <w:rFonts w:hint="eastAsia"/>
              </w:rPr>
              <w:t>生态环境</w:t>
            </w:r>
          </w:p>
          <w:p>
            <w:pPr>
              <w:pStyle w:val="6"/>
              <w:spacing w:before="120" w:after="120"/>
            </w:pPr>
            <w:r>
              <w:rPr>
                <w:rFonts w:hint="eastAsia"/>
              </w:rPr>
              <w:t>土地占用影响</w:t>
            </w:r>
          </w:p>
          <w:p>
            <w:pPr>
              <w:pStyle w:val="5"/>
              <w:ind w:firstLine="480"/>
            </w:pPr>
            <w:r>
              <w:rPr>
                <w:rFonts w:hint="eastAsia"/>
              </w:rPr>
              <w:t>本项目占地范围内土地利用类型为排水用地，项目建设不会改变现有的土地利用类型，不会影响区域土地利用格局，施工过程产生表土剥离，场内贮存，防雨布覆盖，周围设置临时排水沟，施工结束后厂区绿化回用。</w:t>
            </w:r>
          </w:p>
          <w:p>
            <w:pPr>
              <w:pStyle w:val="6"/>
              <w:spacing w:before="120" w:after="120"/>
            </w:pPr>
            <w:r>
              <w:rPr>
                <w:rFonts w:hint="eastAsia"/>
              </w:rPr>
              <w:t>动植物影响</w:t>
            </w:r>
          </w:p>
          <w:p>
            <w:pPr>
              <w:pStyle w:val="5"/>
              <w:ind w:firstLine="480"/>
            </w:pPr>
            <w:r>
              <w:rPr>
                <w:rFonts w:hint="eastAsia"/>
              </w:rPr>
              <w:t>项目场地目前受人类活动影响较大，无珍稀濒危野生动植物和名木古树。项目场地区域内无珍稀濒危和重点保护的野生动物出没，仅有鼠、蛇、常规鸟类等小型动物。</w:t>
            </w:r>
          </w:p>
          <w:p>
            <w:pPr>
              <w:pStyle w:val="5"/>
              <w:ind w:firstLine="480"/>
            </w:pPr>
            <w:r>
              <w:rPr>
                <w:rFonts w:hint="eastAsia"/>
              </w:rPr>
              <w:t>污水厂区施工过程中，基础开挖、建材和渣土的运输等会对项目所在区域的生态环境在短时间内形成一定的影响。项目所在区域无珍稀野生保护动物分布，没有发现其他特殊的生态系统。评价区域内没有大型兽类，小型兽类以啮齿目和食虫目为主，鸟类以雀形目小型鸟类为主，因此项目建设对现有动物分布和活动基本无影响。</w:t>
            </w:r>
          </w:p>
          <w:p>
            <w:pPr>
              <w:pStyle w:val="5"/>
              <w:ind w:firstLine="480"/>
            </w:pPr>
            <w:r>
              <w:rPr>
                <w:rFonts w:hint="eastAsia"/>
              </w:rPr>
              <w:t>项目周边亦无珍稀保护植物，无古树名木。项目建设完成后，厂区进行绿化，绿化率大于30%，种植一些抗污力强，净化空气好的植物，对区域内的大气环境、植被及生态系统的改善是非常有利的。临时占地通过采取场地清理、平整和进行植被恢复等措施，可以将临时占地造成的植被影响降至最低。同时，本着“不占和少占”的原则，项目施工期临时工程布置在施工红线内，尽量减少对地表植被的破坏。因此，本项目实施并进行绿化恢复后对整个地区生态系统的功能和稳定性产生的影响在可接受的水平，同时，也不会引起物种种类的显著减少。</w:t>
            </w:r>
          </w:p>
          <w:p>
            <w:pPr>
              <w:pStyle w:val="6"/>
              <w:spacing w:before="120" w:after="120"/>
            </w:pPr>
            <w:r>
              <w:rPr>
                <w:rFonts w:hint="eastAsia"/>
              </w:rPr>
              <w:t>水生生态</w:t>
            </w:r>
          </w:p>
          <w:p>
            <w:pPr>
              <w:pStyle w:val="5"/>
              <w:ind w:firstLine="480"/>
            </w:pPr>
            <w:r>
              <w:rPr>
                <w:rFonts w:hint="eastAsia"/>
              </w:rPr>
              <w:t>本项目无涉水施工，对水生生态无影响。</w:t>
            </w:r>
          </w:p>
          <w:p>
            <w:pPr>
              <w:pStyle w:val="6"/>
              <w:spacing w:before="120" w:after="120"/>
            </w:pPr>
            <w:r>
              <w:rPr>
                <w:rFonts w:hint="eastAsia"/>
              </w:rPr>
              <w:t>水土流失</w:t>
            </w:r>
          </w:p>
          <w:p>
            <w:pPr>
              <w:pStyle w:val="5"/>
              <w:ind w:firstLine="480"/>
            </w:pPr>
            <w:r>
              <w:rPr>
                <w:rFonts w:hint="eastAsia"/>
              </w:rPr>
              <w:t>项目施工过程中，水土流失的主要原因是基础开挖时对原有地表的破坏，使土壤裸露松散，改变原有下垫面和地形地貌，形成一些边坡等，增加土壤的可蚀性。项目土石方开挖过程中产生的土石方即挖即填，但区域内临时堆放的土石方如防护不力，可能受降雨击溅、径流冲刷等影响造成水土流失。项目开发建设过程中应采取水土保持措施，如场地设置截排水沟、沉砂池、表土及未及时外运弃土采用遮盖等措施，最大限度地减少水土流失量。</w:t>
            </w:r>
          </w:p>
          <w:p>
            <w:pPr>
              <w:pStyle w:val="6"/>
              <w:spacing w:before="120" w:after="120"/>
            </w:pPr>
            <w:r>
              <w:rPr>
                <w:rFonts w:hint="eastAsia"/>
              </w:rPr>
              <w:t>生态保护措施</w:t>
            </w:r>
          </w:p>
          <w:p>
            <w:pPr>
              <w:pStyle w:val="5"/>
              <w:ind w:firstLine="480"/>
            </w:pPr>
            <w:r>
              <w:rPr>
                <w:rFonts w:hint="eastAsia"/>
              </w:rPr>
              <w:t>现场施工作业机械应严格管理，划定活动范围，禁止建筑垃圾乱堆乱放，占压施工场地以外土地。加强施工车辆管理，不得随意在划定范围以外的地方行驶和作业，杜绝车辆乱碾乱轧，不随意开设便道，保证场区外植被不被破坏。</w:t>
            </w:r>
          </w:p>
          <w:p>
            <w:pPr>
              <w:pStyle w:val="5"/>
              <w:ind w:firstLine="480"/>
            </w:pPr>
            <w:r>
              <w:t>项目在建设施工期间，有大面积的裸露地表，容易形成水土流失。项目应合理安排施工，尽量将土石方开挖期避开大规模的降雨天气，并尽量缩短挖方时间，尽量在雨季到来之前完成挖方工程。在不可避免的雨天施工时，为防止临时堆料等被雨水冲刷，可选用编织布覆盖、围挡板围挡等措施。</w:t>
            </w:r>
          </w:p>
          <w:p>
            <w:pPr>
              <w:pStyle w:val="5"/>
              <w:ind w:firstLine="480"/>
            </w:pPr>
            <w:r>
              <w:t>及时做好排水导流工作，减轻水流对裸露地表的冲刷，在厂界四周</w:t>
            </w:r>
            <w:r>
              <w:rPr>
                <w:rFonts w:hint="eastAsia"/>
              </w:rPr>
              <w:t>设置导流沟</w:t>
            </w:r>
            <w:r>
              <w:t>，在施工中应实施排水工程，预防地面径流直接冲刷施工浮土，导致水土流失加剧。</w:t>
            </w:r>
          </w:p>
          <w:p>
            <w:pPr>
              <w:pStyle w:val="5"/>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841" w:type="dxa"/>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tc>
        <w:tc>
          <w:tcPr>
            <w:tcW w:w="7984" w:type="dxa"/>
            <w:vAlign w:val="center"/>
          </w:tcPr>
          <w:p>
            <w:pPr>
              <w:pStyle w:val="3"/>
              <w:spacing w:before="120" w:after="120"/>
            </w:pPr>
            <w:r>
              <w:rPr>
                <w:rFonts w:hint="eastAsia"/>
              </w:rPr>
              <w:t>运营期环境影响和保护措施</w:t>
            </w:r>
          </w:p>
          <w:p>
            <w:pPr>
              <w:pStyle w:val="4"/>
              <w:spacing w:before="120" w:after="120"/>
            </w:pPr>
            <w:r>
              <w:rPr>
                <w:rFonts w:hint="eastAsia"/>
              </w:rPr>
              <w:t>环境空气</w:t>
            </w:r>
          </w:p>
          <w:p>
            <w:pPr>
              <w:pStyle w:val="6"/>
              <w:spacing w:before="120" w:after="120"/>
            </w:pPr>
            <w:r>
              <w:rPr>
                <w:rFonts w:hint="eastAsia"/>
              </w:rPr>
              <w:t>源强核算</w:t>
            </w:r>
          </w:p>
          <w:p>
            <w:pPr>
              <w:pStyle w:val="5"/>
              <w:ind w:firstLine="480"/>
            </w:pPr>
            <w:r>
              <w:rPr>
                <w:rFonts w:hint="eastAsia"/>
              </w:rPr>
              <w:t>根据《城市污水处理厂恶臭污染及其评价体系》（给排水，2005），污水预处理单元及污泥处理单元恶臭气体产生量占污水厂总产臭量79%，生物池恶臭气体产生量占污水厂总产臭量12%，各构筑物臭气产生量占总臭气量比例见</w:t>
            </w:r>
            <w:r>
              <w:fldChar w:fldCharType="begin"/>
            </w:r>
            <w:r>
              <w:instrText xml:space="preserve"> </w:instrText>
            </w:r>
            <w:r>
              <w:rPr>
                <w:rFonts w:hint="eastAsia"/>
              </w:rPr>
              <w:instrText xml:space="preserve">REF _Ref169712991 \h</w:instrText>
            </w:r>
            <w:r>
              <w:instrText xml:space="preserve"> </w:instrText>
            </w:r>
            <w:r>
              <w:fldChar w:fldCharType="separate"/>
            </w:r>
            <w:r>
              <w:rPr>
                <w:rFonts w:hint="eastAsia"/>
              </w:rPr>
              <w:t xml:space="preserve">表 </w:t>
            </w:r>
            <w:r>
              <w:t>4.2</w:t>
            </w:r>
            <w:r>
              <w:noBreakHyphen/>
            </w:r>
            <w:r>
              <w:t>1</w:t>
            </w:r>
            <w:r>
              <w:fldChar w:fldCharType="end"/>
            </w:r>
            <w:r>
              <w:rPr>
                <w:rFonts w:hint="eastAsia"/>
              </w:rPr>
              <w:t>。</w:t>
            </w:r>
          </w:p>
          <w:p>
            <w:pPr>
              <w:pStyle w:val="14"/>
              <w:keepNext/>
            </w:pPr>
            <w:bookmarkStart w:id="57" w:name="_Ref169712991"/>
            <w:bookmarkStart w:id="58" w:name="_Ref169712973"/>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57"/>
            <w:r>
              <w:rPr>
                <w:rFonts w:hint="eastAsia"/>
              </w:rPr>
              <w:t xml:space="preserve">   各构筑物臭气产生量占总臭气量比例</w:t>
            </w:r>
            <w:bookmarkEnd w:id="58"/>
          </w:p>
          <w:tbl>
            <w:tblPr>
              <w:tblStyle w:val="39"/>
              <w:tblW w:w="7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845"/>
              <w:gridCol w:w="209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序号</w:t>
                  </w:r>
                </w:p>
              </w:tc>
              <w:tc>
                <w:tcPr>
                  <w:tcW w:w="1845" w:type="dxa"/>
                  <w:vAlign w:val="center"/>
                </w:tcPr>
                <w:p>
                  <w:pPr>
                    <w:pStyle w:val="63"/>
                  </w:pPr>
                  <w:r>
                    <w:rPr>
                      <w:rFonts w:hint="eastAsia"/>
                    </w:rPr>
                    <w:t>构筑物名称</w:t>
                  </w:r>
                </w:p>
              </w:tc>
              <w:tc>
                <w:tcPr>
                  <w:tcW w:w="2090" w:type="dxa"/>
                  <w:vAlign w:val="center"/>
                </w:tcPr>
                <w:p>
                  <w:pPr>
                    <w:pStyle w:val="63"/>
                  </w:pPr>
                  <w:r>
                    <w:rPr>
                      <w:rFonts w:hint="eastAsia"/>
                    </w:rPr>
                    <w:t>产生臭气量占比/%</w:t>
                  </w:r>
                </w:p>
              </w:tc>
              <w:tc>
                <w:tcPr>
                  <w:tcW w:w="2967"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1</w:t>
                  </w:r>
                </w:p>
              </w:tc>
              <w:tc>
                <w:tcPr>
                  <w:tcW w:w="1845" w:type="dxa"/>
                  <w:vAlign w:val="center"/>
                </w:tcPr>
                <w:p>
                  <w:pPr>
                    <w:pStyle w:val="63"/>
                  </w:pPr>
                  <w:r>
                    <w:rPr>
                      <w:rFonts w:hint="eastAsia"/>
                    </w:rPr>
                    <w:t>格栅</w:t>
                  </w:r>
                </w:p>
              </w:tc>
              <w:tc>
                <w:tcPr>
                  <w:tcW w:w="2090" w:type="dxa"/>
                  <w:vAlign w:val="center"/>
                </w:tcPr>
                <w:p>
                  <w:pPr>
                    <w:pStyle w:val="63"/>
                  </w:pPr>
                  <w:r>
                    <w:rPr>
                      <w:rFonts w:hint="eastAsia"/>
                    </w:rPr>
                    <w:t>4</w:t>
                  </w:r>
                </w:p>
              </w:tc>
              <w:tc>
                <w:tcPr>
                  <w:tcW w:w="2967" w:type="dxa"/>
                  <w:vMerge w:val="restart"/>
                  <w:vAlign w:val="center"/>
                </w:tcPr>
                <w:p>
                  <w:pPr>
                    <w:pStyle w:val="63"/>
                  </w:pPr>
                  <w:r>
                    <w:rPr>
                      <w:rFonts w:hint="eastAsia"/>
                    </w:rPr>
                    <w:t>预处理单元+污泥处理单元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2</w:t>
                  </w:r>
                </w:p>
              </w:tc>
              <w:tc>
                <w:tcPr>
                  <w:tcW w:w="1845" w:type="dxa"/>
                  <w:vAlign w:val="center"/>
                </w:tcPr>
                <w:p>
                  <w:pPr>
                    <w:pStyle w:val="63"/>
                  </w:pPr>
                  <w:r>
                    <w:rPr>
                      <w:rFonts w:hint="eastAsia"/>
                    </w:rPr>
                    <w:t>调节池</w:t>
                  </w:r>
                </w:p>
              </w:tc>
              <w:tc>
                <w:tcPr>
                  <w:tcW w:w="2090" w:type="dxa"/>
                  <w:vAlign w:val="center"/>
                </w:tcPr>
                <w:p>
                  <w:pPr>
                    <w:pStyle w:val="63"/>
                  </w:pPr>
                  <w:r>
                    <w:rPr>
                      <w:rFonts w:hint="eastAsia"/>
                    </w:rPr>
                    <w:t>13</w:t>
                  </w:r>
                </w:p>
              </w:tc>
              <w:tc>
                <w:tcPr>
                  <w:tcW w:w="296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3</w:t>
                  </w:r>
                </w:p>
              </w:tc>
              <w:tc>
                <w:tcPr>
                  <w:tcW w:w="1845" w:type="dxa"/>
                  <w:vAlign w:val="center"/>
                </w:tcPr>
                <w:p>
                  <w:pPr>
                    <w:pStyle w:val="63"/>
                  </w:pPr>
                  <w:r>
                    <w:rPr>
                      <w:rFonts w:hint="eastAsia"/>
                    </w:rPr>
                    <w:t>平流沉砂</w:t>
                  </w:r>
                </w:p>
              </w:tc>
              <w:tc>
                <w:tcPr>
                  <w:tcW w:w="2090" w:type="dxa"/>
                  <w:vAlign w:val="center"/>
                </w:tcPr>
                <w:p>
                  <w:pPr>
                    <w:pStyle w:val="63"/>
                  </w:pPr>
                  <w:r>
                    <w:rPr>
                      <w:rFonts w:hint="eastAsia"/>
                    </w:rPr>
                    <w:t>10</w:t>
                  </w:r>
                </w:p>
              </w:tc>
              <w:tc>
                <w:tcPr>
                  <w:tcW w:w="296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4</w:t>
                  </w:r>
                </w:p>
              </w:tc>
              <w:tc>
                <w:tcPr>
                  <w:tcW w:w="1845" w:type="dxa"/>
                  <w:vAlign w:val="center"/>
                </w:tcPr>
                <w:p>
                  <w:pPr>
                    <w:pStyle w:val="63"/>
                  </w:pPr>
                  <w:r>
                    <w:rPr>
                      <w:rFonts w:hint="eastAsia"/>
                    </w:rPr>
                    <w:t>水解酸化</w:t>
                  </w:r>
                </w:p>
              </w:tc>
              <w:tc>
                <w:tcPr>
                  <w:tcW w:w="2090" w:type="dxa"/>
                  <w:vAlign w:val="center"/>
                </w:tcPr>
                <w:p>
                  <w:pPr>
                    <w:pStyle w:val="63"/>
                  </w:pPr>
                  <w:r>
                    <w:rPr>
                      <w:rFonts w:hint="eastAsia"/>
                    </w:rPr>
                    <w:t>11</w:t>
                  </w:r>
                </w:p>
              </w:tc>
              <w:tc>
                <w:tcPr>
                  <w:tcW w:w="296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5</w:t>
                  </w:r>
                </w:p>
              </w:tc>
              <w:tc>
                <w:tcPr>
                  <w:tcW w:w="1845" w:type="dxa"/>
                  <w:vAlign w:val="center"/>
                </w:tcPr>
                <w:p>
                  <w:pPr>
                    <w:pStyle w:val="63"/>
                  </w:pPr>
                  <w:r>
                    <w:rPr>
                      <w:rFonts w:hint="eastAsia"/>
                    </w:rPr>
                    <w:t>污泥调理</w:t>
                  </w:r>
                </w:p>
              </w:tc>
              <w:tc>
                <w:tcPr>
                  <w:tcW w:w="2090" w:type="dxa"/>
                  <w:vAlign w:val="center"/>
                </w:tcPr>
                <w:p>
                  <w:pPr>
                    <w:pStyle w:val="63"/>
                  </w:pPr>
                  <w:r>
                    <w:rPr>
                      <w:rFonts w:hint="eastAsia"/>
                    </w:rPr>
                    <w:t>18</w:t>
                  </w:r>
                </w:p>
              </w:tc>
              <w:tc>
                <w:tcPr>
                  <w:tcW w:w="296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6</w:t>
                  </w:r>
                </w:p>
              </w:tc>
              <w:tc>
                <w:tcPr>
                  <w:tcW w:w="1845" w:type="dxa"/>
                  <w:vAlign w:val="center"/>
                </w:tcPr>
                <w:p>
                  <w:pPr>
                    <w:pStyle w:val="63"/>
                  </w:pPr>
                  <w:r>
                    <w:rPr>
                      <w:rFonts w:hint="eastAsia"/>
                    </w:rPr>
                    <w:t>污泥脱水</w:t>
                  </w:r>
                </w:p>
              </w:tc>
              <w:tc>
                <w:tcPr>
                  <w:tcW w:w="2090" w:type="dxa"/>
                  <w:vAlign w:val="center"/>
                </w:tcPr>
                <w:p>
                  <w:pPr>
                    <w:pStyle w:val="63"/>
                  </w:pPr>
                  <w:r>
                    <w:rPr>
                      <w:rFonts w:hint="eastAsia"/>
                    </w:rPr>
                    <w:t>23</w:t>
                  </w:r>
                </w:p>
              </w:tc>
              <w:tc>
                <w:tcPr>
                  <w:tcW w:w="296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7</w:t>
                  </w:r>
                </w:p>
              </w:tc>
              <w:tc>
                <w:tcPr>
                  <w:tcW w:w="1845" w:type="dxa"/>
                  <w:vAlign w:val="center"/>
                </w:tcPr>
                <w:p>
                  <w:pPr>
                    <w:pStyle w:val="63"/>
                  </w:pPr>
                  <w:r>
                    <w:rPr>
                      <w:rFonts w:hint="eastAsia"/>
                    </w:rPr>
                    <w:t>AAO生物池</w:t>
                  </w:r>
                </w:p>
              </w:tc>
              <w:tc>
                <w:tcPr>
                  <w:tcW w:w="2090" w:type="dxa"/>
                  <w:vAlign w:val="center"/>
                </w:tcPr>
                <w:p>
                  <w:pPr>
                    <w:pStyle w:val="63"/>
                  </w:pPr>
                  <w:r>
                    <w:rPr>
                      <w:rFonts w:hint="eastAsia"/>
                    </w:rPr>
                    <w:t>12</w:t>
                  </w:r>
                </w:p>
              </w:tc>
              <w:tc>
                <w:tcPr>
                  <w:tcW w:w="2967" w:type="dxa"/>
                  <w:vAlign w:val="center"/>
                </w:tcPr>
                <w:p>
                  <w:pPr>
                    <w:pStyle w:val="63"/>
                  </w:pPr>
                  <w:r>
                    <w:rPr>
                      <w:rFonts w:hint="eastAsia"/>
                    </w:rPr>
                    <w:t>生物处理单元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8</w:t>
                  </w:r>
                </w:p>
              </w:tc>
              <w:tc>
                <w:tcPr>
                  <w:tcW w:w="1845" w:type="dxa"/>
                  <w:vAlign w:val="center"/>
                </w:tcPr>
                <w:p>
                  <w:pPr>
                    <w:pStyle w:val="63"/>
                  </w:pPr>
                  <w:r>
                    <w:rPr>
                      <w:rFonts w:hint="eastAsia"/>
                    </w:rPr>
                    <w:t>其他</w:t>
                  </w:r>
                </w:p>
              </w:tc>
              <w:tc>
                <w:tcPr>
                  <w:tcW w:w="2090" w:type="dxa"/>
                  <w:vAlign w:val="center"/>
                </w:tcPr>
                <w:p>
                  <w:pPr>
                    <w:pStyle w:val="63"/>
                  </w:pPr>
                  <w:r>
                    <w:rPr>
                      <w:rFonts w:hint="eastAsia"/>
                    </w:rPr>
                    <w:t>9</w:t>
                  </w:r>
                </w:p>
              </w:tc>
              <w:tc>
                <w:tcPr>
                  <w:tcW w:w="2967"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center"/>
                </w:tcPr>
                <w:p>
                  <w:pPr>
                    <w:pStyle w:val="63"/>
                  </w:pPr>
                  <w:r>
                    <w:rPr>
                      <w:rFonts w:hint="eastAsia"/>
                    </w:rPr>
                    <w:t>9</w:t>
                  </w:r>
                </w:p>
              </w:tc>
              <w:tc>
                <w:tcPr>
                  <w:tcW w:w="1845" w:type="dxa"/>
                  <w:vAlign w:val="center"/>
                </w:tcPr>
                <w:p>
                  <w:pPr>
                    <w:pStyle w:val="63"/>
                  </w:pPr>
                  <w:r>
                    <w:rPr>
                      <w:rFonts w:hint="eastAsia"/>
                    </w:rPr>
                    <w:t>合计</w:t>
                  </w:r>
                </w:p>
              </w:tc>
              <w:tc>
                <w:tcPr>
                  <w:tcW w:w="2090" w:type="dxa"/>
                  <w:vAlign w:val="center"/>
                </w:tcPr>
                <w:p>
                  <w:pPr>
                    <w:pStyle w:val="63"/>
                  </w:pPr>
                  <w:r>
                    <w:rPr>
                      <w:rFonts w:hint="eastAsia"/>
                    </w:rPr>
                    <w:t>100</w:t>
                  </w:r>
                </w:p>
              </w:tc>
              <w:tc>
                <w:tcPr>
                  <w:tcW w:w="2967" w:type="dxa"/>
                  <w:vAlign w:val="center"/>
                </w:tcPr>
                <w:p>
                  <w:pPr>
                    <w:pStyle w:val="63"/>
                  </w:pPr>
                  <w:r>
                    <w:rPr>
                      <w:rFonts w:hint="eastAsia"/>
                    </w:rPr>
                    <w:t>-</w:t>
                  </w:r>
                </w:p>
              </w:tc>
            </w:tr>
          </w:tbl>
          <w:p>
            <w:pPr>
              <w:pStyle w:val="5"/>
              <w:ind w:firstLine="480"/>
            </w:pPr>
            <w:r>
              <w:rPr>
                <w:rFonts w:hint="eastAsia"/>
              </w:rPr>
              <w:t>每削减</w:t>
            </w:r>
            <w:r>
              <w:t>1kgCOD，产生102.353mgNH</w:t>
            </w:r>
            <w:r>
              <w:rPr>
                <w:vertAlign w:val="subscript"/>
              </w:rPr>
              <w:t>3</w:t>
            </w:r>
            <w:r>
              <w:t>、5.647mgH</w:t>
            </w:r>
            <w:r>
              <w:rPr>
                <w:vertAlign w:val="subscript"/>
              </w:rPr>
              <w:t>2</w:t>
            </w:r>
            <w:r>
              <w:t>S，由此估算污染物产生量</w:t>
            </w:r>
            <w:r>
              <w:fldChar w:fldCharType="begin"/>
            </w:r>
            <w:r>
              <w:instrText xml:space="preserve"> </w:instrText>
            </w:r>
            <w:r>
              <w:rPr>
                <w:rFonts w:hint="eastAsia"/>
              </w:rPr>
              <w:instrText xml:space="preserve">REF _Ref169714535 \h</w:instrText>
            </w:r>
            <w:r>
              <w:instrText xml:space="preserve"> </w:instrText>
            </w:r>
            <w:r>
              <w:fldChar w:fldCharType="separate"/>
            </w:r>
            <w:r>
              <w:rPr>
                <w:rFonts w:hint="eastAsia"/>
              </w:rPr>
              <w:t xml:space="preserve">表 </w:t>
            </w:r>
            <w:r>
              <w:t>4.2</w:t>
            </w:r>
            <w:r>
              <w:noBreakHyphen/>
            </w:r>
            <w:r>
              <w:t>2</w:t>
            </w:r>
            <w:r>
              <w:fldChar w:fldCharType="end"/>
            </w:r>
            <w:r>
              <w:rPr>
                <w:rFonts w:hint="eastAsia"/>
              </w:rPr>
              <w:t>。</w:t>
            </w:r>
          </w:p>
          <w:p>
            <w:pPr>
              <w:pStyle w:val="14"/>
              <w:keepNext/>
            </w:pPr>
            <w:bookmarkStart w:id="59" w:name="_Ref169714535"/>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59"/>
            <w:r>
              <w:rPr>
                <w:rFonts w:hint="eastAsia"/>
              </w:rPr>
              <w:t xml:space="preserve">   废气污染物产生量核算</w:t>
            </w:r>
          </w:p>
          <w:tbl>
            <w:tblPr>
              <w:tblStyle w:val="39"/>
              <w:tblW w:w="7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871"/>
              <w:gridCol w:w="871"/>
              <w:gridCol w:w="1220"/>
              <w:gridCol w:w="1796"/>
              <w:gridCol w:w="969"/>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 w:type="dxa"/>
                  <w:noWrap/>
                  <w:vAlign w:val="center"/>
                </w:tcPr>
                <w:p>
                  <w:pPr>
                    <w:pStyle w:val="63"/>
                    <w:rPr>
                      <w:rFonts w:cs="宋体"/>
                    </w:rPr>
                  </w:pPr>
                  <w:r>
                    <w:rPr>
                      <w:rFonts w:hint="eastAsia"/>
                    </w:rPr>
                    <w:t>污染物</w:t>
                  </w:r>
                </w:p>
              </w:tc>
              <w:tc>
                <w:tcPr>
                  <w:tcW w:w="871" w:type="dxa"/>
                  <w:noWrap/>
                  <w:vAlign w:val="center"/>
                </w:tcPr>
                <w:p>
                  <w:pPr>
                    <w:pStyle w:val="63"/>
                  </w:pPr>
                  <w:r>
                    <w:rPr>
                      <w:rFonts w:hint="eastAsia"/>
                    </w:rPr>
                    <w:t>进水cod</w:t>
                  </w:r>
                </w:p>
              </w:tc>
              <w:tc>
                <w:tcPr>
                  <w:tcW w:w="871" w:type="dxa"/>
                  <w:noWrap/>
                  <w:vAlign w:val="center"/>
                </w:tcPr>
                <w:p>
                  <w:pPr>
                    <w:pStyle w:val="63"/>
                  </w:pPr>
                  <w:r>
                    <w:rPr>
                      <w:rFonts w:hint="eastAsia"/>
                    </w:rPr>
                    <w:t>出水cod</w:t>
                  </w:r>
                </w:p>
              </w:tc>
              <w:tc>
                <w:tcPr>
                  <w:tcW w:w="1220" w:type="dxa"/>
                  <w:noWrap/>
                  <w:vAlign w:val="center"/>
                </w:tcPr>
                <w:p>
                  <w:pPr>
                    <w:pStyle w:val="63"/>
                  </w:pPr>
                  <w:r>
                    <w:rPr>
                      <w:rFonts w:hint="eastAsia"/>
                    </w:rPr>
                    <w:t>削减cod kg/a</w:t>
                  </w:r>
                </w:p>
              </w:tc>
              <w:tc>
                <w:tcPr>
                  <w:tcW w:w="1796" w:type="dxa"/>
                  <w:noWrap/>
                  <w:vAlign w:val="center"/>
                </w:tcPr>
                <w:p>
                  <w:pPr>
                    <w:pStyle w:val="63"/>
                  </w:pPr>
                  <w:r>
                    <w:rPr>
                      <w:rFonts w:hint="eastAsia"/>
                    </w:rPr>
                    <w:t>产生系数mg/kgCOD</w:t>
                  </w:r>
                </w:p>
              </w:tc>
              <w:tc>
                <w:tcPr>
                  <w:tcW w:w="969" w:type="dxa"/>
                  <w:noWrap/>
                  <w:vAlign w:val="center"/>
                </w:tcPr>
                <w:p>
                  <w:pPr>
                    <w:pStyle w:val="63"/>
                  </w:pPr>
                  <w:r>
                    <w:rPr>
                      <w:rFonts w:hint="eastAsia"/>
                    </w:rPr>
                    <w:t>产生量t/a</w:t>
                  </w:r>
                </w:p>
              </w:tc>
              <w:tc>
                <w:tcPr>
                  <w:tcW w:w="1284" w:type="dxa"/>
                  <w:noWrap/>
                  <w:vAlign w:val="center"/>
                </w:tcPr>
                <w:p>
                  <w:pPr>
                    <w:pStyle w:val="63"/>
                  </w:pPr>
                  <w:r>
                    <w:rPr>
                      <w:rFonts w:hint="eastAsia"/>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 w:type="dxa"/>
                  <w:noWrap/>
                  <w:vAlign w:val="center"/>
                </w:tcPr>
                <w:p>
                  <w:pPr>
                    <w:pStyle w:val="63"/>
                  </w:pPr>
                  <w:r>
                    <w:rPr>
                      <w:rFonts w:hint="eastAsia"/>
                    </w:rPr>
                    <w:t>氨</w:t>
                  </w:r>
                </w:p>
              </w:tc>
              <w:tc>
                <w:tcPr>
                  <w:tcW w:w="871" w:type="dxa"/>
                  <w:vMerge w:val="restart"/>
                  <w:noWrap/>
                  <w:vAlign w:val="center"/>
                </w:tcPr>
                <w:p>
                  <w:pPr>
                    <w:pStyle w:val="63"/>
                  </w:pPr>
                  <w:r>
                    <w:rPr>
                      <w:rFonts w:hint="eastAsia"/>
                    </w:rPr>
                    <w:t>500</w:t>
                  </w:r>
                </w:p>
              </w:tc>
              <w:tc>
                <w:tcPr>
                  <w:tcW w:w="871" w:type="dxa"/>
                  <w:vMerge w:val="restart"/>
                  <w:noWrap/>
                  <w:vAlign w:val="center"/>
                </w:tcPr>
                <w:p>
                  <w:pPr>
                    <w:pStyle w:val="63"/>
                  </w:pPr>
                  <w:r>
                    <w:rPr>
                      <w:rFonts w:hint="eastAsia"/>
                    </w:rPr>
                    <w:t>50</w:t>
                  </w:r>
                </w:p>
              </w:tc>
              <w:tc>
                <w:tcPr>
                  <w:tcW w:w="1220" w:type="dxa"/>
                  <w:vMerge w:val="restart"/>
                  <w:noWrap/>
                  <w:vAlign w:val="center"/>
                </w:tcPr>
                <w:p>
                  <w:pPr>
                    <w:pStyle w:val="63"/>
                  </w:pPr>
                  <w:r>
                    <w:rPr>
                      <w:rFonts w:hint="eastAsia"/>
                    </w:rPr>
                    <w:t>1642500</w:t>
                  </w:r>
                </w:p>
              </w:tc>
              <w:tc>
                <w:tcPr>
                  <w:tcW w:w="1796" w:type="dxa"/>
                  <w:noWrap/>
                  <w:vAlign w:val="center"/>
                </w:tcPr>
                <w:p>
                  <w:pPr>
                    <w:pStyle w:val="63"/>
                  </w:pPr>
                  <w:r>
                    <w:rPr>
                      <w:rFonts w:hint="eastAsia"/>
                    </w:rPr>
                    <w:t>102.353</w:t>
                  </w:r>
                </w:p>
              </w:tc>
              <w:tc>
                <w:tcPr>
                  <w:tcW w:w="969" w:type="dxa"/>
                  <w:noWrap/>
                  <w:vAlign w:val="center"/>
                </w:tcPr>
                <w:p>
                  <w:pPr>
                    <w:pStyle w:val="63"/>
                  </w:pPr>
                  <w:r>
                    <w:rPr>
                      <w:rFonts w:hint="eastAsia"/>
                    </w:rPr>
                    <w:t>0.168</w:t>
                  </w:r>
                </w:p>
              </w:tc>
              <w:tc>
                <w:tcPr>
                  <w:tcW w:w="1284" w:type="dxa"/>
                  <w:noWrap/>
                  <w:vAlign w:val="center"/>
                </w:tcPr>
                <w:p>
                  <w:pPr>
                    <w:pStyle w:val="63"/>
                  </w:pPr>
                  <w:r>
                    <w:rPr>
                      <w:rFonts w:hint="eastAsia"/>
                    </w:rPr>
                    <w:t>0.0192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 w:type="dxa"/>
                  <w:noWrap/>
                  <w:vAlign w:val="center"/>
                </w:tcPr>
                <w:p>
                  <w:pPr>
                    <w:pStyle w:val="63"/>
                  </w:pPr>
                  <w:r>
                    <w:rPr>
                      <w:rFonts w:hint="eastAsia"/>
                    </w:rPr>
                    <w:t>硫化氢</w:t>
                  </w:r>
                </w:p>
              </w:tc>
              <w:tc>
                <w:tcPr>
                  <w:tcW w:w="871" w:type="dxa"/>
                  <w:vMerge w:val="continue"/>
                  <w:noWrap/>
                  <w:vAlign w:val="center"/>
                </w:tcPr>
                <w:p>
                  <w:pPr>
                    <w:pStyle w:val="63"/>
                  </w:pPr>
                </w:p>
              </w:tc>
              <w:tc>
                <w:tcPr>
                  <w:tcW w:w="871" w:type="dxa"/>
                  <w:vMerge w:val="continue"/>
                  <w:noWrap/>
                  <w:vAlign w:val="center"/>
                </w:tcPr>
                <w:p>
                  <w:pPr>
                    <w:pStyle w:val="63"/>
                    <w:rPr>
                      <w:rFonts w:eastAsia="Times New Roman" w:cs="Times New Roman"/>
                      <w:sz w:val="20"/>
                      <w:szCs w:val="20"/>
                    </w:rPr>
                  </w:pPr>
                </w:p>
              </w:tc>
              <w:tc>
                <w:tcPr>
                  <w:tcW w:w="1220" w:type="dxa"/>
                  <w:vMerge w:val="continue"/>
                  <w:noWrap/>
                  <w:vAlign w:val="center"/>
                </w:tcPr>
                <w:p>
                  <w:pPr>
                    <w:pStyle w:val="63"/>
                    <w:rPr>
                      <w:rFonts w:eastAsia="Times New Roman" w:cs="Times New Roman"/>
                      <w:sz w:val="20"/>
                      <w:szCs w:val="20"/>
                    </w:rPr>
                  </w:pPr>
                </w:p>
              </w:tc>
              <w:tc>
                <w:tcPr>
                  <w:tcW w:w="1796" w:type="dxa"/>
                  <w:noWrap/>
                  <w:vAlign w:val="center"/>
                </w:tcPr>
                <w:p>
                  <w:pPr>
                    <w:pStyle w:val="63"/>
                    <w:rPr>
                      <w:rFonts w:cs="宋体"/>
                    </w:rPr>
                  </w:pPr>
                  <w:r>
                    <w:rPr>
                      <w:rFonts w:hint="eastAsia"/>
                    </w:rPr>
                    <w:t>5.647</w:t>
                  </w:r>
                </w:p>
              </w:tc>
              <w:tc>
                <w:tcPr>
                  <w:tcW w:w="969" w:type="dxa"/>
                  <w:noWrap/>
                  <w:vAlign w:val="center"/>
                </w:tcPr>
                <w:p>
                  <w:pPr>
                    <w:pStyle w:val="63"/>
                  </w:pPr>
                  <w:r>
                    <w:rPr>
                      <w:rFonts w:hint="eastAsia"/>
                    </w:rPr>
                    <w:t>0.0093</w:t>
                  </w:r>
                </w:p>
              </w:tc>
              <w:tc>
                <w:tcPr>
                  <w:tcW w:w="1284" w:type="dxa"/>
                  <w:noWrap/>
                  <w:vAlign w:val="center"/>
                </w:tcPr>
                <w:p>
                  <w:pPr>
                    <w:pStyle w:val="63"/>
                  </w:pPr>
                  <w:r>
                    <w:rPr>
                      <w:rFonts w:hint="eastAsia"/>
                    </w:rPr>
                    <w:t>0.0011</w:t>
                  </w:r>
                </w:p>
              </w:tc>
            </w:tr>
          </w:tbl>
          <w:p>
            <w:pPr>
              <w:pStyle w:val="5"/>
              <w:ind w:firstLine="480"/>
            </w:pPr>
            <w:r>
              <w:rPr>
                <w:rFonts w:hint="eastAsia"/>
              </w:rPr>
              <w:t>污水调节池和粗格栅地下式设计，沉砂池、水解酸化池、AAO生物池（缺氧和厌氧段）、事故池和储泥池加盖封闭，盖顶设置废气收集口，污泥脱水间脱水设施设置废气收集口，根据《室外排水设计标准》（GB50014-2021）要求进行负压收集，收集效率按90%计，收集废气量核算见</w:t>
            </w:r>
            <w:r>
              <w:fldChar w:fldCharType="begin"/>
            </w:r>
            <w:r>
              <w:instrText xml:space="preserve"> </w:instrText>
            </w:r>
            <w:r>
              <w:rPr>
                <w:rFonts w:hint="eastAsia"/>
              </w:rPr>
              <w:instrText xml:space="preserve">REF _Ref170135416 \h</w:instrText>
            </w:r>
            <w:r>
              <w:instrText xml:space="preserve"> </w:instrText>
            </w:r>
            <w:r>
              <w:fldChar w:fldCharType="separate"/>
            </w:r>
            <w:r>
              <w:t>表 4.2</w:t>
            </w:r>
            <w:r>
              <w:noBreakHyphen/>
            </w:r>
            <w:r>
              <w:t>3</w:t>
            </w:r>
            <w:r>
              <w:fldChar w:fldCharType="end"/>
            </w:r>
            <w:r>
              <w:rPr>
                <w:rFonts w:hint="eastAsia"/>
              </w:rPr>
              <w:t>。收集臭气通过管道送入1套生物除臭设施（处理规模20000m</w:t>
            </w:r>
            <w:r>
              <w:rPr>
                <w:rFonts w:hint="eastAsia"/>
                <w:vertAlign w:val="superscript"/>
              </w:rPr>
              <w:t>3</w:t>
            </w:r>
            <w:r>
              <w:rPr>
                <w:rFonts w:hint="eastAsia"/>
              </w:rPr>
              <w:t>/h，处理效率60%考虑）处理后15m排气筒（DA001）排放。</w:t>
            </w:r>
          </w:p>
        </w:tc>
      </w:tr>
    </w:tbl>
    <w:p>
      <w:pPr>
        <w:adjustRightInd w:val="0"/>
        <w:snapToGrid w:val="0"/>
        <w:spacing w:line="360" w:lineRule="auto"/>
        <w:rPr>
          <w:rFonts w:ascii="宋体" w:cs="宋体"/>
          <w:b/>
          <w:kern w:val="0"/>
          <w:sz w:val="28"/>
          <w:szCs w:val="28"/>
        </w:rPr>
      </w:pPr>
      <w:r>
        <w:rPr>
          <w:rFonts w:hint="eastAsia" w:ascii="宋体" w:cs="宋体"/>
          <w:b/>
          <w:kern w:val="0"/>
          <w:sz w:val="28"/>
          <w:szCs w:val="28"/>
        </w:rPr>
        <w:t xml:space="preserve"> </w:t>
      </w:r>
    </w:p>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14"/>
        <w:keepNext/>
      </w:pPr>
      <w:bookmarkStart w:id="60" w:name="_Ref170135416"/>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3</w:t>
      </w:r>
      <w:r>
        <w:fldChar w:fldCharType="end"/>
      </w:r>
      <w:bookmarkEnd w:id="60"/>
      <w:r>
        <w:rPr>
          <w:rFonts w:hint="eastAsia"/>
        </w:rPr>
        <w:t xml:space="preserve">   收集废气量核算一览表</w:t>
      </w:r>
    </w:p>
    <w:tbl>
      <w:tblPr>
        <w:tblStyle w:val="39"/>
        <w:tblW w:w="13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890"/>
        <w:gridCol w:w="689"/>
        <w:gridCol w:w="687"/>
        <w:gridCol w:w="1053"/>
        <w:gridCol w:w="634"/>
        <w:gridCol w:w="1053"/>
        <w:gridCol w:w="1131"/>
        <w:gridCol w:w="1053"/>
        <w:gridCol w:w="1053"/>
        <w:gridCol w:w="814"/>
        <w:gridCol w:w="874"/>
        <w:gridCol w:w="835"/>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vMerge w:val="restart"/>
            <w:vAlign w:val="center"/>
          </w:tcPr>
          <w:p>
            <w:pPr>
              <w:pStyle w:val="63"/>
            </w:pPr>
            <w:r>
              <w:rPr>
                <w:rFonts w:hint="eastAsia"/>
              </w:rPr>
              <w:t>序号</w:t>
            </w:r>
          </w:p>
        </w:tc>
        <w:tc>
          <w:tcPr>
            <w:tcW w:w="1890" w:type="dxa"/>
            <w:vMerge w:val="restart"/>
            <w:noWrap/>
            <w:vAlign w:val="center"/>
          </w:tcPr>
          <w:p>
            <w:pPr>
              <w:pStyle w:val="63"/>
            </w:pPr>
            <w:r>
              <w:rPr>
                <w:rFonts w:hint="eastAsia"/>
              </w:rPr>
              <w:t>构筑物名称</w:t>
            </w:r>
          </w:p>
        </w:tc>
        <w:tc>
          <w:tcPr>
            <w:tcW w:w="1376" w:type="dxa"/>
            <w:gridSpan w:val="2"/>
            <w:noWrap/>
            <w:vAlign w:val="center"/>
          </w:tcPr>
          <w:p>
            <w:pPr>
              <w:pStyle w:val="63"/>
            </w:pPr>
            <w:r>
              <w:rPr>
                <w:rFonts w:hint="eastAsia"/>
              </w:rPr>
              <w:t>水面尺寸</w:t>
            </w:r>
          </w:p>
        </w:tc>
        <w:tc>
          <w:tcPr>
            <w:tcW w:w="1053" w:type="dxa"/>
            <w:noWrap/>
            <w:vAlign w:val="center"/>
          </w:tcPr>
          <w:p>
            <w:pPr>
              <w:pStyle w:val="63"/>
            </w:pPr>
            <w:r>
              <w:rPr>
                <w:rFonts w:hint="eastAsia"/>
              </w:rPr>
              <w:t>水面离</w:t>
            </w:r>
          </w:p>
          <w:p>
            <w:pPr>
              <w:pStyle w:val="63"/>
            </w:pPr>
            <w:r>
              <w:rPr>
                <w:rFonts w:hint="eastAsia"/>
              </w:rPr>
              <w:t>池顶高度</w:t>
            </w:r>
          </w:p>
        </w:tc>
        <w:tc>
          <w:tcPr>
            <w:tcW w:w="634" w:type="dxa"/>
            <w:noWrap/>
            <w:vAlign w:val="center"/>
          </w:tcPr>
          <w:p>
            <w:pPr>
              <w:pStyle w:val="63"/>
            </w:pPr>
            <w:r>
              <w:rPr>
                <w:rFonts w:hint="eastAsia"/>
              </w:rPr>
              <w:t>数量</w:t>
            </w:r>
          </w:p>
        </w:tc>
        <w:tc>
          <w:tcPr>
            <w:tcW w:w="1053" w:type="dxa"/>
            <w:noWrap/>
            <w:vAlign w:val="center"/>
          </w:tcPr>
          <w:p>
            <w:pPr>
              <w:pStyle w:val="63"/>
            </w:pPr>
            <w:r>
              <w:rPr>
                <w:rFonts w:hint="eastAsia"/>
              </w:rPr>
              <w:t>水面面积</w:t>
            </w:r>
          </w:p>
        </w:tc>
        <w:tc>
          <w:tcPr>
            <w:tcW w:w="1131" w:type="dxa"/>
            <w:vAlign w:val="center"/>
          </w:tcPr>
          <w:p>
            <w:pPr>
              <w:pStyle w:val="63"/>
            </w:pPr>
            <w:r>
              <w:rPr>
                <w:rFonts w:hint="eastAsia"/>
              </w:rPr>
              <w:t>臭气风量指标</w:t>
            </w:r>
          </w:p>
        </w:tc>
        <w:tc>
          <w:tcPr>
            <w:tcW w:w="1053" w:type="dxa"/>
            <w:noWrap/>
            <w:vAlign w:val="center"/>
          </w:tcPr>
          <w:p>
            <w:pPr>
              <w:pStyle w:val="63"/>
            </w:pPr>
            <w:r>
              <w:rPr>
                <w:rFonts w:hint="eastAsia"/>
              </w:rPr>
              <w:t>臭气风量</w:t>
            </w:r>
          </w:p>
        </w:tc>
        <w:tc>
          <w:tcPr>
            <w:tcW w:w="1053" w:type="dxa"/>
            <w:noWrap/>
            <w:vAlign w:val="center"/>
          </w:tcPr>
          <w:p>
            <w:pPr>
              <w:pStyle w:val="63"/>
            </w:pPr>
            <w:r>
              <w:rPr>
                <w:rFonts w:hint="eastAsia"/>
              </w:rPr>
              <w:t>收集空间</w:t>
            </w:r>
          </w:p>
        </w:tc>
        <w:tc>
          <w:tcPr>
            <w:tcW w:w="814" w:type="dxa"/>
            <w:noWrap/>
            <w:vAlign w:val="center"/>
          </w:tcPr>
          <w:p>
            <w:pPr>
              <w:pStyle w:val="63"/>
            </w:pPr>
            <w:r>
              <w:rPr>
                <w:rFonts w:hint="eastAsia"/>
              </w:rPr>
              <w:t>换气次数</w:t>
            </w:r>
          </w:p>
        </w:tc>
        <w:tc>
          <w:tcPr>
            <w:tcW w:w="874" w:type="dxa"/>
            <w:vAlign w:val="center"/>
          </w:tcPr>
          <w:p>
            <w:pPr>
              <w:pStyle w:val="63"/>
            </w:pPr>
            <w:r>
              <w:rPr>
                <w:rFonts w:hint="eastAsia"/>
              </w:rPr>
              <w:t>增加臭气风量</w:t>
            </w:r>
          </w:p>
        </w:tc>
        <w:tc>
          <w:tcPr>
            <w:tcW w:w="835" w:type="dxa"/>
            <w:vMerge w:val="restart"/>
            <w:vAlign w:val="center"/>
          </w:tcPr>
          <w:p>
            <w:pPr>
              <w:pStyle w:val="63"/>
            </w:pPr>
            <w:r>
              <w:rPr>
                <w:rFonts w:hint="eastAsia"/>
              </w:rPr>
              <w:t>10%漏风系数</w:t>
            </w:r>
          </w:p>
        </w:tc>
        <w:tc>
          <w:tcPr>
            <w:tcW w:w="809" w:type="dxa"/>
            <w:noWrap/>
            <w:vAlign w:val="center"/>
          </w:tcPr>
          <w:p>
            <w:pPr>
              <w:pStyle w:val="63"/>
            </w:pPr>
            <w:r>
              <w:rPr>
                <w:rFonts w:hint="eastAsia"/>
              </w:rPr>
              <w:t>设计风量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vMerge w:val="continue"/>
            <w:vAlign w:val="center"/>
          </w:tcPr>
          <w:p>
            <w:pPr>
              <w:pStyle w:val="63"/>
            </w:pPr>
          </w:p>
        </w:tc>
        <w:tc>
          <w:tcPr>
            <w:tcW w:w="1890" w:type="dxa"/>
            <w:vMerge w:val="continue"/>
            <w:vAlign w:val="center"/>
          </w:tcPr>
          <w:p>
            <w:pPr>
              <w:pStyle w:val="63"/>
            </w:pPr>
          </w:p>
        </w:tc>
        <w:tc>
          <w:tcPr>
            <w:tcW w:w="689" w:type="dxa"/>
            <w:noWrap/>
            <w:vAlign w:val="center"/>
          </w:tcPr>
          <w:p>
            <w:pPr>
              <w:pStyle w:val="63"/>
            </w:pPr>
            <w:r>
              <w:rPr>
                <w:rFonts w:hint="eastAsia"/>
              </w:rPr>
              <w:t>长</w:t>
            </w:r>
          </w:p>
          <w:p>
            <w:pPr>
              <w:pStyle w:val="63"/>
            </w:pPr>
            <w:r>
              <w:rPr>
                <w:rFonts w:hint="eastAsia"/>
              </w:rPr>
              <w:t>m</w:t>
            </w:r>
          </w:p>
        </w:tc>
        <w:tc>
          <w:tcPr>
            <w:tcW w:w="687" w:type="dxa"/>
            <w:noWrap/>
            <w:vAlign w:val="center"/>
          </w:tcPr>
          <w:p>
            <w:pPr>
              <w:pStyle w:val="63"/>
            </w:pPr>
            <w:r>
              <w:rPr>
                <w:rFonts w:hint="eastAsia"/>
              </w:rPr>
              <w:t>宽</w:t>
            </w:r>
          </w:p>
          <w:p>
            <w:pPr>
              <w:pStyle w:val="63"/>
            </w:pPr>
            <w:r>
              <w:rPr>
                <w:rFonts w:hint="eastAsia"/>
              </w:rPr>
              <w:t>m</w:t>
            </w:r>
          </w:p>
        </w:tc>
        <w:tc>
          <w:tcPr>
            <w:tcW w:w="1053" w:type="dxa"/>
            <w:noWrap/>
            <w:vAlign w:val="center"/>
          </w:tcPr>
          <w:p>
            <w:pPr>
              <w:pStyle w:val="63"/>
            </w:pPr>
            <w:r>
              <w:rPr>
                <w:rFonts w:hint="eastAsia"/>
              </w:rPr>
              <w:t>m</w:t>
            </w:r>
          </w:p>
        </w:tc>
        <w:tc>
          <w:tcPr>
            <w:tcW w:w="634" w:type="dxa"/>
            <w:noWrap/>
            <w:vAlign w:val="center"/>
          </w:tcPr>
          <w:p>
            <w:pPr>
              <w:pStyle w:val="63"/>
            </w:pPr>
            <w:r>
              <w:rPr>
                <w:rFonts w:hint="eastAsia"/>
              </w:rPr>
              <w:t>个</w:t>
            </w:r>
          </w:p>
        </w:tc>
        <w:tc>
          <w:tcPr>
            <w:tcW w:w="1053" w:type="dxa"/>
            <w:noWrap/>
            <w:vAlign w:val="center"/>
          </w:tcPr>
          <w:p>
            <w:pPr>
              <w:pStyle w:val="63"/>
            </w:pPr>
            <w:r>
              <w:rPr>
                <w:rFonts w:hint="eastAsia"/>
              </w:rPr>
              <w:t>m</w:t>
            </w:r>
            <w:r>
              <w:rPr>
                <w:rFonts w:hint="eastAsia"/>
                <w:vertAlign w:val="superscript"/>
              </w:rPr>
              <w:t>2</w:t>
            </w:r>
          </w:p>
        </w:tc>
        <w:tc>
          <w:tcPr>
            <w:tcW w:w="1131" w:type="dxa"/>
            <w:noWrap/>
            <w:vAlign w:val="center"/>
          </w:tcPr>
          <w:p>
            <w:pPr>
              <w:pStyle w:val="63"/>
            </w:pPr>
            <w:r>
              <w:rPr>
                <w:rFonts w:hint="eastAsia"/>
              </w:rPr>
              <w:t>m</w:t>
            </w:r>
            <w:r>
              <w:rPr>
                <w:rFonts w:hint="eastAsia"/>
                <w:vertAlign w:val="superscript"/>
              </w:rPr>
              <w:t>3</w:t>
            </w:r>
            <w:r>
              <w:rPr>
                <w:rFonts w:hint="eastAsia"/>
              </w:rPr>
              <w:t>/(m</w:t>
            </w:r>
            <w:r>
              <w:rPr>
                <w:rFonts w:hint="eastAsia"/>
                <w:vertAlign w:val="superscript"/>
              </w:rPr>
              <w:t>2</w:t>
            </w:r>
            <m:oMath>
              <m:r>
                <w:rPr>
                  <w:rFonts w:ascii="Cambria Math" w:hAnsi="Cambria Math" w:eastAsia="MS Gothic" w:cs="MS Gothic"/>
                </w:rPr>
                <m:t>×</m:t>
              </m:r>
            </m:oMath>
            <w:r>
              <w:rPr>
                <w:rFonts w:hint="eastAsia"/>
              </w:rPr>
              <w:t>h)</w:t>
            </w:r>
          </w:p>
        </w:tc>
        <w:tc>
          <w:tcPr>
            <w:tcW w:w="1053" w:type="dxa"/>
            <w:noWrap/>
            <w:vAlign w:val="center"/>
          </w:tcPr>
          <w:p>
            <w:pPr>
              <w:pStyle w:val="63"/>
            </w:pPr>
            <w:r>
              <w:rPr>
                <w:rFonts w:hint="eastAsia"/>
              </w:rPr>
              <w:t>m</w:t>
            </w:r>
            <w:r>
              <w:rPr>
                <w:rFonts w:hint="eastAsia"/>
                <w:vertAlign w:val="superscript"/>
              </w:rPr>
              <w:t>3</w:t>
            </w:r>
            <w:r>
              <w:rPr>
                <w:rFonts w:hint="eastAsia"/>
              </w:rPr>
              <w:t>/h</w:t>
            </w:r>
          </w:p>
        </w:tc>
        <w:tc>
          <w:tcPr>
            <w:tcW w:w="1053" w:type="dxa"/>
            <w:noWrap/>
            <w:vAlign w:val="center"/>
          </w:tcPr>
          <w:p>
            <w:pPr>
              <w:pStyle w:val="63"/>
            </w:pPr>
            <w:r>
              <w:rPr>
                <w:rFonts w:hint="eastAsia"/>
              </w:rPr>
              <w:t>m</w:t>
            </w:r>
            <w:r>
              <w:rPr>
                <w:rFonts w:hint="eastAsia"/>
                <w:vertAlign w:val="superscript"/>
              </w:rPr>
              <w:t>3</w:t>
            </w:r>
          </w:p>
        </w:tc>
        <w:tc>
          <w:tcPr>
            <w:tcW w:w="814" w:type="dxa"/>
            <w:noWrap/>
            <w:vAlign w:val="center"/>
          </w:tcPr>
          <w:p>
            <w:pPr>
              <w:pStyle w:val="63"/>
            </w:pPr>
            <w:r>
              <w:rPr>
                <w:rFonts w:hint="eastAsia"/>
              </w:rPr>
              <w:t>次/h</w:t>
            </w:r>
          </w:p>
        </w:tc>
        <w:tc>
          <w:tcPr>
            <w:tcW w:w="874" w:type="dxa"/>
            <w:noWrap/>
            <w:vAlign w:val="center"/>
          </w:tcPr>
          <w:p>
            <w:pPr>
              <w:pStyle w:val="63"/>
            </w:pPr>
            <w:r>
              <w:rPr>
                <w:rFonts w:hint="eastAsia"/>
              </w:rPr>
              <w:t>m</w:t>
            </w:r>
            <w:r>
              <w:rPr>
                <w:rFonts w:hint="eastAsia"/>
                <w:vertAlign w:val="superscript"/>
              </w:rPr>
              <w:t>3</w:t>
            </w:r>
            <w:r>
              <w:rPr>
                <w:rFonts w:hint="eastAsia"/>
              </w:rPr>
              <w:t>/h</w:t>
            </w:r>
          </w:p>
        </w:tc>
        <w:tc>
          <w:tcPr>
            <w:tcW w:w="835" w:type="dxa"/>
            <w:vMerge w:val="continue"/>
            <w:vAlign w:val="center"/>
          </w:tcPr>
          <w:p>
            <w:pPr>
              <w:pStyle w:val="63"/>
            </w:pPr>
          </w:p>
        </w:tc>
        <w:tc>
          <w:tcPr>
            <w:tcW w:w="809" w:type="dxa"/>
            <w:noWrap/>
            <w:vAlign w:val="center"/>
          </w:tcPr>
          <w:p>
            <w:pPr>
              <w:pStyle w:val="63"/>
            </w:pPr>
            <w:r>
              <w:rPr>
                <w:rFonts w:hint="eastAsia"/>
              </w:rPr>
              <w:t>m</w:t>
            </w:r>
            <w:r>
              <w:rPr>
                <w:rFonts w:hint="eastAsia"/>
                <w:vertAlign w:val="superscript"/>
              </w:rPr>
              <w:t>3</w:t>
            </w:r>
            <w:r>
              <w:rPr>
                <w:rFonts w:hint="eastAsia"/>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rPr>
                <w:b/>
                <w:bCs/>
              </w:rPr>
            </w:pPr>
          </w:p>
        </w:tc>
        <w:tc>
          <w:tcPr>
            <w:tcW w:w="12575" w:type="dxa"/>
            <w:gridSpan w:val="13"/>
            <w:noWrap/>
            <w:vAlign w:val="center"/>
          </w:tcPr>
          <w:p>
            <w:pPr>
              <w:pStyle w:val="63"/>
              <w:rPr>
                <w:b/>
                <w:bCs/>
              </w:rPr>
            </w:pPr>
            <w:r>
              <w:rPr>
                <w:rFonts w:hint="eastAsia"/>
                <w:b/>
                <w:bCs/>
              </w:rPr>
              <w:t>事故池、粗格栅及调节池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1</w:t>
            </w:r>
          </w:p>
        </w:tc>
        <w:tc>
          <w:tcPr>
            <w:tcW w:w="1890" w:type="dxa"/>
            <w:noWrap/>
            <w:vAlign w:val="center"/>
          </w:tcPr>
          <w:p>
            <w:pPr>
              <w:pStyle w:val="63"/>
            </w:pPr>
            <w:r>
              <w:rPr>
                <w:rFonts w:hint="eastAsia"/>
              </w:rPr>
              <w:t>事故池</w:t>
            </w:r>
          </w:p>
        </w:tc>
        <w:tc>
          <w:tcPr>
            <w:tcW w:w="689" w:type="dxa"/>
            <w:noWrap/>
            <w:vAlign w:val="center"/>
          </w:tcPr>
          <w:p>
            <w:pPr>
              <w:pStyle w:val="63"/>
            </w:pPr>
            <w:r>
              <w:rPr>
                <w:rFonts w:hint="eastAsia"/>
              </w:rPr>
              <w:t>30.00</w:t>
            </w:r>
          </w:p>
        </w:tc>
        <w:tc>
          <w:tcPr>
            <w:tcW w:w="687" w:type="dxa"/>
            <w:noWrap/>
            <w:vAlign w:val="center"/>
          </w:tcPr>
          <w:p>
            <w:pPr>
              <w:pStyle w:val="63"/>
            </w:pPr>
            <w:r>
              <w:rPr>
                <w:rFonts w:hint="eastAsia"/>
              </w:rPr>
              <w:t>20.0</w:t>
            </w:r>
          </w:p>
        </w:tc>
        <w:tc>
          <w:tcPr>
            <w:tcW w:w="1053" w:type="dxa"/>
            <w:noWrap/>
            <w:vAlign w:val="center"/>
          </w:tcPr>
          <w:p>
            <w:pPr>
              <w:pStyle w:val="63"/>
            </w:pPr>
            <w:r>
              <w:rPr>
                <w:rFonts w:hint="eastAsia"/>
              </w:rPr>
              <w:t>0.50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600</w:t>
            </w:r>
          </w:p>
        </w:tc>
        <w:tc>
          <w:tcPr>
            <w:tcW w:w="1131" w:type="dxa"/>
            <w:noWrap/>
            <w:vAlign w:val="center"/>
          </w:tcPr>
          <w:p>
            <w:pPr>
              <w:pStyle w:val="63"/>
            </w:pPr>
            <w:r>
              <w:rPr>
                <w:rFonts w:hint="eastAsia"/>
              </w:rPr>
              <w:t>3</w:t>
            </w:r>
          </w:p>
        </w:tc>
        <w:tc>
          <w:tcPr>
            <w:tcW w:w="1053" w:type="dxa"/>
            <w:noWrap/>
            <w:vAlign w:val="center"/>
          </w:tcPr>
          <w:p>
            <w:pPr>
              <w:pStyle w:val="63"/>
            </w:pPr>
            <w:r>
              <w:rPr>
                <w:rFonts w:hint="eastAsia"/>
              </w:rPr>
              <w:t>1800</w:t>
            </w:r>
          </w:p>
        </w:tc>
        <w:tc>
          <w:tcPr>
            <w:tcW w:w="1053" w:type="dxa"/>
            <w:noWrap/>
            <w:vAlign w:val="center"/>
          </w:tcPr>
          <w:p>
            <w:pPr>
              <w:pStyle w:val="63"/>
            </w:pPr>
            <w:r>
              <w:rPr>
                <w:rFonts w:hint="eastAsia"/>
              </w:rPr>
              <w:t>300.00</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600</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2640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2</w:t>
            </w:r>
          </w:p>
        </w:tc>
        <w:tc>
          <w:tcPr>
            <w:tcW w:w="1890" w:type="dxa"/>
            <w:noWrap/>
            <w:vAlign w:val="center"/>
          </w:tcPr>
          <w:p>
            <w:pPr>
              <w:pStyle w:val="63"/>
            </w:pPr>
            <w:r>
              <w:rPr>
                <w:rFonts w:hint="eastAsia"/>
              </w:rPr>
              <w:t>调节池</w:t>
            </w:r>
          </w:p>
        </w:tc>
        <w:tc>
          <w:tcPr>
            <w:tcW w:w="689" w:type="dxa"/>
            <w:noWrap/>
            <w:vAlign w:val="center"/>
          </w:tcPr>
          <w:p>
            <w:pPr>
              <w:pStyle w:val="63"/>
            </w:pPr>
            <w:r>
              <w:rPr>
                <w:rFonts w:hint="eastAsia"/>
              </w:rPr>
              <w:t>26.00</w:t>
            </w:r>
          </w:p>
        </w:tc>
        <w:tc>
          <w:tcPr>
            <w:tcW w:w="687" w:type="dxa"/>
            <w:noWrap/>
            <w:vAlign w:val="center"/>
          </w:tcPr>
          <w:p>
            <w:pPr>
              <w:pStyle w:val="63"/>
            </w:pPr>
            <w:r>
              <w:rPr>
                <w:rFonts w:hint="eastAsia"/>
              </w:rPr>
              <w:t>20.0</w:t>
            </w:r>
          </w:p>
        </w:tc>
        <w:tc>
          <w:tcPr>
            <w:tcW w:w="1053" w:type="dxa"/>
            <w:noWrap/>
            <w:vAlign w:val="center"/>
          </w:tcPr>
          <w:p>
            <w:pPr>
              <w:pStyle w:val="63"/>
            </w:pPr>
            <w:r>
              <w:rPr>
                <w:rFonts w:hint="eastAsia"/>
              </w:rPr>
              <w:t>1.85</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520</w:t>
            </w:r>
          </w:p>
        </w:tc>
        <w:tc>
          <w:tcPr>
            <w:tcW w:w="1131" w:type="dxa"/>
            <w:noWrap/>
            <w:vAlign w:val="center"/>
          </w:tcPr>
          <w:p>
            <w:pPr>
              <w:pStyle w:val="63"/>
            </w:pPr>
            <w:r>
              <w:rPr>
                <w:rFonts w:hint="eastAsia"/>
              </w:rPr>
              <w:t>3</w:t>
            </w:r>
          </w:p>
        </w:tc>
        <w:tc>
          <w:tcPr>
            <w:tcW w:w="1053" w:type="dxa"/>
            <w:noWrap/>
            <w:vAlign w:val="center"/>
          </w:tcPr>
          <w:p>
            <w:pPr>
              <w:pStyle w:val="63"/>
            </w:pPr>
            <w:r>
              <w:rPr>
                <w:rFonts w:hint="eastAsia"/>
              </w:rPr>
              <w:t>1560</w:t>
            </w:r>
          </w:p>
        </w:tc>
        <w:tc>
          <w:tcPr>
            <w:tcW w:w="1053" w:type="dxa"/>
            <w:noWrap/>
            <w:vAlign w:val="center"/>
          </w:tcPr>
          <w:p>
            <w:pPr>
              <w:pStyle w:val="63"/>
            </w:pPr>
            <w:r>
              <w:rPr>
                <w:rFonts w:hint="eastAsia"/>
              </w:rPr>
              <w:t>962.00</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1924</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3840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3</w:t>
            </w:r>
          </w:p>
        </w:tc>
        <w:tc>
          <w:tcPr>
            <w:tcW w:w="1890" w:type="dxa"/>
            <w:noWrap/>
            <w:vAlign w:val="center"/>
          </w:tcPr>
          <w:p>
            <w:pPr>
              <w:pStyle w:val="63"/>
            </w:pPr>
            <w:r>
              <w:rPr>
                <w:rFonts w:hint="eastAsia"/>
              </w:rPr>
              <w:t>粗格栅进水端</w:t>
            </w:r>
          </w:p>
        </w:tc>
        <w:tc>
          <w:tcPr>
            <w:tcW w:w="689" w:type="dxa"/>
            <w:noWrap/>
            <w:vAlign w:val="center"/>
          </w:tcPr>
          <w:p>
            <w:pPr>
              <w:pStyle w:val="63"/>
            </w:pPr>
            <w:r>
              <w:rPr>
                <w:rFonts w:hint="eastAsia"/>
              </w:rPr>
              <w:t>2.00</w:t>
            </w:r>
          </w:p>
        </w:tc>
        <w:tc>
          <w:tcPr>
            <w:tcW w:w="687" w:type="dxa"/>
            <w:noWrap/>
            <w:vAlign w:val="center"/>
          </w:tcPr>
          <w:p>
            <w:pPr>
              <w:pStyle w:val="63"/>
            </w:pPr>
            <w:r>
              <w:rPr>
                <w:rFonts w:hint="eastAsia"/>
              </w:rPr>
              <w:t>1.00</w:t>
            </w:r>
          </w:p>
        </w:tc>
        <w:tc>
          <w:tcPr>
            <w:tcW w:w="1053" w:type="dxa"/>
            <w:noWrap/>
            <w:vAlign w:val="center"/>
          </w:tcPr>
          <w:p>
            <w:pPr>
              <w:pStyle w:val="63"/>
            </w:pPr>
            <w:r>
              <w:rPr>
                <w:rFonts w:hint="eastAsia"/>
              </w:rPr>
              <w:t>3.25</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2</w:t>
            </w:r>
          </w:p>
        </w:tc>
        <w:tc>
          <w:tcPr>
            <w:tcW w:w="1131" w:type="dxa"/>
            <w:noWrap/>
            <w:vAlign w:val="center"/>
          </w:tcPr>
          <w:p>
            <w:pPr>
              <w:pStyle w:val="63"/>
            </w:pPr>
            <w:r>
              <w:rPr>
                <w:rFonts w:hint="eastAsia"/>
              </w:rPr>
              <w:t>10</w:t>
            </w:r>
          </w:p>
        </w:tc>
        <w:tc>
          <w:tcPr>
            <w:tcW w:w="1053" w:type="dxa"/>
            <w:noWrap/>
            <w:vAlign w:val="center"/>
          </w:tcPr>
          <w:p>
            <w:pPr>
              <w:pStyle w:val="63"/>
            </w:pPr>
            <w:r>
              <w:rPr>
                <w:rFonts w:hint="eastAsia"/>
              </w:rPr>
              <w:t>20</w:t>
            </w:r>
          </w:p>
        </w:tc>
        <w:tc>
          <w:tcPr>
            <w:tcW w:w="1053" w:type="dxa"/>
            <w:noWrap/>
            <w:vAlign w:val="center"/>
          </w:tcPr>
          <w:p>
            <w:pPr>
              <w:pStyle w:val="63"/>
            </w:pPr>
            <w:r>
              <w:rPr>
                <w:rFonts w:hint="eastAsia"/>
              </w:rPr>
              <w:t>6.50</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13</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4</w:t>
            </w:r>
          </w:p>
        </w:tc>
        <w:tc>
          <w:tcPr>
            <w:tcW w:w="1890" w:type="dxa"/>
            <w:noWrap/>
            <w:vAlign w:val="center"/>
          </w:tcPr>
          <w:p>
            <w:pPr>
              <w:pStyle w:val="63"/>
            </w:pPr>
            <w:r>
              <w:rPr>
                <w:rFonts w:hint="eastAsia"/>
              </w:rPr>
              <w:t>粗格栅出水端</w:t>
            </w:r>
          </w:p>
        </w:tc>
        <w:tc>
          <w:tcPr>
            <w:tcW w:w="689" w:type="dxa"/>
            <w:noWrap/>
            <w:vAlign w:val="center"/>
          </w:tcPr>
          <w:p>
            <w:pPr>
              <w:pStyle w:val="63"/>
            </w:pPr>
            <w:r>
              <w:rPr>
                <w:rFonts w:hint="eastAsia"/>
              </w:rPr>
              <w:t>2.00</w:t>
            </w:r>
          </w:p>
        </w:tc>
        <w:tc>
          <w:tcPr>
            <w:tcW w:w="687" w:type="dxa"/>
            <w:noWrap/>
            <w:vAlign w:val="center"/>
          </w:tcPr>
          <w:p>
            <w:pPr>
              <w:pStyle w:val="63"/>
            </w:pPr>
            <w:r>
              <w:rPr>
                <w:rFonts w:hint="eastAsia"/>
              </w:rPr>
              <w:t>1.00</w:t>
            </w:r>
          </w:p>
        </w:tc>
        <w:tc>
          <w:tcPr>
            <w:tcW w:w="1053" w:type="dxa"/>
            <w:noWrap/>
            <w:vAlign w:val="center"/>
          </w:tcPr>
          <w:p>
            <w:pPr>
              <w:pStyle w:val="63"/>
            </w:pPr>
            <w:r>
              <w:rPr>
                <w:rFonts w:hint="eastAsia"/>
              </w:rPr>
              <w:t>3.70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2</w:t>
            </w:r>
          </w:p>
        </w:tc>
        <w:tc>
          <w:tcPr>
            <w:tcW w:w="1131" w:type="dxa"/>
            <w:noWrap/>
            <w:vAlign w:val="center"/>
          </w:tcPr>
          <w:p>
            <w:pPr>
              <w:pStyle w:val="63"/>
            </w:pPr>
            <w:r>
              <w:rPr>
                <w:rFonts w:hint="eastAsia"/>
              </w:rPr>
              <w:t>10</w:t>
            </w:r>
          </w:p>
        </w:tc>
        <w:tc>
          <w:tcPr>
            <w:tcW w:w="1053" w:type="dxa"/>
            <w:noWrap/>
            <w:vAlign w:val="center"/>
          </w:tcPr>
          <w:p>
            <w:pPr>
              <w:pStyle w:val="63"/>
            </w:pPr>
            <w:r>
              <w:rPr>
                <w:rFonts w:hint="eastAsia"/>
              </w:rPr>
              <w:t>20</w:t>
            </w:r>
          </w:p>
        </w:tc>
        <w:tc>
          <w:tcPr>
            <w:tcW w:w="1053" w:type="dxa"/>
            <w:noWrap/>
            <w:vAlign w:val="center"/>
          </w:tcPr>
          <w:p>
            <w:pPr>
              <w:pStyle w:val="63"/>
            </w:pPr>
            <w:r>
              <w:rPr>
                <w:rFonts w:hint="eastAsia"/>
              </w:rPr>
              <w:t>7.40</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15</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5</w:t>
            </w:r>
          </w:p>
        </w:tc>
        <w:tc>
          <w:tcPr>
            <w:tcW w:w="1890" w:type="dxa"/>
            <w:noWrap/>
            <w:vAlign w:val="center"/>
          </w:tcPr>
          <w:p>
            <w:pPr>
              <w:pStyle w:val="63"/>
            </w:pPr>
            <w:r>
              <w:rPr>
                <w:rFonts w:hint="eastAsia"/>
              </w:rPr>
              <w:t>粗格栅罩</w:t>
            </w:r>
          </w:p>
        </w:tc>
        <w:tc>
          <w:tcPr>
            <w:tcW w:w="689" w:type="dxa"/>
            <w:noWrap/>
            <w:vAlign w:val="center"/>
          </w:tcPr>
          <w:p>
            <w:pPr>
              <w:pStyle w:val="63"/>
            </w:pPr>
            <w:r>
              <w:rPr>
                <w:rFonts w:hint="eastAsia"/>
              </w:rPr>
              <w:t>2.85</w:t>
            </w:r>
          </w:p>
        </w:tc>
        <w:tc>
          <w:tcPr>
            <w:tcW w:w="687" w:type="dxa"/>
            <w:noWrap/>
            <w:vAlign w:val="center"/>
          </w:tcPr>
          <w:p>
            <w:pPr>
              <w:pStyle w:val="63"/>
            </w:pPr>
            <w:r>
              <w:rPr>
                <w:rFonts w:hint="eastAsia"/>
              </w:rPr>
              <w:t>2.80</w:t>
            </w:r>
          </w:p>
        </w:tc>
        <w:tc>
          <w:tcPr>
            <w:tcW w:w="1053" w:type="dxa"/>
            <w:noWrap/>
            <w:vAlign w:val="center"/>
          </w:tcPr>
          <w:p>
            <w:pPr>
              <w:pStyle w:val="63"/>
            </w:pPr>
            <w:r>
              <w:rPr>
                <w:rFonts w:hint="eastAsia"/>
              </w:rPr>
              <w:t>3.00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8</w:t>
            </w:r>
          </w:p>
        </w:tc>
        <w:tc>
          <w:tcPr>
            <w:tcW w:w="1131" w:type="dxa"/>
            <w:noWrap/>
            <w:vAlign w:val="center"/>
          </w:tcPr>
          <w:p>
            <w:pPr>
              <w:pStyle w:val="63"/>
            </w:pPr>
            <w:r>
              <w:rPr>
                <w:rFonts w:hint="eastAsia"/>
              </w:rPr>
              <w:t>0</w:t>
            </w:r>
          </w:p>
        </w:tc>
        <w:tc>
          <w:tcPr>
            <w:tcW w:w="1053" w:type="dxa"/>
            <w:noWrap/>
            <w:vAlign w:val="center"/>
          </w:tcPr>
          <w:p>
            <w:pPr>
              <w:pStyle w:val="63"/>
            </w:pPr>
            <w:r>
              <w:rPr>
                <w:rFonts w:hint="eastAsia"/>
              </w:rPr>
              <w:t>0</w:t>
            </w:r>
          </w:p>
        </w:tc>
        <w:tc>
          <w:tcPr>
            <w:tcW w:w="1053" w:type="dxa"/>
            <w:noWrap/>
            <w:vAlign w:val="center"/>
          </w:tcPr>
          <w:p>
            <w:pPr>
              <w:pStyle w:val="63"/>
            </w:pPr>
            <w:r>
              <w:rPr>
                <w:rFonts w:hint="eastAsia"/>
              </w:rPr>
              <w:t>23.94</w:t>
            </w:r>
          </w:p>
        </w:tc>
        <w:tc>
          <w:tcPr>
            <w:tcW w:w="814" w:type="dxa"/>
            <w:noWrap/>
            <w:vAlign w:val="center"/>
          </w:tcPr>
          <w:p>
            <w:pPr>
              <w:pStyle w:val="63"/>
            </w:pPr>
            <w:r>
              <w:rPr>
                <w:rFonts w:hint="eastAsia"/>
              </w:rPr>
              <w:t>8</w:t>
            </w:r>
          </w:p>
        </w:tc>
        <w:tc>
          <w:tcPr>
            <w:tcW w:w="874" w:type="dxa"/>
            <w:noWrap/>
            <w:vAlign w:val="center"/>
          </w:tcPr>
          <w:p>
            <w:pPr>
              <w:pStyle w:val="63"/>
            </w:pPr>
            <w:r>
              <w:rPr>
                <w:rFonts w:hint="eastAsia"/>
              </w:rPr>
              <w:t>192</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6</w:t>
            </w:r>
          </w:p>
        </w:tc>
        <w:tc>
          <w:tcPr>
            <w:tcW w:w="1890" w:type="dxa"/>
            <w:noWrap/>
            <w:vAlign w:val="center"/>
          </w:tcPr>
          <w:p>
            <w:pPr>
              <w:pStyle w:val="63"/>
            </w:pPr>
            <w:r>
              <w:rPr>
                <w:rFonts w:hint="eastAsia"/>
              </w:rPr>
              <w:t>粗格栅</w:t>
            </w:r>
          </w:p>
        </w:tc>
        <w:tc>
          <w:tcPr>
            <w:tcW w:w="689" w:type="dxa"/>
            <w:noWrap/>
            <w:vAlign w:val="center"/>
          </w:tcPr>
          <w:p>
            <w:pPr>
              <w:pStyle w:val="63"/>
            </w:pPr>
            <w:r>
              <w:rPr>
                <w:rFonts w:hint="eastAsia"/>
              </w:rPr>
              <w:t>7.00</w:t>
            </w:r>
          </w:p>
        </w:tc>
        <w:tc>
          <w:tcPr>
            <w:tcW w:w="687" w:type="dxa"/>
            <w:noWrap/>
            <w:vAlign w:val="center"/>
          </w:tcPr>
          <w:p>
            <w:pPr>
              <w:pStyle w:val="63"/>
            </w:pPr>
            <w:r>
              <w:rPr>
                <w:rFonts w:hint="eastAsia"/>
              </w:rPr>
              <w:t>0.80</w:t>
            </w:r>
          </w:p>
        </w:tc>
        <w:tc>
          <w:tcPr>
            <w:tcW w:w="1053" w:type="dxa"/>
            <w:noWrap/>
            <w:vAlign w:val="center"/>
          </w:tcPr>
          <w:p>
            <w:pPr>
              <w:pStyle w:val="63"/>
            </w:pPr>
            <w:r>
              <w:rPr>
                <w:rFonts w:hint="eastAsia"/>
              </w:rPr>
              <w:t>3.55</w:t>
            </w:r>
          </w:p>
        </w:tc>
        <w:tc>
          <w:tcPr>
            <w:tcW w:w="634" w:type="dxa"/>
            <w:noWrap/>
            <w:vAlign w:val="center"/>
          </w:tcPr>
          <w:p>
            <w:pPr>
              <w:pStyle w:val="63"/>
            </w:pPr>
            <w:r>
              <w:rPr>
                <w:rFonts w:hint="eastAsia"/>
              </w:rPr>
              <w:t>2</w:t>
            </w:r>
          </w:p>
        </w:tc>
        <w:tc>
          <w:tcPr>
            <w:tcW w:w="1053" w:type="dxa"/>
            <w:noWrap/>
            <w:vAlign w:val="center"/>
          </w:tcPr>
          <w:p>
            <w:pPr>
              <w:pStyle w:val="63"/>
            </w:pPr>
            <w:r>
              <w:rPr>
                <w:rFonts w:hint="eastAsia"/>
              </w:rPr>
              <w:t>11</w:t>
            </w:r>
          </w:p>
        </w:tc>
        <w:tc>
          <w:tcPr>
            <w:tcW w:w="1131" w:type="dxa"/>
            <w:noWrap/>
            <w:vAlign w:val="center"/>
          </w:tcPr>
          <w:p>
            <w:pPr>
              <w:pStyle w:val="63"/>
            </w:pPr>
            <w:r>
              <w:rPr>
                <w:rFonts w:hint="eastAsia"/>
              </w:rPr>
              <w:t>10</w:t>
            </w:r>
          </w:p>
        </w:tc>
        <w:tc>
          <w:tcPr>
            <w:tcW w:w="1053" w:type="dxa"/>
            <w:noWrap/>
            <w:vAlign w:val="center"/>
          </w:tcPr>
          <w:p>
            <w:pPr>
              <w:pStyle w:val="63"/>
            </w:pPr>
            <w:r>
              <w:rPr>
                <w:rFonts w:hint="eastAsia"/>
              </w:rPr>
              <w:t>112</w:t>
            </w:r>
          </w:p>
        </w:tc>
        <w:tc>
          <w:tcPr>
            <w:tcW w:w="1053" w:type="dxa"/>
            <w:noWrap/>
            <w:vAlign w:val="center"/>
          </w:tcPr>
          <w:p>
            <w:pPr>
              <w:pStyle w:val="63"/>
            </w:pPr>
            <w:r>
              <w:rPr>
                <w:rFonts w:hint="eastAsia"/>
              </w:rPr>
              <w:t>39.76</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80</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p>
        </w:tc>
        <w:tc>
          <w:tcPr>
            <w:tcW w:w="11766" w:type="dxa"/>
            <w:gridSpan w:val="12"/>
            <w:noWrap/>
            <w:vAlign w:val="center"/>
          </w:tcPr>
          <w:p>
            <w:pPr>
              <w:pStyle w:val="63"/>
            </w:pPr>
            <w:r>
              <w:rPr>
                <w:rFonts w:hint="eastAsia"/>
              </w:rPr>
              <w:t>小计</w:t>
            </w:r>
          </w:p>
        </w:tc>
        <w:tc>
          <w:tcPr>
            <w:tcW w:w="809" w:type="dxa"/>
            <w:noWrap/>
            <w:vAlign w:val="center"/>
          </w:tcPr>
          <w:p>
            <w:pPr>
              <w:pStyle w:val="63"/>
            </w:pPr>
            <w:r>
              <w:rPr>
                <w:rFonts w:hint="eastAsia"/>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rPr>
                <w:b/>
                <w:bCs/>
              </w:rPr>
            </w:pPr>
          </w:p>
        </w:tc>
        <w:tc>
          <w:tcPr>
            <w:tcW w:w="12575" w:type="dxa"/>
            <w:gridSpan w:val="13"/>
            <w:noWrap/>
            <w:vAlign w:val="center"/>
          </w:tcPr>
          <w:p>
            <w:pPr>
              <w:pStyle w:val="63"/>
              <w:rPr>
                <w:b/>
                <w:bCs/>
              </w:rPr>
            </w:pPr>
            <w:r>
              <w:rPr>
                <w:rFonts w:hint="eastAsia"/>
                <w:b/>
                <w:bCs/>
              </w:rPr>
              <w:t>细格栅、平流沉砂池及混合池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1</w:t>
            </w:r>
          </w:p>
        </w:tc>
        <w:tc>
          <w:tcPr>
            <w:tcW w:w="1890" w:type="dxa"/>
            <w:noWrap/>
            <w:vAlign w:val="center"/>
          </w:tcPr>
          <w:p>
            <w:pPr>
              <w:pStyle w:val="63"/>
            </w:pPr>
            <w:r>
              <w:rPr>
                <w:rFonts w:hint="eastAsia"/>
              </w:rPr>
              <w:t>细格栅渠道</w:t>
            </w:r>
          </w:p>
        </w:tc>
        <w:tc>
          <w:tcPr>
            <w:tcW w:w="689" w:type="dxa"/>
            <w:noWrap/>
            <w:vAlign w:val="center"/>
          </w:tcPr>
          <w:p>
            <w:pPr>
              <w:pStyle w:val="63"/>
            </w:pPr>
            <w:r>
              <w:rPr>
                <w:rFonts w:hint="eastAsia"/>
              </w:rPr>
              <w:t>10.15</w:t>
            </w:r>
          </w:p>
        </w:tc>
        <w:tc>
          <w:tcPr>
            <w:tcW w:w="687" w:type="dxa"/>
            <w:noWrap/>
            <w:vAlign w:val="center"/>
          </w:tcPr>
          <w:p>
            <w:pPr>
              <w:pStyle w:val="63"/>
            </w:pPr>
            <w:r>
              <w:rPr>
                <w:rFonts w:hint="eastAsia"/>
              </w:rPr>
              <w:t>0.80</w:t>
            </w:r>
          </w:p>
        </w:tc>
        <w:tc>
          <w:tcPr>
            <w:tcW w:w="1053" w:type="dxa"/>
            <w:noWrap/>
            <w:vAlign w:val="center"/>
          </w:tcPr>
          <w:p>
            <w:pPr>
              <w:pStyle w:val="63"/>
            </w:pPr>
            <w:r>
              <w:rPr>
                <w:rFonts w:hint="eastAsia"/>
              </w:rPr>
              <w:t>0.60</w:t>
            </w:r>
          </w:p>
        </w:tc>
        <w:tc>
          <w:tcPr>
            <w:tcW w:w="634" w:type="dxa"/>
            <w:noWrap/>
            <w:vAlign w:val="center"/>
          </w:tcPr>
          <w:p>
            <w:pPr>
              <w:pStyle w:val="63"/>
            </w:pPr>
            <w:r>
              <w:rPr>
                <w:rFonts w:hint="eastAsia"/>
              </w:rPr>
              <w:t>2</w:t>
            </w:r>
          </w:p>
        </w:tc>
        <w:tc>
          <w:tcPr>
            <w:tcW w:w="1053" w:type="dxa"/>
            <w:noWrap/>
            <w:vAlign w:val="center"/>
          </w:tcPr>
          <w:p>
            <w:pPr>
              <w:pStyle w:val="63"/>
            </w:pPr>
            <w:r>
              <w:rPr>
                <w:rFonts w:hint="eastAsia"/>
              </w:rPr>
              <w:t>16</w:t>
            </w:r>
          </w:p>
        </w:tc>
        <w:tc>
          <w:tcPr>
            <w:tcW w:w="1131" w:type="dxa"/>
            <w:noWrap/>
            <w:vAlign w:val="center"/>
          </w:tcPr>
          <w:p>
            <w:pPr>
              <w:pStyle w:val="63"/>
            </w:pPr>
            <w:r>
              <w:rPr>
                <w:rFonts w:hint="eastAsia"/>
              </w:rPr>
              <w:t>10</w:t>
            </w:r>
          </w:p>
        </w:tc>
        <w:tc>
          <w:tcPr>
            <w:tcW w:w="1053" w:type="dxa"/>
            <w:noWrap/>
            <w:vAlign w:val="center"/>
          </w:tcPr>
          <w:p>
            <w:pPr>
              <w:pStyle w:val="63"/>
            </w:pPr>
            <w:r>
              <w:rPr>
                <w:rFonts w:hint="eastAsia"/>
              </w:rPr>
              <w:t>162</w:t>
            </w:r>
          </w:p>
        </w:tc>
        <w:tc>
          <w:tcPr>
            <w:tcW w:w="1053" w:type="dxa"/>
            <w:noWrap/>
            <w:vAlign w:val="center"/>
          </w:tcPr>
          <w:p>
            <w:pPr>
              <w:pStyle w:val="63"/>
            </w:pPr>
            <w:r>
              <w:rPr>
                <w:rFonts w:hint="eastAsia"/>
              </w:rPr>
              <w:t>9.74</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19</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2</w:t>
            </w:r>
          </w:p>
        </w:tc>
        <w:tc>
          <w:tcPr>
            <w:tcW w:w="1890" w:type="dxa"/>
            <w:noWrap/>
            <w:vAlign w:val="center"/>
          </w:tcPr>
          <w:p>
            <w:pPr>
              <w:pStyle w:val="63"/>
            </w:pPr>
            <w:r>
              <w:rPr>
                <w:rFonts w:hint="eastAsia"/>
              </w:rPr>
              <w:t>细格栅罩</w:t>
            </w:r>
          </w:p>
        </w:tc>
        <w:tc>
          <w:tcPr>
            <w:tcW w:w="689" w:type="dxa"/>
            <w:noWrap/>
            <w:vAlign w:val="center"/>
          </w:tcPr>
          <w:p>
            <w:pPr>
              <w:pStyle w:val="63"/>
            </w:pPr>
            <w:r>
              <w:rPr>
                <w:rFonts w:hint="eastAsia"/>
              </w:rPr>
              <w:t>2.85</w:t>
            </w:r>
          </w:p>
        </w:tc>
        <w:tc>
          <w:tcPr>
            <w:tcW w:w="687" w:type="dxa"/>
            <w:noWrap/>
            <w:vAlign w:val="center"/>
          </w:tcPr>
          <w:p>
            <w:pPr>
              <w:pStyle w:val="63"/>
            </w:pPr>
            <w:r>
              <w:rPr>
                <w:rFonts w:hint="eastAsia"/>
              </w:rPr>
              <w:t>2.40</w:t>
            </w:r>
          </w:p>
        </w:tc>
        <w:tc>
          <w:tcPr>
            <w:tcW w:w="1053" w:type="dxa"/>
            <w:noWrap/>
            <w:vAlign w:val="center"/>
          </w:tcPr>
          <w:p>
            <w:pPr>
              <w:pStyle w:val="63"/>
            </w:pPr>
            <w:r>
              <w:rPr>
                <w:rFonts w:hint="eastAsia"/>
              </w:rPr>
              <w:t>2.50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7</w:t>
            </w:r>
          </w:p>
        </w:tc>
        <w:tc>
          <w:tcPr>
            <w:tcW w:w="1131" w:type="dxa"/>
            <w:noWrap/>
            <w:vAlign w:val="center"/>
          </w:tcPr>
          <w:p>
            <w:pPr>
              <w:pStyle w:val="63"/>
            </w:pPr>
            <w:r>
              <w:rPr>
                <w:rFonts w:hint="eastAsia"/>
              </w:rPr>
              <w:t>0</w:t>
            </w:r>
          </w:p>
        </w:tc>
        <w:tc>
          <w:tcPr>
            <w:tcW w:w="1053" w:type="dxa"/>
            <w:noWrap/>
            <w:vAlign w:val="center"/>
          </w:tcPr>
          <w:p>
            <w:pPr>
              <w:pStyle w:val="63"/>
            </w:pPr>
            <w:r>
              <w:rPr>
                <w:rFonts w:hint="eastAsia"/>
              </w:rPr>
              <w:t>0</w:t>
            </w:r>
          </w:p>
        </w:tc>
        <w:tc>
          <w:tcPr>
            <w:tcW w:w="1053" w:type="dxa"/>
            <w:noWrap/>
            <w:vAlign w:val="center"/>
          </w:tcPr>
          <w:p>
            <w:pPr>
              <w:pStyle w:val="63"/>
            </w:pPr>
            <w:r>
              <w:rPr>
                <w:rFonts w:hint="eastAsia"/>
              </w:rPr>
              <w:t>17.10</w:t>
            </w:r>
          </w:p>
        </w:tc>
        <w:tc>
          <w:tcPr>
            <w:tcW w:w="814" w:type="dxa"/>
            <w:noWrap/>
            <w:vAlign w:val="center"/>
          </w:tcPr>
          <w:p>
            <w:pPr>
              <w:pStyle w:val="63"/>
            </w:pPr>
            <w:r>
              <w:rPr>
                <w:rFonts w:hint="eastAsia"/>
              </w:rPr>
              <w:t>8</w:t>
            </w:r>
          </w:p>
        </w:tc>
        <w:tc>
          <w:tcPr>
            <w:tcW w:w="874" w:type="dxa"/>
            <w:noWrap/>
            <w:vAlign w:val="center"/>
          </w:tcPr>
          <w:p>
            <w:pPr>
              <w:pStyle w:val="63"/>
            </w:pPr>
            <w:r>
              <w:rPr>
                <w:rFonts w:hint="eastAsia"/>
              </w:rPr>
              <w:t>137</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3</w:t>
            </w:r>
          </w:p>
        </w:tc>
        <w:tc>
          <w:tcPr>
            <w:tcW w:w="1890" w:type="dxa"/>
            <w:noWrap/>
            <w:vAlign w:val="center"/>
          </w:tcPr>
          <w:p>
            <w:pPr>
              <w:pStyle w:val="63"/>
            </w:pPr>
            <w:r>
              <w:rPr>
                <w:rFonts w:hint="eastAsia"/>
              </w:rPr>
              <w:t>混合池</w:t>
            </w:r>
          </w:p>
        </w:tc>
        <w:tc>
          <w:tcPr>
            <w:tcW w:w="689" w:type="dxa"/>
            <w:noWrap/>
            <w:vAlign w:val="center"/>
          </w:tcPr>
          <w:p>
            <w:pPr>
              <w:pStyle w:val="63"/>
            </w:pPr>
            <w:r>
              <w:rPr>
                <w:rFonts w:hint="eastAsia"/>
              </w:rPr>
              <w:t>1.50</w:t>
            </w:r>
          </w:p>
        </w:tc>
        <w:tc>
          <w:tcPr>
            <w:tcW w:w="687" w:type="dxa"/>
            <w:noWrap/>
            <w:vAlign w:val="center"/>
          </w:tcPr>
          <w:p>
            <w:pPr>
              <w:pStyle w:val="63"/>
            </w:pPr>
            <w:r>
              <w:rPr>
                <w:rFonts w:hint="eastAsia"/>
              </w:rPr>
              <w:t>1.10</w:t>
            </w:r>
          </w:p>
        </w:tc>
        <w:tc>
          <w:tcPr>
            <w:tcW w:w="1053" w:type="dxa"/>
            <w:noWrap/>
            <w:vAlign w:val="center"/>
          </w:tcPr>
          <w:p>
            <w:pPr>
              <w:pStyle w:val="63"/>
            </w:pPr>
            <w:r>
              <w:rPr>
                <w:rFonts w:hint="eastAsia"/>
              </w:rPr>
              <w:t>0.80</w:t>
            </w:r>
          </w:p>
        </w:tc>
        <w:tc>
          <w:tcPr>
            <w:tcW w:w="634" w:type="dxa"/>
            <w:noWrap/>
            <w:vAlign w:val="center"/>
          </w:tcPr>
          <w:p>
            <w:pPr>
              <w:pStyle w:val="63"/>
            </w:pPr>
            <w:r>
              <w:rPr>
                <w:rFonts w:hint="eastAsia"/>
              </w:rPr>
              <w:t>4</w:t>
            </w:r>
          </w:p>
        </w:tc>
        <w:tc>
          <w:tcPr>
            <w:tcW w:w="1053" w:type="dxa"/>
            <w:noWrap/>
            <w:vAlign w:val="center"/>
          </w:tcPr>
          <w:p>
            <w:pPr>
              <w:pStyle w:val="63"/>
            </w:pPr>
            <w:r>
              <w:rPr>
                <w:rFonts w:hint="eastAsia"/>
              </w:rPr>
              <w:t>7</w:t>
            </w:r>
          </w:p>
        </w:tc>
        <w:tc>
          <w:tcPr>
            <w:tcW w:w="1131" w:type="dxa"/>
            <w:noWrap/>
            <w:vAlign w:val="center"/>
          </w:tcPr>
          <w:p>
            <w:pPr>
              <w:pStyle w:val="63"/>
            </w:pPr>
            <w:r>
              <w:rPr>
                <w:rFonts w:hint="eastAsia"/>
              </w:rPr>
              <w:t>10</w:t>
            </w:r>
          </w:p>
        </w:tc>
        <w:tc>
          <w:tcPr>
            <w:tcW w:w="1053" w:type="dxa"/>
            <w:noWrap/>
            <w:vAlign w:val="center"/>
          </w:tcPr>
          <w:p>
            <w:pPr>
              <w:pStyle w:val="63"/>
            </w:pPr>
            <w:r>
              <w:rPr>
                <w:rFonts w:hint="eastAsia"/>
              </w:rPr>
              <w:t>66</w:t>
            </w:r>
          </w:p>
        </w:tc>
        <w:tc>
          <w:tcPr>
            <w:tcW w:w="1053" w:type="dxa"/>
            <w:noWrap/>
            <w:vAlign w:val="center"/>
          </w:tcPr>
          <w:p>
            <w:pPr>
              <w:pStyle w:val="63"/>
            </w:pPr>
            <w:r>
              <w:rPr>
                <w:rFonts w:hint="eastAsia"/>
              </w:rPr>
              <w:t>5.28</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11</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4</w:t>
            </w:r>
          </w:p>
        </w:tc>
        <w:tc>
          <w:tcPr>
            <w:tcW w:w="1890" w:type="dxa"/>
            <w:noWrap/>
            <w:vAlign w:val="center"/>
          </w:tcPr>
          <w:p>
            <w:pPr>
              <w:pStyle w:val="63"/>
            </w:pPr>
            <w:r>
              <w:rPr>
                <w:rFonts w:hint="eastAsia"/>
              </w:rPr>
              <w:t>混合池集气罩</w:t>
            </w:r>
          </w:p>
        </w:tc>
        <w:tc>
          <w:tcPr>
            <w:tcW w:w="689" w:type="dxa"/>
            <w:noWrap/>
            <w:vAlign w:val="center"/>
          </w:tcPr>
          <w:p>
            <w:pPr>
              <w:pStyle w:val="63"/>
            </w:pPr>
            <w:r>
              <w:rPr>
                <w:rFonts w:hint="eastAsia"/>
              </w:rPr>
              <w:t>3.95</w:t>
            </w:r>
          </w:p>
        </w:tc>
        <w:tc>
          <w:tcPr>
            <w:tcW w:w="687" w:type="dxa"/>
            <w:noWrap/>
            <w:vAlign w:val="center"/>
          </w:tcPr>
          <w:p>
            <w:pPr>
              <w:pStyle w:val="63"/>
            </w:pPr>
            <w:r>
              <w:rPr>
                <w:rFonts w:hint="eastAsia"/>
              </w:rPr>
              <w:t>3.20</w:t>
            </w:r>
          </w:p>
        </w:tc>
        <w:tc>
          <w:tcPr>
            <w:tcW w:w="1053" w:type="dxa"/>
            <w:noWrap/>
            <w:vAlign w:val="center"/>
          </w:tcPr>
          <w:p>
            <w:pPr>
              <w:pStyle w:val="63"/>
            </w:pPr>
            <w:r>
              <w:rPr>
                <w:rFonts w:hint="eastAsia"/>
              </w:rPr>
              <w:t>2.50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13</w:t>
            </w:r>
          </w:p>
        </w:tc>
        <w:tc>
          <w:tcPr>
            <w:tcW w:w="1131" w:type="dxa"/>
            <w:noWrap/>
            <w:vAlign w:val="center"/>
          </w:tcPr>
          <w:p>
            <w:pPr>
              <w:pStyle w:val="63"/>
            </w:pPr>
            <w:r>
              <w:rPr>
                <w:rFonts w:hint="eastAsia"/>
              </w:rPr>
              <w:t>0</w:t>
            </w:r>
          </w:p>
        </w:tc>
        <w:tc>
          <w:tcPr>
            <w:tcW w:w="1053" w:type="dxa"/>
            <w:noWrap/>
            <w:vAlign w:val="center"/>
          </w:tcPr>
          <w:p>
            <w:pPr>
              <w:pStyle w:val="63"/>
            </w:pPr>
            <w:r>
              <w:rPr>
                <w:rFonts w:hint="eastAsia"/>
              </w:rPr>
              <w:t>0</w:t>
            </w:r>
          </w:p>
        </w:tc>
        <w:tc>
          <w:tcPr>
            <w:tcW w:w="1053" w:type="dxa"/>
            <w:noWrap/>
            <w:vAlign w:val="center"/>
          </w:tcPr>
          <w:p>
            <w:pPr>
              <w:pStyle w:val="63"/>
            </w:pPr>
            <w:r>
              <w:rPr>
                <w:rFonts w:hint="eastAsia"/>
              </w:rPr>
              <w:t>31.60</w:t>
            </w:r>
          </w:p>
        </w:tc>
        <w:tc>
          <w:tcPr>
            <w:tcW w:w="814" w:type="dxa"/>
            <w:noWrap/>
            <w:vAlign w:val="center"/>
          </w:tcPr>
          <w:p>
            <w:pPr>
              <w:pStyle w:val="63"/>
            </w:pPr>
            <w:r>
              <w:rPr>
                <w:rFonts w:hint="eastAsia"/>
              </w:rPr>
              <w:t>8</w:t>
            </w:r>
          </w:p>
        </w:tc>
        <w:tc>
          <w:tcPr>
            <w:tcW w:w="874" w:type="dxa"/>
            <w:noWrap/>
            <w:vAlign w:val="center"/>
          </w:tcPr>
          <w:p>
            <w:pPr>
              <w:pStyle w:val="63"/>
            </w:pPr>
            <w:r>
              <w:rPr>
                <w:rFonts w:hint="eastAsia"/>
              </w:rPr>
              <w:t>253</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5</w:t>
            </w:r>
          </w:p>
        </w:tc>
        <w:tc>
          <w:tcPr>
            <w:tcW w:w="1890" w:type="dxa"/>
            <w:noWrap/>
            <w:vAlign w:val="center"/>
          </w:tcPr>
          <w:p>
            <w:pPr>
              <w:pStyle w:val="63"/>
            </w:pPr>
            <w:r>
              <w:rPr>
                <w:rFonts w:hint="eastAsia"/>
              </w:rPr>
              <w:t>砂水分离器渣斗罩</w:t>
            </w:r>
          </w:p>
        </w:tc>
        <w:tc>
          <w:tcPr>
            <w:tcW w:w="689" w:type="dxa"/>
            <w:noWrap/>
            <w:vAlign w:val="center"/>
          </w:tcPr>
          <w:p>
            <w:pPr>
              <w:pStyle w:val="63"/>
            </w:pPr>
            <w:r>
              <w:rPr>
                <w:rFonts w:hint="eastAsia"/>
              </w:rPr>
              <w:t>2.50</w:t>
            </w:r>
          </w:p>
        </w:tc>
        <w:tc>
          <w:tcPr>
            <w:tcW w:w="687" w:type="dxa"/>
            <w:noWrap/>
            <w:vAlign w:val="center"/>
          </w:tcPr>
          <w:p>
            <w:pPr>
              <w:pStyle w:val="63"/>
            </w:pPr>
            <w:r>
              <w:rPr>
                <w:rFonts w:hint="eastAsia"/>
              </w:rPr>
              <w:t>2.00</w:t>
            </w:r>
          </w:p>
        </w:tc>
        <w:tc>
          <w:tcPr>
            <w:tcW w:w="1053" w:type="dxa"/>
            <w:noWrap/>
            <w:vAlign w:val="center"/>
          </w:tcPr>
          <w:p>
            <w:pPr>
              <w:pStyle w:val="63"/>
            </w:pPr>
            <w:r>
              <w:rPr>
                <w:rFonts w:hint="eastAsia"/>
              </w:rPr>
              <w:t>3.00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5</w:t>
            </w:r>
          </w:p>
        </w:tc>
        <w:tc>
          <w:tcPr>
            <w:tcW w:w="1131" w:type="dxa"/>
            <w:noWrap/>
            <w:vAlign w:val="center"/>
          </w:tcPr>
          <w:p>
            <w:pPr>
              <w:pStyle w:val="63"/>
            </w:pPr>
            <w:r>
              <w:rPr>
                <w:rFonts w:hint="eastAsia"/>
              </w:rPr>
              <w:t>0</w:t>
            </w:r>
          </w:p>
        </w:tc>
        <w:tc>
          <w:tcPr>
            <w:tcW w:w="1053" w:type="dxa"/>
            <w:noWrap/>
            <w:vAlign w:val="center"/>
          </w:tcPr>
          <w:p>
            <w:pPr>
              <w:pStyle w:val="63"/>
            </w:pPr>
            <w:r>
              <w:rPr>
                <w:rFonts w:hint="eastAsia"/>
              </w:rPr>
              <w:t>0</w:t>
            </w:r>
          </w:p>
        </w:tc>
        <w:tc>
          <w:tcPr>
            <w:tcW w:w="1053" w:type="dxa"/>
            <w:noWrap/>
            <w:vAlign w:val="center"/>
          </w:tcPr>
          <w:p>
            <w:pPr>
              <w:pStyle w:val="63"/>
            </w:pPr>
            <w:r>
              <w:rPr>
                <w:rFonts w:hint="eastAsia"/>
              </w:rPr>
              <w:t>15.00</w:t>
            </w:r>
          </w:p>
        </w:tc>
        <w:tc>
          <w:tcPr>
            <w:tcW w:w="814" w:type="dxa"/>
            <w:noWrap/>
            <w:vAlign w:val="center"/>
          </w:tcPr>
          <w:p>
            <w:pPr>
              <w:pStyle w:val="63"/>
            </w:pPr>
            <w:r>
              <w:rPr>
                <w:rFonts w:hint="eastAsia"/>
              </w:rPr>
              <w:t>8</w:t>
            </w:r>
          </w:p>
        </w:tc>
        <w:tc>
          <w:tcPr>
            <w:tcW w:w="874" w:type="dxa"/>
            <w:noWrap/>
            <w:vAlign w:val="center"/>
          </w:tcPr>
          <w:p>
            <w:pPr>
              <w:pStyle w:val="63"/>
            </w:pPr>
            <w:r>
              <w:rPr>
                <w:rFonts w:hint="eastAsia"/>
              </w:rPr>
              <w:t>120</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p>
        </w:tc>
        <w:tc>
          <w:tcPr>
            <w:tcW w:w="11766" w:type="dxa"/>
            <w:gridSpan w:val="12"/>
            <w:noWrap/>
            <w:vAlign w:val="center"/>
          </w:tcPr>
          <w:p>
            <w:pPr>
              <w:pStyle w:val="63"/>
            </w:pPr>
            <w:r>
              <w:rPr>
                <w:rFonts w:hint="eastAsia"/>
              </w:rPr>
              <w:t>小计</w:t>
            </w:r>
          </w:p>
        </w:tc>
        <w:tc>
          <w:tcPr>
            <w:tcW w:w="809" w:type="dxa"/>
            <w:noWrap/>
            <w:vAlign w:val="center"/>
          </w:tcPr>
          <w:p>
            <w:pPr>
              <w:pStyle w:val="63"/>
            </w:pPr>
            <w:r>
              <w:rPr>
                <w:rFonts w:hint="eastAsia"/>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rPr>
                <w:b/>
                <w:bCs/>
              </w:rPr>
            </w:pPr>
          </w:p>
        </w:tc>
        <w:tc>
          <w:tcPr>
            <w:tcW w:w="12575" w:type="dxa"/>
            <w:gridSpan w:val="13"/>
            <w:noWrap/>
            <w:vAlign w:val="center"/>
          </w:tcPr>
          <w:p>
            <w:pPr>
              <w:pStyle w:val="63"/>
              <w:rPr>
                <w:b/>
                <w:bCs/>
              </w:rPr>
            </w:pPr>
            <w:r>
              <w:rPr>
                <w:rFonts w:hint="eastAsia"/>
                <w:b/>
                <w:bCs/>
              </w:rPr>
              <w:t>气浮池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1</w:t>
            </w:r>
          </w:p>
        </w:tc>
        <w:tc>
          <w:tcPr>
            <w:tcW w:w="1890" w:type="dxa"/>
            <w:vAlign w:val="center"/>
          </w:tcPr>
          <w:p>
            <w:pPr>
              <w:pStyle w:val="63"/>
            </w:pPr>
            <w:r>
              <w:rPr>
                <w:rFonts w:hint="eastAsia"/>
              </w:rPr>
              <w:t>气浮池</w:t>
            </w:r>
          </w:p>
        </w:tc>
        <w:tc>
          <w:tcPr>
            <w:tcW w:w="689" w:type="dxa"/>
            <w:noWrap/>
            <w:vAlign w:val="center"/>
          </w:tcPr>
          <w:p>
            <w:pPr>
              <w:pStyle w:val="63"/>
            </w:pPr>
          </w:p>
        </w:tc>
        <w:tc>
          <w:tcPr>
            <w:tcW w:w="687" w:type="dxa"/>
            <w:noWrap/>
            <w:vAlign w:val="center"/>
          </w:tcPr>
          <w:p>
            <w:pPr>
              <w:pStyle w:val="63"/>
            </w:pPr>
          </w:p>
        </w:tc>
        <w:tc>
          <w:tcPr>
            <w:tcW w:w="1053" w:type="dxa"/>
            <w:noWrap/>
            <w:vAlign w:val="center"/>
          </w:tcPr>
          <w:p>
            <w:pPr>
              <w:pStyle w:val="63"/>
            </w:pPr>
            <w:r>
              <w:rPr>
                <w:rFonts w:hint="eastAsia"/>
              </w:rPr>
              <w:t>1.51</w:t>
            </w:r>
          </w:p>
        </w:tc>
        <w:tc>
          <w:tcPr>
            <w:tcW w:w="634" w:type="dxa"/>
            <w:noWrap/>
            <w:vAlign w:val="center"/>
          </w:tcPr>
          <w:p>
            <w:pPr>
              <w:pStyle w:val="63"/>
            </w:pPr>
            <w:r>
              <w:rPr>
                <w:rFonts w:hint="eastAsia"/>
              </w:rPr>
              <w:t>2</w:t>
            </w:r>
          </w:p>
        </w:tc>
        <w:tc>
          <w:tcPr>
            <w:tcW w:w="1053" w:type="dxa"/>
            <w:noWrap/>
            <w:vAlign w:val="center"/>
          </w:tcPr>
          <w:p>
            <w:pPr>
              <w:pStyle w:val="63"/>
            </w:pPr>
            <w:r>
              <w:rPr>
                <w:rFonts w:hint="eastAsia"/>
              </w:rPr>
              <w:t>53</w:t>
            </w:r>
          </w:p>
        </w:tc>
        <w:tc>
          <w:tcPr>
            <w:tcW w:w="1131" w:type="dxa"/>
            <w:noWrap/>
            <w:vAlign w:val="center"/>
          </w:tcPr>
          <w:p>
            <w:pPr>
              <w:pStyle w:val="63"/>
            </w:pPr>
            <w:r>
              <w:rPr>
                <w:rFonts w:hint="eastAsia"/>
              </w:rPr>
              <w:t>3</w:t>
            </w:r>
          </w:p>
        </w:tc>
        <w:tc>
          <w:tcPr>
            <w:tcW w:w="1053" w:type="dxa"/>
            <w:noWrap/>
            <w:vAlign w:val="center"/>
          </w:tcPr>
          <w:p>
            <w:pPr>
              <w:pStyle w:val="63"/>
            </w:pPr>
            <w:r>
              <w:rPr>
                <w:rFonts w:hint="eastAsia"/>
              </w:rPr>
              <w:t>158</w:t>
            </w:r>
          </w:p>
        </w:tc>
        <w:tc>
          <w:tcPr>
            <w:tcW w:w="1053" w:type="dxa"/>
            <w:noWrap/>
            <w:vAlign w:val="center"/>
          </w:tcPr>
          <w:p>
            <w:pPr>
              <w:pStyle w:val="63"/>
            </w:pPr>
            <w:r>
              <w:rPr>
                <w:rFonts w:hint="eastAsia"/>
              </w:rPr>
              <w:t>159.40</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319</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rPr>
                <w:b/>
                <w:bCs/>
              </w:rPr>
            </w:pPr>
          </w:p>
        </w:tc>
        <w:tc>
          <w:tcPr>
            <w:tcW w:w="12575" w:type="dxa"/>
            <w:gridSpan w:val="13"/>
            <w:noWrap/>
            <w:vAlign w:val="center"/>
          </w:tcPr>
          <w:p>
            <w:pPr>
              <w:pStyle w:val="63"/>
              <w:rPr>
                <w:b/>
                <w:bCs/>
              </w:rPr>
            </w:pPr>
            <w:r>
              <w:rPr>
                <w:rFonts w:hint="eastAsia"/>
                <w:b/>
                <w:bCs/>
              </w:rPr>
              <w:t>生化池、水解酸化池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1</w:t>
            </w:r>
          </w:p>
        </w:tc>
        <w:tc>
          <w:tcPr>
            <w:tcW w:w="1890" w:type="dxa"/>
            <w:noWrap/>
            <w:vAlign w:val="center"/>
          </w:tcPr>
          <w:p>
            <w:pPr>
              <w:pStyle w:val="63"/>
            </w:pPr>
            <w:r>
              <w:rPr>
                <w:rFonts w:hint="eastAsia"/>
              </w:rPr>
              <w:t>厌氧区</w:t>
            </w:r>
          </w:p>
        </w:tc>
        <w:tc>
          <w:tcPr>
            <w:tcW w:w="689" w:type="dxa"/>
            <w:noWrap/>
            <w:vAlign w:val="center"/>
          </w:tcPr>
          <w:p>
            <w:pPr>
              <w:pStyle w:val="63"/>
            </w:pPr>
            <w:r>
              <w:rPr>
                <w:rFonts w:hint="eastAsia"/>
              </w:rPr>
              <w:t>10.05</w:t>
            </w:r>
          </w:p>
        </w:tc>
        <w:tc>
          <w:tcPr>
            <w:tcW w:w="687" w:type="dxa"/>
            <w:noWrap/>
            <w:vAlign w:val="center"/>
          </w:tcPr>
          <w:p>
            <w:pPr>
              <w:pStyle w:val="63"/>
            </w:pPr>
            <w:r>
              <w:rPr>
                <w:rFonts w:hint="eastAsia"/>
              </w:rPr>
              <w:t>3.23</w:t>
            </w:r>
          </w:p>
        </w:tc>
        <w:tc>
          <w:tcPr>
            <w:tcW w:w="1053" w:type="dxa"/>
            <w:noWrap/>
            <w:vAlign w:val="center"/>
          </w:tcPr>
          <w:p>
            <w:pPr>
              <w:pStyle w:val="63"/>
            </w:pPr>
            <w:r>
              <w:rPr>
                <w:rFonts w:hint="eastAsia"/>
              </w:rPr>
              <w:t>0.75</w:t>
            </w:r>
          </w:p>
        </w:tc>
        <w:tc>
          <w:tcPr>
            <w:tcW w:w="634" w:type="dxa"/>
            <w:noWrap/>
            <w:vAlign w:val="center"/>
          </w:tcPr>
          <w:p>
            <w:pPr>
              <w:pStyle w:val="63"/>
            </w:pPr>
            <w:r>
              <w:rPr>
                <w:rFonts w:hint="eastAsia"/>
              </w:rPr>
              <w:t>2</w:t>
            </w:r>
          </w:p>
        </w:tc>
        <w:tc>
          <w:tcPr>
            <w:tcW w:w="1053" w:type="dxa"/>
            <w:noWrap/>
            <w:vAlign w:val="center"/>
          </w:tcPr>
          <w:p>
            <w:pPr>
              <w:pStyle w:val="63"/>
            </w:pPr>
            <w:r>
              <w:rPr>
                <w:rFonts w:hint="eastAsia"/>
              </w:rPr>
              <w:t>65</w:t>
            </w:r>
          </w:p>
        </w:tc>
        <w:tc>
          <w:tcPr>
            <w:tcW w:w="1131" w:type="dxa"/>
            <w:noWrap/>
            <w:vAlign w:val="center"/>
          </w:tcPr>
          <w:p>
            <w:pPr>
              <w:pStyle w:val="63"/>
            </w:pPr>
            <w:r>
              <w:rPr>
                <w:rFonts w:hint="eastAsia"/>
              </w:rPr>
              <w:t>3</w:t>
            </w:r>
          </w:p>
        </w:tc>
        <w:tc>
          <w:tcPr>
            <w:tcW w:w="1053" w:type="dxa"/>
            <w:noWrap/>
            <w:vAlign w:val="center"/>
          </w:tcPr>
          <w:p>
            <w:pPr>
              <w:pStyle w:val="63"/>
            </w:pPr>
            <w:r>
              <w:rPr>
                <w:rFonts w:hint="eastAsia"/>
              </w:rPr>
              <w:t>194</w:t>
            </w:r>
          </w:p>
        </w:tc>
        <w:tc>
          <w:tcPr>
            <w:tcW w:w="1053" w:type="dxa"/>
            <w:noWrap/>
            <w:vAlign w:val="center"/>
          </w:tcPr>
          <w:p>
            <w:pPr>
              <w:pStyle w:val="63"/>
            </w:pPr>
            <w:r>
              <w:rPr>
                <w:rFonts w:hint="eastAsia"/>
              </w:rPr>
              <w:t>48.62</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97</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2</w:t>
            </w:r>
          </w:p>
        </w:tc>
        <w:tc>
          <w:tcPr>
            <w:tcW w:w="1890" w:type="dxa"/>
            <w:vAlign w:val="center"/>
          </w:tcPr>
          <w:p>
            <w:pPr>
              <w:pStyle w:val="63"/>
            </w:pPr>
            <w:r>
              <w:rPr>
                <w:rFonts w:hint="eastAsia"/>
              </w:rPr>
              <w:t>缺氧区</w:t>
            </w:r>
          </w:p>
        </w:tc>
        <w:tc>
          <w:tcPr>
            <w:tcW w:w="689" w:type="dxa"/>
            <w:noWrap/>
            <w:vAlign w:val="center"/>
          </w:tcPr>
          <w:p>
            <w:pPr>
              <w:pStyle w:val="63"/>
            </w:pPr>
            <w:r>
              <w:rPr>
                <w:rFonts w:hint="eastAsia"/>
              </w:rPr>
              <w:t>10.05</w:t>
            </w:r>
          </w:p>
        </w:tc>
        <w:tc>
          <w:tcPr>
            <w:tcW w:w="687" w:type="dxa"/>
            <w:noWrap/>
            <w:vAlign w:val="center"/>
          </w:tcPr>
          <w:p>
            <w:pPr>
              <w:pStyle w:val="63"/>
            </w:pPr>
            <w:r>
              <w:rPr>
                <w:rFonts w:hint="eastAsia"/>
              </w:rPr>
              <w:t>9.70</w:t>
            </w:r>
          </w:p>
        </w:tc>
        <w:tc>
          <w:tcPr>
            <w:tcW w:w="1053" w:type="dxa"/>
            <w:noWrap/>
            <w:vAlign w:val="center"/>
          </w:tcPr>
          <w:p>
            <w:pPr>
              <w:pStyle w:val="63"/>
            </w:pPr>
            <w:r>
              <w:rPr>
                <w:rFonts w:hint="eastAsia"/>
              </w:rPr>
              <w:t>0.80</w:t>
            </w:r>
          </w:p>
        </w:tc>
        <w:tc>
          <w:tcPr>
            <w:tcW w:w="634" w:type="dxa"/>
            <w:noWrap/>
            <w:vAlign w:val="center"/>
          </w:tcPr>
          <w:p>
            <w:pPr>
              <w:pStyle w:val="63"/>
            </w:pPr>
            <w:r>
              <w:rPr>
                <w:rFonts w:hint="eastAsia"/>
              </w:rPr>
              <w:t>2</w:t>
            </w:r>
          </w:p>
        </w:tc>
        <w:tc>
          <w:tcPr>
            <w:tcW w:w="1053" w:type="dxa"/>
            <w:noWrap/>
            <w:vAlign w:val="center"/>
          </w:tcPr>
          <w:p>
            <w:pPr>
              <w:pStyle w:val="63"/>
            </w:pPr>
            <w:r>
              <w:rPr>
                <w:rFonts w:hint="eastAsia"/>
              </w:rPr>
              <w:t>195</w:t>
            </w:r>
          </w:p>
        </w:tc>
        <w:tc>
          <w:tcPr>
            <w:tcW w:w="1131" w:type="dxa"/>
            <w:noWrap/>
            <w:vAlign w:val="center"/>
          </w:tcPr>
          <w:p>
            <w:pPr>
              <w:pStyle w:val="63"/>
            </w:pPr>
            <w:r>
              <w:rPr>
                <w:rFonts w:hint="eastAsia"/>
              </w:rPr>
              <w:t>3</w:t>
            </w:r>
          </w:p>
        </w:tc>
        <w:tc>
          <w:tcPr>
            <w:tcW w:w="1053" w:type="dxa"/>
            <w:noWrap/>
            <w:vAlign w:val="center"/>
          </w:tcPr>
          <w:p>
            <w:pPr>
              <w:pStyle w:val="63"/>
            </w:pPr>
            <w:r>
              <w:rPr>
                <w:rFonts w:hint="eastAsia"/>
              </w:rPr>
              <w:t>585</w:t>
            </w:r>
          </w:p>
        </w:tc>
        <w:tc>
          <w:tcPr>
            <w:tcW w:w="1053" w:type="dxa"/>
            <w:noWrap/>
            <w:vAlign w:val="center"/>
          </w:tcPr>
          <w:p>
            <w:pPr>
              <w:pStyle w:val="63"/>
            </w:pPr>
            <w:r>
              <w:rPr>
                <w:rFonts w:hint="eastAsia"/>
              </w:rPr>
              <w:t>155.98</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312</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3</w:t>
            </w:r>
          </w:p>
        </w:tc>
        <w:tc>
          <w:tcPr>
            <w:tcW w:w="1890" w:type="dxa"/>
            <w:vAlign w:val="center"/>
          </w:tcPr>
          <w:p>
            <w:pPr>
              <w:pStyle w:val="63"/>
            </w:pPr>
            <w:r>
              <w:rPr>
                <w:rFonts w:hint="eastAsia"/>
              </w:rPr>
              <w:t>水解酸化池</w:t>
            </w:r>
          </w:p>
        </w:tc>
        <w:tc>
          <w:tcPr>
            <w:tcW w:w="689" w:type="dxa"/>
            <w:noWrap/>
            <w:vAlign w:val="center"/>
          </w:tcPr>
          <w:p>
            <w:pPr>
              <w:pStyle w:val="63"/>
            </w:pPr>
            <w:r>
              <w:rPr>
                <w:rFonts w:hint="eastAsia"/>
              </w:rPr>
              <w:t>18.00</w:t>
            </w:r>
          </w:p>
        </w:tc>
        <w:tc>
          <w:tcPr>
            <w:tcW w:w="687" w:type="dxa"/>
            <w:noWrap/>
            <w:vAlign w:val="center"/>
          </w:tcPr>
          <w:p>
            <w:pPr>
              <w:pStyle w:val="63"/>
            </w:pPr>
            <w:r>
              <w:rPr>
                <w:rFonts w:hint="eastAsia"/>
              </w:rPr>
              <w:t>14.0</w:t>
            </w:r>
          </w:p>
        </w:tc>
        <w:tc>
          <w:tcPr>
            <w:tcW w:w="1053" w:type="dxa"/>
            <w:noWrap/>
            <w:vAlign w:val="center"/>
          </w:tcPr>
          <w:p>
            <w:pPr>
              <w:pStyle w:val="63"/>
            </w:pPr>
            <w:r>
              <w:rPr>
                <w:rFonts w:hint="eastAsia"/>
              </w:rPr>
              <w:t>0.30</w:t>
            </w:r>
          </w:p>
        </w:tc>
        <w:tc>
          <w:tcPr>
            <w:tcW w:w="634" w:type="dxa"/>
            <w:noWrap/>
            <w:vAlign w:val="center"/>
          </w:tcPr>
          <w:p>
            <w:pPr>
              <w:pStyle w:val="63"/>
            </w:pPr>
            <w:r>
              <w:rPr>
                <w:rFonts w:hint="eastAsia"/>
              </w:rPr>
              <w:t>2</w:t>
            </w:r>
          </w:p>
        </w:tc>
        <w:tc>
          <w:tcPr>
            <w:tcW w:w="1053" w:type="dxa"/>
            <w:noWrap/>
            <w:vAlign w:val="center"/>
          </w:tcPr>
          <w:p>
            <w:pPr>
              <w:pStyle w:val="63"/>
            </w:pPr>
            <w:r>
              <w:rPr>
                <w:rFonts w:hint="eastAsia"/>
              </w:rPr>
              <w:t>504</w:t>
            </w:r>
          </w:p>
        </w:tc>
        <w:tc>
          <w:tcPr>
            <w:tcW w:w="1131" w:type="dxa"/>
            <w:noWrap/>
            <w:vAlign w:val="center"/>
          </w:tcPr>
          <w:p>
            <w:pPr>
              <w:pStyle w:val="63"/>
            </w:pPr>
            <w:r>
              <w:rPr>
                <w:rFonts w:hint="eastAsia"/>
              </w:rPr>
              <w:t>3</w:t>
            </w:r>
          </w:p>
        </w:tc>
        <w:tc>
          <w:tcPr>
            <w:tcW w:w="1053" w:type="dxa"/>
            <w:noWrap/>
            <w:vAlign w:val="center"/>
          </w:tcPr>
          <w:p>
            <w:pPr>
              <w:pStyle w:val="63"/>
            </w:pPr>
            <w:r>
              <w:rPr>
                <w:rFonts w:hint="eastAsia"/>
              </w:rPr>
              <w:t>1512</w:t>
            </w:r>
          </w:p>
        </w:tc>
        <w:tc>
          <w:tcPr>
            <w:tcW w:w="1053" w:type="dxa"/>
            <w:noWrap/>
            <w:vAlign w:val="center"/>
          </w:tcPr>
          <w:p>
            <w:pPr>
              <w:pStyle w:val="63"/>
            </w:pPr>
            <w:r>
              <w:rPr>
                <w:rFonts w:hint="eastAsia"/>
              </w:rPr>
              <w:t>151.20</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302</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p>
        </w:tc>
        <w:tc>
          <w:tcPr>
            <w:tcW w:w="11766" w:type="dxa"/>
            <w:gridSpan w:val="12"/>
            <w:vAlign w:val="center"/>
          </w:tcPr>
          <w:p>
            <w:pPr>
              <w:pStyle w:val="63"/>
            </w:pPr>
            <w:r>
              <w:rPr>
                <w:rFonts w:hint="eastAsia"/>
              </w:rPr>
              <w:t>小计</w:t>
            </w:r>
          </w:p>
        </w:tc>
        <w:tc>
          <w:tcPr>
            <w:tcW w:w="809" w:type="dxa"/>
            <w:noWrap/>
            <w:vAlign w:val="center"/>
          </w:tcPr>
          <w:p>
            <w:pPr>
              <w:pStyle w:val="63"/>
            </w:pPr>
            <w:r>
              <w:rPr>
                <w:rFonts w:hint="eastAsia"/>
              </w:rPr>
              <w:t>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rPr>
                <w:b/>
                <w:bCs/>
              </w:rPr>
            </w:pPr>
          </w:p>
        </w:tc>
        <w:tc>
          <w:tcPr>
            <w:tcW w:w="12575" w:type="dxa"/>
            <w:gridSpan w:val="13"/>
            <w:noWrap/>
            <w:vAlign w:val="center"/>
          </w:tcPr>
          <w:p>
            <w:pPr>
              <w:pStyle w:val="63"/>
              <w:rPr>
                <w:b/>
                <w:bCs/>
              </w:rPr>
            </w:pPr>
            <w:r>
              <w:rPr>
                <w:rFonts w:hint="eastAsia"/>
                <w:b/>
                <w:bCs/>
              </w:rPr>
              <w:t>污泥脱水系统构筑物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1</w:t>
            </w:r>
          </w:p>
        </w:tc>
        <w:tc>
          <w:tcPr>
            <w:tcW w:w="1890" w:type="dxa"/>
            <w:noWrap/>
            <w:vAlign w:val="center"/>
          </w:tcPr>
          <w:p>
            <w:pPr>
              <w:pStyle w:val="63"/>
            </w:pPr>
            <w:r>
              <w:rPr>
                <w:rFonts w:hint="eastAsia"/>
              </w:rPr>
              <w:t>污泥调理池</w:t>
            </w:r>
          </w:p>
        </w:tc>
        <w:tc>
          <w:tcPr>
            <w:tcW w:w="689" w:type="dxa"/>
            <w:noWrap/>
            <w:vAlign w:val="center"/>
          </w:tcPr>
          <w:p>
            <w:pPr>
              <w:pStyle w:val="63"/>
            </w:pPr>
            <w:r>
              <w:rPr>
                <w:rFonts w:hint="eastAsia"/>
              </w:rPr>
              <w:t>4.50</w:t>
            </w:r>
          </w:p>
        </w:tc>
        <w:tc>
          <w:tcPr>
            <w:tcW w:w="687" w:type="dxa"/>
            <w:noWrap/>
            <w:vAlign w:val="center"/>
          </w:tcPr>
          <w:p>
            <w:pPr>
              <w:pStyle w:val="63"/>
            </w:pPr>
            <w:r>
              <w:rPr>
                <w:rFonts w:hint="eastAsia"/>
              </w:rPr>
              <w:t>4.50</w:t>
            </w:r>
          </w:p>
        </w:tc>
        <w:tc>
          <w:tcPr>
            <w:tcW w:w="1053" w:type="dxa"/>
            <w:noWrap/>
            <w:vAlign w:val="center"/>
          </w:tcPr>
          <w:p>
            <w:pPr>
              <w:pStyle w:val="63"/>
            </w:pPr>
            <w:r>
              <w:rPr>
                <w:rFonts w:hint="eastAsia"/>
              </w:rPr>
              <w:t>1.30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20</w:t>
            </w:r>
          </w:p>
        </w:tc>
        <w:tc>
          <w:tcPr>
            <w:tcW w:w="1131" w:type="dxa"/>
            <w:noWrap/>
            <w:vAlign w:val="center"/>
          </w:tcPr>
          <w:p>
            <w:pPr>
              <w:pStyle w:val="63"/>
            </w:pPr>
            <w:r>
              <w:rPr>
                <w:rFonts w:hint="eastAsia"/>
              </w:rPr>
              <w:t>3</w:t>
            </w:r>
          </w:p>
        </w:tc>
        <w:tc>
          <w:tcPr>
            <w:tcW w:w="1053" w:type="dxa"/>
            <w:noWrap/>
            <w:vAlign w:val="center"/>
          </w:tcPr>
          <w:p>
            <w:pPr>
              <w:pStyle w:val="63"/>
            </w:pPr>
            <w:r>
              <w:rPr>
                <w:rFonts w:hint="eastAsia"/>
              </w:rPr>
              <w:t>61</w:t>
            </w:r>
          </w:p>
        </w:tc>
        <w:tc>
          <w:tcPr>
            <w:tcW w:w="1053" w:type="dxa"/>
            <w:noWrap/>
            <w:vAlign w:val="center"/>
          </w:tcPr>
          <w:p>
            <w:pPr>
              <w:pStyle w:val="63"/>
            </w:pPr>
            <w:r>
              <w:rPr>
                <w:rFonts w:hint="eastAsia"/>
              </w:rPr>
              <w:t>26.33</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53</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2</w:t>
            </w:r>
          </w:p>
        </w:tc>
        <w:tc>
          <w:tcPr>
            <w:tcW w:w="1890" w:type="dxa"/>
            <w:noWrap/>
            <w:vAlign w:val="center"/>
          </w:tcPr>
          <w:p>
            <w:pPr>
              <w:pStyle w:val="63"/>
            </w:pPr>
            <w:r>
              <w:rPr>
                <w:rFonts w:hint="eastAsia"/>
              </w:rPr>
              <w:t>储泥池</w:t>
            </w:r>
          </w:p>
        </w:tc>
        <w:tc>
          <w:tcPr>
            <w:tcW w:w="689" w:type="dxa"/>
            <w:noWrap/>
            <w:vAlign w:val="center"/>
          </w:tcPr>
          <w:p>
            <w:pPr>
              <w:pStyle w:val="63"/>
            </w:pPr>
            <w:r>
              <w:rPr>
                <w:rFonts w:hint="eastAsia"/>
              </w:rPr>
              <w:t>2.50</w:t>
            </w:r>
          </w:p>
        </w:tc>
        <w:tc>
          <w:tcPr>
            <w:tcW w:w="687" w:type="dxa"/>
            <w:noWrap/>
            <w:vAlign w:val="center"/>
          </w:tcPr>
          <w:p>
            <w:pPr>
              <w:pStyle w:val="63"/>
            </w:pPr>
            <w:r>
              <w:rPr>
                <w:rFonts w:hint="eastAsia"/>
              </w:rPr>
              <w:t>4.50</w:t>
            </w:r>
          </w:p>
        </w:tc>
        <w:tc>
          <w:tcPr>
            <w:tcW w:w="1053" w:type="dxa"/>
            <w:noWrap/>
            <w:vAlign w:val="center"/>
          </w:tcPr>
          <w:p>
            <w:pPr>
              <w:pStyle w:val="63"/>
            </w:pPr>
            <w:r>
              <w:rPr>
                <w:rFonts w:hint="eastAsia"/>
              </w:rPr>
              <w:t>0.50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11</w:t>
            </w:r>
          </w:p>
        </w:tc>
        <w:tc>
          <w:tcPr>
            <w:tcW w:w="1131" w:type="dxa"/>
            <w:noWrap/>
            <w:vAlign w:val="center"/>
          </w:tcPr>
          <w:p>
            <w:pPr>
              <w:pStyle w:val="63"/>
            </w:pPr>
            <w:r>
              <w:rPr>
                <w:rFonts w:hint="eastAsia"/>
              </w:rPr>
              <w:t>3</w:t>
            </w:r>
          </w:p>
        </w:tc>
        <w:tc>
          <w:tcPr>
            <w:tcW w:w="1053" w:type="dxa"/>
            <w:noWrap/>
            <w:vAlign w:val="center"/>
          </w:tcPr>
          <w:p>
            <w:pPr>
              <w:pStyle w:val="63"/>
            </w:pPr>
            <w:r>
              <w:rPr>
                <w:rFonts w:hint="eastAsia"/>
              </w:rPr>
              <w:t>34</w:t>
            </w:r>
          </w:p>
        </w:tc>
        <w:tc>
          <w:tcPr>
            <w:tcW w:w="1053" w:type="dxa"/>
            <w:noWrap/>
            <w:vAlign w:val="center"/>
          </w:tcPr>
          <w:p>
            <w:pPr>
              <w:pStyle w:val="63"/>
            </w:pPr>
            <w:r>
              <w:rPr>
                <w:rFonts w:hint="eastAsia"/>
              </w:rPr>
              <w:t>5.63</w:t>
            </w:r>
          </w:p>
        </w:tc>
        <w:tc>
          <w:tcPr>
            <w:tcW w:w="814" w:type="dxa"/>
            <w:noWrap/>
            <w:vAlign w:val="center"/>
          </w:tcPr>
          <w:p>
            <w:pPr>
              <w:pStyle w:val="63"/>
            </w:pPr>
            <w:r>
              <w:rPr>
                <w:rFonts w:hint="eastAsia"/>
              </w:rPr>
              <w:t>2</w:t>
            </w:r>
          </w:p>
        </w:tc>
        <w:tc>
          <w:tcPr>
            <w:tcW w:w="874" w:type="dxa"/>
            <w:noWrap/>
            <w:vAlign w:val="center"/>
          </w:tcPr>
          <w:p>
            <w:pPr>
              <w:pStyle w:val="63"/>
            </w:pPr>
            <w:r>
              <w:rPr>
                <w:rFonts w:hint="eastAsia"/>
              </w:rPr>
              <w:t>11</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3</w:t>
            </w:r>
          </w:p>
        </w:tc>
        <w:tc>
          <w:tcPr>
            <w:tcW w:w="1890" w:type="dxa"/>
            <w:vAlign w:val="center"/>
          </w:tcPr>
          <w:p>
            <w:pPr>
              <w:pStyle w:val="63"/>
            </w:pPr>
            <w:r>
              <w:rPr>
                <w:rFonts w:hint="eastAsia"/>
              </w:rPr>
              <w:t>二层高压板框机罩</w:t>
            </w:r>
          </w:p>
        </w:tc>
        <w:tc>
          <w:tcPr>
            <w:tcW w:w="689" w:type="dxa"/>
            <w:noWrap/>
            <w:vAlign w:val="center"/>
          </w:tcPr>
          <w:p>
            <w:pPr>
              <w:pStyle w:val="63"/>
            </w:pPr>
            <w:r>
              <w:rPr>
                <w:rFonts w:hint="eastAsia"/>
              </w:rPr>
              <w:t>10.00</w:t>
            </w:r>
          </w:p>
        </w:tc>
        <w:tc>
          <w:tcPr>
            <w:tcW w:w="687" w:type="dxa"/>
            <w:noWrap/>
            <w:vAlign w:val="center"/>
          </w:tcPr>
          <w:p>
            <w:pPr>
              <w:pStyle w:val="63"/>
            </w:pPr>
            <w:r>
              <w:rPr>
                <w:rFonts w:hint="eastAsia"/>
              </w:rPr>
              <w:t>2.80</w:t>
            </w:r>
          </w:p>
        </w:tc>
        <w:tc>
          <w:tcPr>
            <w:tcW w:w="1053" w:type="dxa"/>
            <w:noWrap/>
            <w:vAlign w:val="center"/>
          </w:tcPr>
          <w:p>
            <w:pPr>
              <w:pStyle w:val="63"/>
            </w:pPr>
            <w:r>
              <w:rPr>
                <w:rFonts w:hint="eastAsia"/>
              </w:rPr>
              <w:t>5.00</w:t>
            </w:r>
          </w:p>
        </w:tc>
        <w:tc>
          <w:tcPr>
            <w:tcW w:w="634" w:type="dxa"/>
            <w:noWrap/>
            <w:vAlign w:val="center"/>
          </w:tcPr>
          <w:p>
            <w:pPr>
              <w:pStyle w:val="63"/>
            </w:pPr>
            <w:r>
              <w:rPr>
                <w:rFonts w:hint="eastAsia"/>
              </w:rPr>
              <w:t>2</w:t>
            </w:r>
          </w:p>
        </w:tc>
        <w:tc>
          <w:tcPr>
            <w:tcW w:w="1053" w:type="dxa"/>
            <w:noWrap/>
            <w:vAlign w:val="center"/>
          </w:tcPr>
          <w:p>
            <w:pPr>
              <w:pStyle w:val="63"/>
            </w:pPr>
            <w:r>
              <w:rPr>
                <w:rFonts w:hint="eastAsia"/>
              </w:rPr>
              <w:t>56</w:t>
            </w:r>
          </w:p>
        </w:tc>
        <w:tc>
          <w:tcPr>
            <w:tcW w:w="1131" w:type="dxa"/>
            <w:noWrap/>
            <w:vAlign w:val="center"/>
          </w:tcPr>
          <w:p>
            <w:pPr>
              <w:pStyle w:val="63"/>
            </w:pPr>
            <w:r>
              <w:rPr>
                <w:rFonts w:hint="eastAsia"/>
              </w:rPr>
              <w:t>0</w:t>
            </w:r>
          </w:p>
        </w:tc>
        <w:tc>
          <w:tcPr>
            <w:tcW w:w="1053" w:type="dxa"/>
            <w:noWrap/>
            <w:vAlign w:val="center"/>
          </w:tcPr>
          <w:p>
            <w:pPr>
              <w:pStyle w:val="63"/>
            </w:pPr>
            <w:r>
              <w:rPr>
                <w:rFonts w:hint="eastAsia"/>
              </w:rPr>
              <w:t>0</w:t>
            </w:r>
          </w:p>
        </w:tc>
        <w:tc>
          <w:tcPr>
            <w:tcW w:w="1053" w:type="dxa"/>
            <w:noWrap/>
            <w:vAlign w:val="center"/>
          </w:tcPr>
          <w:p>
            <w:pPr>
              <w:pStyle w:val="63"/>
            </w:pPr>
            <w:r>
              <w:rPr>
                <w:rFonts w:hint="eastAsia"/>
              </w:rPr>
              <w:t>280.00</w:t>
            </w:r>
          </w:p>
        </w:tc>
        <w:tc>
          <w:tcPr>
            <w:tcW w:w="814" w:type="dxa"/>
            <w:noWrap/>
            <w:vAlign w:val="center"/>
          </w:tcPr>
          <w:p>
            <w:pPr>
              <w:pStyle w:val="63"/>
            </w:pPr>
            <w:r>
              <w:rPr>
                <w:rFonts w:hint="eastAsia"/>
              </w:rPr>
              <w:t>10</w:t>
            </w:r>
          </w:p>
        </w:tc>
        <w:tc>
          <w:tcPr>
            <w:tcW w:w="874" w:type="dxa"/>
            <w:noWrap/>
            <w:vAlign w:val="center"/>
          </w:tcPr>
          <w:p>
            <w:pPr>
              <w:pStyle w:val="63"/>
            </w:pPr>
            <w:r>
              <w:rPr>
                <w:rFonts w:hint="eastAsia"/>
              </w:rPr>
              <w:t>2800</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4</w:t>
            </w:r>
          </w:p>
        </w:tc>
        <w:tc>
          <w:tcPr>
            <w:tcW w:w="1890" w:type="dxa"/>
            <w:vAlign w:val="center"/>
          </w:tcPr>
          <w:p>
            <w:pPr>
              <w:pStyle w:val="63"/>
            </w:pPr>
            <w:r>
              <w:rPr>
                <w:rFonts w:hint="eastAsia"/>
              </w:rPr>
              <w:t>一层水平皮带输送机罩</w:t>
            </w:r>
          </w:p>
        </w:tc>
        <w:tc>
          <w:tcPr>
            <w:tcW w:w="689" w:type="dxa"/>
            <w:noWrap/>
            <w:vAlign w:val="center"/>
          </w:tcPr>
          <w:p>
            <w:pPr>
              <w:pStyle w:val="63"/>
            </w:pPr>
            <w:r>
              <w:rPr>
                <w:rFonts w:hint="eastAsia"/>
              </w:rPr>
              <w:t>11.00</w:t>
            </w:r>
          </w:p>
        </w:tc>
        <w:tc>
          <w:tcPr>
            <w:tcW w:w="687" w:type="dxa"/>
            <w:noWrap/>
            <w:vAlign w:val="center"/>
          </w:tcPr>
          <w:p>
            <w:pPr>
              <w:pStyle w:val="63"/>
            </w:pPr>
            <w:r>
              <w:rPr>
                <w:rFonts w:hint="eastAsia"/>
              </w:rPr>
              <w:t>3.00</w:t>
            </w:r>
          </w:p>
        </w:tc>
        <w:tc>
          <w:tcPr>
            <w:tcW w:w="1053" w:type="dxa"/>
            <w:noWrap/>
            <w:vAlign w:val="center"/>
          </w:tcPr>
          <w:p>
            <w:pPr>
              <w:pStyle w:val="63"/>
            </w:pPr>
            <w:r>
              <w:rPr>
                <w:rFonts w:hint="eastAsia"/>
              </w:rPr>
              <w:t>2.50</w:t>
            </w:r>
          </w:p>
        </w:tc>
        <w:tc>
          <w:tcPr>
            <w:tcW w:w="634" w:type="dxa"/>
            <w:noWrap/>
            <w:vAlign w:val="center"/>
          </w:tcPr>
          <w:p>
            <w:pPr>
              <w:pStyle w:val="63"/>
            </w:pPr>
            <w:r>
              <w:rPr>
                <w:rFonts w:hint="eastAsia"/>
              </w:rPr>
              <w:t>2</w:t>
            </w:r>
          </w:p>
        </w:tc>
        <w:tc>
          <w:tcPr>
            <w:tcW w:w="1053" w:type="dxa"/>
            <w:noWrap/>
            <w:vAlign w:val="center"/>
          </w:tcPr>
          <w:p>
            <w:pPr>
              <w:pStyle w:val="63"/>
            </w:pPr>
            <w:r>
              <w:rPr>
                <w:rFonts w:hint="eastAsia"/>
              </w:rPr>
              <w:t>66</w:t>
            </w:r>
          </w:p>
        </w:tc>
        <w:tc>
          <w:tcPr>
            <w:tcW w:w="1131" w:type="dxa"/>
            <w:noWrap/>
            <w:vAlign w:val="center"/>
          </w:tcPr>
          <w:p>
            <w:pPr>
              <w:pStyle w:val="63"/>
            </w:pPr>
            <w:r>
              <w:rPr>
                <w:rFonts w:hint="eastAsia"/>
              </w:rPr>
              <w:t>0</w:t>
            </w:r>
          </w:p>
        </w:tc>
        <w:tc>
          <w:tcPr>
            <w:tcW w:w="1053" w:type="dxa"/>
            <w:noWrap/>
            <w:vAlign w:val="center"/>
          </w:tcPr>
          <w:p>
            <w:pPr>
              <w:pStyle w:val="63"/>
            </w:pPr>
            <w:r>
              <w:rPr>
                <w:rFonts w:hint="eastAsia"/>
              </w:rPr>
              <w:t>0</w:t>
            </w:r>
          </w:p>
        </w:tc>
        <w:tc>
          <w:tcPr>
            <w:tcW w:w="1053" w:type="dxa"/>
            <w:noWrap/>
            <w:vAlign w:val="center"/>
          </w:tcPr>
          <w:p>
            <w:pPr>
              <w:pStyle w:val="63"/>
            </w:pPr>
            <w:r>
              <w:rPr>
                <w:rFonts w:hint="eastAsia"/>
              </w:rPr>
              <w:t>165.00</w:t>
            </w:r>
          </w:p>
        </w:tc>
        <w:tc>
          <w:tcPr>
            <w:tcW w:w="814" w:type="dxa"/>
            <w:noWrap/>
            <w:vAlign w:val="center"/>
          </w:tcPr>
          <w:p>
            <w:pPr>
              <w:pStyle w:val="63"/>
            </w:pPr>
            <w:r>
              <w:rPr>
                <w:rFonts w:hint="eastAsia"/>
              </w:rPr>
              <w:t>10</w:t>
            </w:r>
          </w:p>
        </w:tc>
        <w:tc>
          <w:tcPr>
            <w:tcW w:w="874" w:type="dxa"/>
            <w:noWrap/>
            <w:vAlign w:val="center"/>
          </w:tcPr>
          <w:p>
            <w:pPr>
              <w:pStyle w:val="63"/>
            </w:pPr>
            <w:r>
              <w:rPr>
                <w:rFonts w:hint="eastAsia"/>
              </w:rPr>
              <w:t>1650</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1820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5</w:t>
            </w:r>
          </w:p>
        </w:tc>
        <w:tc>
          <w:tcPr>
            <w:tcW w:w="1890" w:type="dxa"/>
            <w:noWrap/>
            <w:vAlign w:val="center"/>
          </w:tcPr>
          <w:p>
            <w:pPr>
              <w:pStyle w:val="63"/>
            </w:pPr>
            <w:r>
              <w:rPr>
                <w:rFonts w:hint="eastAsia"/>
              </w:rPr>
              <w:t>带式浓缩机</w:t>
            </w:r>
          </w:p>
        </w:tc>
        <w:tc>
          <w:tcPr>
            <w:tcW w:w="689" w:type="dxa"/>
            <w:noWrap/>
            <w:vAlign w:val="center"/>
          </w:tcPr>
          <w:p>
            <w:pPr>
              <w:pStyle w:val="63"/>
            </w:pPr>
            <w:r>
              <w:rPr>
                <w:rFonts w:hint="eastAsia"/>
              </w:rPr>
              <w:t>4.20</w:t>
            </w:r>
          </w:p>
        </w:tc>
        <w:tc>
          <w:tcPr>
            <w:tcW w:w="687" w:type="dxa"/>
            <w:noWrap/>
            <w:vAlign w:val="center"/>
          </w:tcPr>
          <w:p>
            <w:pPr>
              <w:pStyle w:val="63"/>
            </w:pPr>
            <w:r>
              <w:rPr>
                <w:rFonts w:hint="eastAsia"/>
              </w:rPr>
              <w:t>3.60</w:t>
            </w:r>
          </w:p>
        </w:tc>
        <w:tc>
          <w:tcPr>
            <w:tcW w:w="1053" w:type="dxa"/>
            <w:noWrap/>
            <w:vAlign w:val="center"/>
          </w:tcPr>
          <w:p>
            <w:pPr>
              <w:pStyle w:val="63"/>
            </w:pPr>
            <w:r>
              <w:rPr>
                <w:rFonts w:hint="eastAsia"/>
              </w:rPr>
              <w:t>3.00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15</w:t>
            </w:r>
          </w:p>
        </w:tc>
        <w:tc>
          <w:tcPr>
            <w:tcW w:w="1131" w:type="dxa"/>
            <w:noWrap/>
            <w:vAlign w:val="center"/>
          </w:tcPr>
          <w:p>
            <w:pPr>
              <w:pStyle w:val="63"/>
            </w:pPr>
            <w:r>
              <w:rPr>
                <w:rFonts w:hint="eastAsia"/>
              </w:rPr>
              <w:t>0</w:t>
            </w:r>
          </w:p>
        </w:tc>
        <w:tc>
          <w:tcPr>
            <w:tcW w:w="1053" w:type="dxa"/>
            <w:noWrap/>
            <w:vAlign w:val="center"/>
          </w:tcPr>
          <w:p>
            <w:pPr>
              <w:pStyle w:val="63"/>
            </w:pPr>
            <w:r>
              <w:rPr>
                <w:rFonts w:hint="eastAsia"/>
              </w:rPr>
              <w:t>0</w:t>
            </w:r>
          </w:p>
        </w:tc>
        <w:tc>
          <w:tcPr>
            <w:tcW w:w="1053" w:type="dxa"/>
            <w:noWrap/>
            <w:vAlign w:val="center"/>
          </w:tcPr>
          <w:p>
            <w:pPr>
              <w:pStyle w:val="63"/>
            </w:pPr>
            <w:r>
              <w:rPr>
                <w:rFonts w:hint="eastAsia"/>
              </w:rPr>
              <w:t>45.36</w:t>
            </w:r>
          </w:p>
        </w:tc>
        <w:tc>
          <w:tcPr>
            <w:tcW w:w="814" w:type="dxa"/>
            <w:noWrap/>
            <w:vAlign w:val="center"/>
          </w:tcPr>
          <w:p>
            <w:pPr>
              <w:pStyle w:val="63"/>
            </w:pPr>
            <w:r>
              <w:rPr>
                <w:rFonts w:hint="eastAsia"/>
              </w:rPr>
              <w:t>10</w:t>
            </w:r>
          </w:p>
        </w:tc>
        <w:tc>
          <w:tcPr>
            <w:tcW w:w="874" w:type="dxa"/>
            <w:noWrap/>
            <w:vAlign w:val="center"/>
          </w:tcPr>
          <w:p>
            <w:pPr>
              <w:pStyle w:val="63"/>
            </w:pPr>
            <w:r>
              <w:rPr>
                <w:rFonts w:hint="eastAsia"/>
              </w:rPr>
              <w:t>454</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r>
              <w:rPr>
                <w:rFonts w:hint="eastAsia"/>
              </w:rPr>
              <w:t>6</w:t>
            </w:r>
          </w:p>
        </w:tc>
        <w:tc>
          <w:tcPr>
            <w:tcW w:w="1890" w:type="dxa"/>
            <w:noWrap/>
            <w:vAlign w:val="center"/>
          </w:tcPr>
          <w:p>
            <w:pPr>
              <w:pStyle w:val="63"/>
            </w:pPr>
            <w:r>
              <w:rPr>
                <w:rFonts w:hint="eastAsia"/>
              </w:rPr>
              <w:t>阳光棚</w:t>
            </w:r>
          </w:p>
        </w:tc>
        <w:tc>
          <w:tcPr>
            <w:tcW w:w="689" w:type="dxa"/>
            <w:noWrap/>
            <w:vAlign w:val="center"/>
          </w:tcPr>
          <w:p>
            <w:pPr>
              <w:pStyle w:val="63"/>
            </w:pPr>
            <w:r>
              <w:rPr>
                <w:rFonts w:hint="eastAsia"/>
              </w:rPr>
              <w:t>6.90</w:t>
            </w:r>
          </w:p>
        </w:tc>
        <w:tc>
          <w:tcPr>
            <w:tcW w:w="687" w:type="dxa"/>
            <w:noWrap/>
            <w:vAlign w:val="center"/>
          </w:tcPr>
          <w:p>
            <w:pPr>
              <w:pStyle w:val="63"/>
            </w:pPr>
            <w:r>
              <w:rPr>
                <w:rFonts w:hint="eastAsia"/>
              </w:rPr>
              <w:t>7.40</w:t>
            </w:r>
          </w:p>
        </w:tc>
        <w:tc>
          <w:tcPr>
            <w:tcW w:w="1053" w:type="dxa"/>
            <w:noWrap/>
            <w:vAlign w:val="center"/>
          </w:tcPr>
          <w:p>
            <w:pPr>
              <w:pStyle w:val="63"/>
            </w:pPr>
            <w:r>
              <w:rPr>
                <w:rFonts w:hint="eastAsia"/>
              </w:rPr>
              <w:t>4.80</w:t>
            </w:r>
          </w:p>
        </w:tc>
        <w:tc>
          <w:tcPr>
            <w:tcW w:w="634" w:type="dxa"/>
            <w:noWrap/>
            <w:vAlign w:val="center"/>
          </w:tcPr>
          <w:p>
            <w:pPr>
              <w:pStyle w:val="63"/>
            </w:pPr>
            <w:r>
              <w:rPr>
                <w:rFonts w:hint="eastAsia"/>
              </w:rPr>
              <w:t>1</w:t>
            </w:r>
          </w:p>
        </w:tc>
        <w:tc>
          <w:tcPr>
            <w:tcW w:w="1053" w:type="dxa"/>
            <w:noWrap/>
            <w:vAlign w:val="center"/>
          </w:tcPr>
          <w:p>
            <w:pPr>
              <w:pStyle w:val="63"/>
            </w:pPr>
            <w:r>
              <w:rPr>
                <w:rFonts w:hint="eastAsia"/>
              </w:rPr>
              <w:t>51</w:t>
            </w:r>
          </w:p>
        </w:tc>
        <w:tc>
          <w:tcPr>
            <w:tcW w:w="1131" w:type="dxa"/>
            <w:noWrap/>
            <w:vAlign w:val="center"/>
          </w:tcPr>
          <w:p>
            <w:pPr>
              <w:pStyle w:val="63"/>
            </w:pPr>
            <w:r>
              <w:rPr>
                <w:rFonts w:hint="eastAsia"/>
              </w:rPr>
              <w:t>0</w:t>
            </w:r>
          </w:p>
        </w:tc>
        <w:tc>
          <w:tcPr>
            <w:tcW w:w="1053" w:type="dxa"/>
            <w:noWrap/>
            <w:vAlign w:val="center"/>
          </w:tcPr>
          <w:p>
            <w:pPr>
              <w:pStyle w:val="63"/>
            </w:pPr>
            <w:r>
              <w:rPr>
                <w:rFonts w:hint="eastAsia"/>
              </w:rPr>
              <w:t>0</w:t>
            </w:r>
          </w:p>
        </w:tc>
        <w:tc>
          <w:tcPr>
            <w:tcW w:w="1053" w:type="dxa"/>
            <w:noWrap/>
            <w:vAlign w:val="center"/>
          </w:tcPr>
          <w:p>
            <w:pPr>
              <w:pStyle w:val="63"/>
            </w:pPr>
            <w:r>
              <w:rPr>
                <w:rFonts w:hint="eastAsia"/>
              </w:rPr>
              <w:t>245.09</w:t>
            </w:r>
          </w:p>
        </w:tc>
        <w:tc>
          <w:tcPr>
            <w:tcW w:w="814" w:type="dxa"/>
            <w:noWrap/>
            <w:vAlign w:val="center"/>
          </w:tcPr>
          <w:p>
            <w:pPr>
              <w:pStyle w:val="63"/>
            </w:pPr>
            <w:r>
              <w:rPr>
                <w:rFonts w:hint="eastAsia"/>
              </w:rPr>
              <w:t>8</w:t>
            </w:r>
          </w:p>
        </w:tc>
        <w:tc>
          <w:tcPr>
            <w:tcW w:w="874" w:type="dxa"/>
            <w:noWrap/>
            <w:vAlign w:val="center"/>
          </w:tcPr>
          <w:p>
            <w:pPr>
              <w:pStyle w:val="63"/>
            </w:pPr>
            <w:r>
              <w:rPr>
                <w:rFonts w:hint="eastAsia"/>
              </w:rPr>
              <w:t>1961</w:t>
            </w:r>
          </w:p>
        </w:tc>
        <w:tc>
          <w:tcPr>
            <w:tcW w:w="835" w:type="dxa"/>
            <w:noWrap/>
            <w:vAlign w:val="center"/>
          </w:tcPr>
          <w:p>
            <w:pPr>
              <w:pStyle w:val="63"/>
            </w:pPr>
            <w:r>
              <w:rPr>
                <w:rFonts w:hint="eastAsia"/>
              </w:rPr>
              <w:t>1.1</w:t>
            </w:r>
          </w:p>
        </w:tc>
        <w:tc>
          <w:tcPr>
            <w:tcW w:w="809" w:type="dxa"/>
            <w:noWrap/>
            <w:vAlign w:val="center"/>
          </w:tcPr>
          <w:p>
            <w:pPr>
              <w:pStyle w:val="63"/>
            </w:pPr>
            <w:r>
              <w:rPr>
                <w:rFonts w:hint="eastAsia"/>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7" w:type="dxa"/>
            <w:noWrap/>
            <w:vAlign w:val="center"/>
          </w:tcPr>
          <w:p>
            <w:pPr>
              <w:pStyle w:val="63"/>
            </w:pPr>
          </w:p>
        </w:tc>
        <w:tc>
          <w:tcPr>
            <w:tcW w:w="11766" w:type="dxa"/>
            <w:gridSpan w:val="12"/>
            <w:noWrap/>
            <w:vAlign w:val="center"/>
          </w:tcPr>
          <w:p>
            <w:pPr>
              <w:pStyle w:val="63"/>
            </w:pPr>
            <w:r>
              <w:rPr>
                <w:rFonts w:hint="eastAsia"/>
              </w:rPr>
              <w:t>小计</w:t>
            </w:r>
          </w:p>
        </w:tc>
        <w:tc>
          <w:tcPr>
            <w:tcW w:w="809" w:type="dxa"/>
            <w:noWrap/>
            <w:vAlign w:val="center"/>
          </w:tcPr>
          <w:p>
            <w:pPr>
              <w:pStyle w:val="63"/>
            </w:pPr>
            <w:r>
              <w:rPr>
                <w:rFonts w:hint="eastAsia"/>
              </w:rPr>
              <w:t>7740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193" w:type="dxa"/>
            <w:gridSpan w:val="13"/>
            <w:noWrap/>
            <w:vAlign w:val="center"/>
          </w:tcPr>
          <w:p>
            <w:pPr>
              <w:pStyle w:val="63"/>
            </w:pPr>
            <w:r>
              <w:rPr>
                <w:rFonts w:hint="eastAsia"/>
              </w:rPr>
              <w:t>合计</w:t>
            </w:r>
          </w:p>
        </w:tc>
        <w:tc>
          <w:tcPr>
            <w:tcW w:w="809" w:type="dxa"/>
            <w:noWrap/>
            <w:vAlign w:val="center"/>
          </w:tcPr>
          <w:p>
            <w:pPr>
              <w:pStyle w:val="63"/>
            </w:pPr>
            <w:r>
              <w:rPr>
                <w:rFonts w:hint="eastAsia"/>
              </w:rPr>
              <w:t>19470</w:t>
            </w:r>
          </w:p>
        </w:tc>
      </w:tr>
    </w:tbl>
    <w:p>
      <w:pPr>
        <w:pStyle w:val="63"/>
      </w:pPr>
      <w:r>
        <w:tab/>
      </w:r>
    </w:p>
    <w:p>
      <w:pPr>
        <w:pStyle w:val="5"/>
        <w:ind w:firstLine="480"/>
      </w:pPr>
      <w:r>
        <w:rPr>
          <w:rFonts w:hint="eastAsia"/>
        </w:rPr>
        <w:t>各构筑物污染物产生情况见</w:t>
      </w:r>
      <w:r>
        <w:fldChar w:fldCharType="begin"/>
      </w:r>
      <w:r>
        <w:instrText xml:space="preserve"> </w:instrText>
      </w:r>
      <w:r>
        <w:rPr>
          <w:rFonts w:hint="eastAsia"/>
        </w:rPr>
        <w:instrText xml:space="preserve">REF _Ref169776123 \h</w:instrText>
      </w:r>
      <w:r>
        <w:instrText xml:space="preserve"> </w:instrText>
      </w:r>
      <w:r>
        <w:fldChar w:fldCharType="separate"/>
      </w:r>
      <w:r>
        <w:t>表 4.2</w:t>
      </w:r>
      <w:r>
        <w:noBreakHyphen/>
      </w:r>
      <w:r>
        <w:t>4</w:t>
      </w:r>
      <w:r>
        <w:fldChar w:fldCharType="end"/>
      </w:r>
      <w:r>
        <w:rPr>
          <w:rFonts w:hint="eastAsia"/>
        </w:rPr>
        <w:t>。</w:t>
      </w:r>
    </w:p>
    <w:p>
      <w:pPr>
        <w:pStyle w:val="14"/>
        <w:keepNext/>
      </w:pPr>
      <w:bookmarkStart w:id="61" w:name="_Ref169776123"/>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4</w:t>
      </w:r>
      <w:r>
        <w:fldChar w:fldCharType="end"/>
      </w:r>
      <w:bookmarkEnd w:id="61"/>
      <w:r>
        <w:rPr>
          <w:rFonts w:hint="eastAsia"/>
        </w:rPr>
        <w:t xml:space="preserve">   各构筑物污染物产生情况</w:t>
      </w:r>
    </w:p>
    <w:tbl>
      <w:tblPr>
        <w:tblStyle w:val="39"/>
        <w:tblW w:w="13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980"/>
        <w:gridCol w:w="1849"/>
        <w:gridCol w:w="1620"/>
        <w:gridCol w:w="1542"/>
        <w:gridCol w:w="2541"/>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929" w:type="dxa"/>
            <w:vAlign w:val="center"/>
          </w:tcPr>
          <w:p>
            <w:pPr>
              <w:pStyle w:val="63"/>
            </w:pPr>
            <w:r>
              <w:rPr>
                <w:rFonts w:hint="eastAsia"/>
              </w:rPr>
              <w:t>序号</w:t>
            </w:r>
          </w:p>
        </w:tc>
        <w:tc>
          <w:tcPr>
            <w:tcW w:w="1980" w:type="dxa"/>
            <w:vAlign w:val="center"/>
          </w:tcPr>
          <w:p>
            <w:pPr>
              <w:pStyle w:val="63"/>
            </w:pPr>
            <w:r>
              <w:rPr>
                <w:rFonts w:hint="eastAsia"/>
              </w:rPr>
              <w:t>构筑物名称</w:t>
            </w:r>
          </w:p>
        </w:tc>
        <w:tc>
          <w:tcPr>
            <w:tcW w:w="1849" w:type="dxa"/>
            <w:vAlign w:val="center"/>
          </w:tcPr>
          <w:p>
            <w:pPr>
              <w:pStyle w:val="63"/>
            </w:pPr>
            <w:r>
              <w:rPr>
                <w:rFonts w:hint="eastAsia"/>
              </w:rPr>
              <w:t>污染物名称</w:t>
            </w:r>
          </w:p>
        </w:tc>
        <w:tc>
          <w:tcPr>
            <w:tcW w:w="1620" w:type="dxa"/>
            <w:vAlign w:val="center"/>
          </w:tcPr>
          <w:p>
            <w:pPr>
              <w:pStyle w:val="63"/>
            </w:pPr>
            <w:r>
              <w:rPr>
                <w:rFonts w:hint="eastAsia"/>
              </w:rPr>
              <w:t>产生量t/a</w:t>
            </w:r>
          </w:p>
        </w:tc>
        <w:tc>
          <w:tcPr>
            <w:tcW w:w="1542" w:type="dxa"/>
            <w:vAlign w:val="center"/>
          </w:tcPr>
          <w:p>
            <w:pPr>
              <w:pStyle w:val="63"/>
            </w:pPr>
            <w:r>
              <w:rPr>
                <w:rFonts w:hint="eastAsia"/>
              </w:rPr>
              <w:t>收集效率</w:t>
            </w:r>
          </w:p>
        </w:tc>
        <w:tc>
          <w:tcPr>
            <w:tcW w:w="2541" w:type="dxa"/>
            <w:vAlign w:val="center"/>
          </w:tcPr>
          <w:p>
            <w:pPr>
              <w:pStyle w:val="63"/>
            </w:pPr>
            <w:r>
              <w:rPr>
                <w:rFonts w:hint="eastAsia"/>
              </w:rPr>
              <w:t>有组织收集量t/a</w:t>
            </w:r>
          </w:p>
        </w:tc>
        <w:tc>
          <w:tcPr>
            <w:tcW w:w="2541" w:type="dxa"/>
            <w:vAlign w:val="center"/>
          </w:tcPr>
          <w:p>
            <w:pPr>
              <w:pStyle w:val="63"/>
            </w:pPr>
            <w:r>
              <w:rPr>
                <w:rFonts w:hint="eastAsia"/>
              </w:rPr>
              <w:t>无组织产生量t/a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restart"/>
            <w:vAlign w:val="center"/>
          </w:tcPr>
          <w:p>
            <w:pPr>
              <w:pStyle w:val="63"/>
              <w:numPr>
                <w:ilvl w:val="0"/>
                <w:numId w:val="9"/>
              </w:numPr>
            </w:pPr>
          </w:p>
        </w:tc>
        <w:tc>
          <w:tcPr>
            <w:tcW w:w="1980" w:type="dxa"/>
            <w:vMerge w:val="restart"/>
            <w:vAlign w:val="center"/>
          </w:tcPr>
          <w:p>
            <w:pPr>
              <w:pStyle w:val="63"/>
            </w:pPr>
            <w:r>
              <w:rPr>
                <w:rFonts w:hint="eastAsia"/>
              </w:rPr>
              <w:t>格栅</w:t>
            </w:r>
          </w:p>
        </w:tc>
        <w:tc>
          <w:tcPr>
            <w:tcW w:w="1849" w:type="dxa"/>
            <w:noWrap/>
            <w:vAlign w:val="center"/>
          </w:tcPr>
          <w:p>
            <w:pPr>
              <w:pStyle w:val="63"/>
            </w:pPr>
            <w:r>
              <w:rPr>
                <w:rFonts w:hint="eastAsia"/>
              </w:rPr>
              <w:t>氨</w:t>
            </w:r>
          </w:p>
        </w:tc>
        <w:tc>
          <w:tcPr>
            <w:tcW w:w="1620" w:type="dxa"/>
            <w:noWrap/>
            <w:vAlign w:val="center"/>
          </w:tcPr>
          <w:p>
            <w:pPr>
              <w:pStyle w:val="63"/>
            </w:pPr>
            <w:r>
              <w:rPr>
                <w:rFonts w:hint="eastAsia"/>
              </w:rPr>
              <w:t>0.00672</w:t>
            </w:r>
          </w:p>
        </w:tc>
        <w:tc>
          <w:tcPr>
            <w:tcW w:w="1542" w:type="dxa"/>
            <w:noWrap/>
            <w:vAlign w:val="center"/>
          </w:tcPr>
          <w:p>
            <w:pPr>
              <w:pStyle w:val="63"/>
            </w:pPr>
            <w:r>
              <w:rPr>
                <w:rFonts w:hint="eastAsia"/>
              </w:rPr>
              <w:t>0.9</w:t>
            </w:r>
          </w:p>
        </w:tc>
        <w:tc>
          <w:tcPr>
            <w:tcW w:w="2541" w:type="dxa"/>
            <w:noWrap/>
          </w:tcPr>
          <w:p>
            <w:pPr>
              <w:pStyle w:val="63"/>
            </w:pPr>
            <w:r>
              <w:t xml:space="preserve">0.00605 </w:t>
            </w:r>
          </w:p>
        </w:tc>
        <w:tc>
          <w:tcPr>
            <w:tcW w:w="2541" w:type="dxa"/>
            <w:noWrap/>
          </w:tcPr>
          <w:p>
            <w:pPr>
              <w:pStyle w:val="63"/>
            </w:pPr>
            <w:r>
              <w:t>0.000672459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continue"/>
            <w:vAlign w:val="center"/>
          </w:tcPr>
          <w:p>
            <w:pPr>
              <w:pStyle w:val="63"/>
              <w:numPr>
                <w:ilvl w:val="0"/>
                <w:numId w:val="9"/>
              </w:numPr>
            </w:pPr>
          </w:p>
        </w:tc>
        <w:tc>
          <w:tcPr>
            <w:tcW w:w="1980" w:type="dxa"/>
            <w:vMerge w:val="continue"/>
            <w:vAlign w:val="center"/>
          </w:tcPr>
          <w:p>
            <w:pPr>
              <w:pStyle w:val="63"/>
            </w:pPr>
          </w:p>
        </w:tc>
        <w:tc>
          <w:tcPr>
            <w:tcW w:w="1849" w:type="dxa"/>
            <w:noWrap/>
            <w:vAlign w:val="center"/>
          </w:tcPr>
          <w:p>
            <w:pPr>
              <w:pStyle w:val="63"/>
            </w:pPr>
            <w:r>
              <w:rPr>
                <w:rFonts w:hint="eastAsia"/>
              </w:rPr>
              <w:t>硫化氢</w:t>
            </w:r>
          </w:p>
        </w:tc>
        <w:tc>
          <w:tcPr>
            <w:tcW w:w="1620" w:type="dxa"/>
            <w:noWrap/>
            <w:vAlign w:val="center"/>
          </w:tcPr>
          <w:p>
            <w:pPr>
              <w:pStyle w:val="63"/>
            </w:pPr>
            <w:r>
              <w:rPr>
                <w:rFonts w:hint="eastAsia"/>
              </w:rPr>
              <w:t>0.00037</w:t>
            </w:r>
          </w:p>
        </w:tc>
        <w:tc>
          <w:tcPr>
            <w:tcW w:w="1542" w:type="dxa"/>
            <w:noWrap/>
          </w:tcPr>
          <w:p>
            <w:pPr>
              <w:pStyle w:val="63"/>
            </w:pPr>
            <w:r>
              <w:rPr>
                <w:rFonts w:hint="eastAsia"/>
              </w:rPr>
              <w:t>0.9</w:t>
            </w:r>
          </w:p>
        </w:tc>
        <w:tc>
          <w:tcPr>
            <w:tcW w:w="2541" w:type="dxa"/>
            <w:noWrap/>
          </w:tcPr>
          <w:p>
            <w:pPr>
              <w:pStyle w:val="63"/>
            </w:pPr>
            <w:r>
              <w:t xml:space="preserve">0.00033 </w:t>
            </w:r>
          </w:p>
        </w:tc>
        <w:tc>
          <w:tcPr>
            <w:tcW w:w="2541" w:type="dxa"/>
            <w:noWrap/>
          </w:tcPr>
          <w:p>
            <w:pPr>
              <w:pStyle w:val="63"/>
            </w:pPr>
            <w:r>
              <w:t>3.71008E-05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restart"/>
            <w:vAlign w:val="center"/>
          </w:tcPr>
          <w:p>
            <w:pPr>
              <w:pStyle w:val="63"/>
              <w:numPr>
                <w:ilvl w:val="0"/>
                <w:numId w:val="9"/>
              </w:numPr>
            </w:pPr>
          </w:p>
        </w:tc>
        <w:tc>
          <w:tcPr>
            <w:tcW w:w="1980" w:type="dxa"/>
            <w:vMerge w:val="restart"/>
            <w:vAlign w:val="center"/>
          </w:tcPr>
          <w:p>
            <w:pPr>
              <w:pStyle w:val="63"/>
            </w:pPr>
            <w:r>
              <w:rPr>
                <w:rFonts w:hint="eastAsia"/>
              </w:rPr>
              <w:t>调节池</w:t>
            </w:r>
          </w:p>
        </w:tc>
        <w:tc>
          <w:tcPr>
            <w:tcW w:w="1849" w:type="dxa"/>
            <w:noWrap/>
            <w:vAlign w:val="center"/>
          </w:tcPr>
          <w:p>
            <w:pPr>
              <w:pStyle w:val="63"/>
            </w:pPr>
            <w:r>
              <w:rPr>
                <w:rFonts w:hint="eastAsia"/>
              </w:rPr>
              <w:t>氨</w:t>
            </w:r>
          </w:p>
        </w:tc>
        <w:tc>
          <w:tcPr>
            <w:tcW w:w="1620" w:type="dxa"/>
            <w:noWrap/>
            <w:vAlign w:val="center"/>
          </w:tcPr>
          <w:p>
            <w:pPr>
              <w:pStyle w:val="63"/>
            </w:pPr>
            <w:r>
              <w:rPr>
                <w:rFonts w:hint="eastAsia"/>
              </w:rPr>
              <w:t>0.02185</w:t>
            </w:r>
          </w:p>
        </w:tc>
        <w:tc>
          <w:tcPr>
            <w:tcW w:w="1542" w:type="dxa"/>
            <w:noWrap/>
          </w:tcPr>
          <w:p>
            <w:pPr>
              <w:pStyle w:val="63"/>
            </w:pPr>
            <w:r>
              <w:rPr>
                <w:rFonts w:hint="eastAsia"/>
              </w:rPr>
              <w:t>0.9</w:t>
            </w:r>
          </w:p>
        </w:tc>
        <w:tc>
          <w:tcPr>
            <w:tcW w:w="2541" w:type="dxa"/>
            <w:noWrap/>
          </w:tcPr>
          <w:p>
            <w:pPr>
              <w:pStyle w:val="63"/>
            </w:pPr>
            <w:r>
              <w:t xml:space="preserve">0.01967 </w:t>
            </w:r>
          </w:p>
        </w:tc>
        <w:tc>
          <w:tcPr>
            <w:tcW w:w="2541" w:type="dxa"/>
            <w:noWrap/>
          </w:tcPr>
          <w:p>
            <w:pPr>
              <w:pStyle w:val="63"/>
            </w:pPr>
            <w:r>
              <w:t>0.002185492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continue"/>
            <w:vAlign w:val="center"/>
          </w:tcPr>
          <w:p>
            <w:pPr>
              <w:pStyle w:val="63"/>
              <w:numPr>
                <w:ilvl w:val="0"/>
                <w:numId w:val="9"/>
              </w:numPr>
            </w:pPr>
          </w:p>
        </w:tc>
        <w:tc>
          <w:tcPr>
            <w:tcW w:w="1980" w:type="dxa"/>
            <w:vMerge w:val="continue"/>
            <w:vAlign w:val="center"/>
          </w:tcPr>
          <w:p>
            <w:pPr>
              <w:pStyle w:val="63"/>
            </w:pPr>
          </w:p>
        </w:tc>
        <w:tc>
          <w:tcPr>
            <w:tcW w:w="1849" w:type="dxa"/>
            <w:noWrap/>
            <w:vAlign w:val="center"/>
          </w:tcPr>
          <w:p>
            <w:pPr>
              <w:pStyle w:val="63"/>
            </w:pPr>
            <w:r>
              <w:rPr>
                <w:rFonts w:hint="eastAsia"/>
              </w:rPr>
              <w:t>硫化氢</w:t>
            </w:r>
          </w:p>
        </w:tc>
        <w:tc>
          <w:tcPr>
            <w:tcW w:w="1620" w:type="dxa"/>
            <w:noWrap/>
            <w:vAlign w:val="center"/>
          </w:tcPr>
          <w:p>
            <w:pPr>
              <w:pStyle w:val="63"/>
            </w:pPr>
            <w:r>
              <w:rPr>
                <w:rFonts w:hint="eastAsia"/>
              </w:rPr>
              <w:t>0.00121</w:t>
            </w:r>
          </w:p>
        </w:tc>
        <w:tc>
          <w:tcPr>
            <w:tcW w:w="1542" w:type="dxa"/>
            <w:noWrap/>
          </w:tcPr>
          <w:p>
            <w:pPr>
              <w:pStyle w:val="63"/>
            </w:pPr>
            <w:r>
              <w:rPr>
                <w:rFonts w:hint="eastAsia"/>
              </w:rPr>
              <w:t>0.9</w:t>
            </w:r>
          </w:p>
        </w:tc>
        <w:tc>
          <w:tcPr>
            <w:tcW w:w="2541" w:type="dxa"/>
            <w:noWrap/>
          </w:tcPr>
          <w:p>
            <w:pPr>
              <w:pStyle w:val="63"/>
            </w:pPr>
            <w:r>
              <w:t xml:space="preserve">0.00109 </w:t>
            </w:r>
          </w:p>
        </w:tc>
        <w:tc>
          <w:tcPr>
            <w:tcW w:w="2541" w:type="dxa"/>
            <w:noWrap/>
          </w:tcPr>
          <w:p>
            <w:pPr>
              <w:pStyle w:val="63"/>
            </w:pPr>
            <w:r>
              <w:t>0.000120578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restart"/>
            <w:vAlign w:val="center"/>
          </w:tcPr>
          <w:p>
            <w:pPr>
              <w:pStyle w:val="63"/>
              <w:numPr>
                <w:ilvl w:val="0"/>
                <w:numId w:val="9"/>
              </w:numPr>
            </w:pPr>
          </w:p>
        </w:tc>
        <w:tc>
          <w:tcPr>
            <w:tcW w:w="1980" w:type="dxa"/>
            <w:vMerge w:val="restart"/>
            <w:vAlign w:val="center"/>
          </w:tcPr>
          <w:p>
            <w:pPr>
              <w:pStyle w:val="63"/>
            </w:pPr>
            <w:r>
              <w:rPr>
                <w:rFonts w:hint="eastAsia"/>
              </w:rPr>
              <w:t>平流沉砂</w:t>
            </w:r>
          </w:p>
        </w:tc>
        <w:tc>
          <w:tcPr>
            <w:tcW w:w="1849" w:type="dxa"/>
            <w:noWrap/>
            <w:vAlign w:val="center"/>
          </w:tcPr>
          <w:p>
            <w:pPr>
              <w:pStyle w:val="63"/>
            </w:pPr>
            <w:r>
              <w:rPr>
                <w:rFonts w:hint="eastAsia"/>
              </w:rPr>
              <w:t>氨</w:t>
            </w:r>
          </w:p>
        </w:tc>
        <w:tc>
          <w:tcPr>
            <w:tcW w:w="1620" w:type="dxa"/>
            <w:noWrap/>
            <w:vAlign w:val="center"/>
          </w:tcPr>
          <w:p>
            <w:pPr>
              <w:pStyle w:val="63"/>
            </w:pPr>
            <w:r>
              <w:rPr>
                <w:rFonts w:hint="eastAsia"/>
              </w:rPr>
              <w:t>0.01681</w:t>
            </w:r>
          </w:p>
        </w:tc>
        <w:tc>
          <w:tcPr>
            <w:tcW w:w="1542" w:type="dxa"/>
            <w:noWrap/>
          </w:tcPr>
          <w:p>
            <w:pPr>
              <w:pStyle w:val="63"/>
            </w:pPr>
            <w:r>
              <w:rPr>
                <w:rFonts w:hint="eastAsia"/>
              </w:rPr>
              <w:t>0.9</w:t>
            </w:r>
          </w:p>
        </w:tc>
        <w:tc>
          <w:tcPr>
            <w:tcW w:w="2541" w:type="dxa"/>
            <w:noWrap/>
          </w:tcPr>
          <w:p>
            <w:pPr>
              <w:pStyle w:val="63"/>
            </w:pPr>
            <w:r>
              <w:t xml:space="preserve">0.01513 </w:t>
            </w:r>
          </w:p>
        </w:tc>
        <w:tc>
          <w:tcPr>
            <w:tcW w:w="2541" w:type="dxa"/>
            <w:noWrap/>
          </w:tcPr>
          <w:p>
            <w:pPr>
              <w:pStyle w:val="63"/>
            </w:pPr>
            <w:r>
              <w:t>0.001681148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continue"/>
            <w:vAlign w:val="center"/>
          </w:tcPr>
          <w:p>
            <w:pPr>
              <w:pStyle w:val="63"/>
              <w:numPr>
                <w:ilvl w:val="0"/>
                <w:numId w:val="9"/>
              </w:numPr>
            </w:pPr>
          </w:p>
        </w:tc>
        <w:tc>
          <w:tcPr>
            <w:tcW w:w="1980" w:type="dxa"/>
            <w:vMerge w:val="continue"/>
            <w:vAlign w:val="center"/>
          </w:tcPr>
          <w:p>
            <w:pPr>
              <w:pStyle w:val="63"/>
            </w:pPr>
          </w:p>
        </w:tc>
        <w:tc>
          <w:tcPr>
            <w:tcW w:w="1849" w:type="dxa"/>
            <w:noWrap/>
            <w:vAlign w:val="center"/>
          </w:tcPr>
          <w:p>
            <w:pPr>
              <w:pStyle w:val="63"/>
            </w:pPr>
            <w:r>
              <w:rPr>
                <w:rFonts w:hint="eastAsia"/>
              </w:rPr>
              <w:t>硫化氢</w:t>
            </w:r>
          </w:p>
        </w:tc>
        <w:tc>
          <w:tcPr>
            <w:tcW w:w="1620" w:type="dxa"/>
            <w:noWrap/>
            <w:vAlign w:val="center"/>
          </w:tcPr>
          <w:p>
            <w:pPr>
              <w:pStyle w:val="63"/>
            </w:pPr>
            <w:r>
              <w:rPr>
                <w:rFonts w:hint="eastAsia"/>
              </w:rPr>
              <w:t>0.00093</w:t>
            </w:r>
          </w:p>
        </w:tc>
        <w:tc>
          <w:tcPr>
            <w:tcW w:w="1542" w:type="dxa"/>
            <w:noWrap/>
          </w:tcPr>
          <w:p>
            <w:pPr>
              <w:pStyle w:val="63"/>
            </w:pPr>
            <w:r>
              <w:rPr>
                <w:rFonts w:hint="eastAsia"/>
              </w:rPr>
              <w:t>0.9</w:t>
            </w:r>
          </w:p>
        </w:tc>
        <w:tc>
          <w:tcPr>
            <w:tcW w:w="2541" w:type="dxa"/>
            <w:noWrap/>
          </w:tcPr>
          <w:p>
            <w:pPr>
              <w:pStyle w:val="63"/>
            </w:pPr>
            <w:r>
              <w:t xml:space="preserve">0.00083 </w:t>
            </w:r>
          </w:p>
        </w:tc>
        <w:tc>
          <w:tcPr>
            <w:tcW w:w="2541" w:type="dxa"/>
            <w:noWrap/>
          </w:tcPr>
          <w:p>
            <w:pPr>
              <w:pStyle w:val="63"/>
            </w:pPr>
            <w:r>
              <w:t>9.2752E-05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restart"/>
            <w:vAlign w:val="center"/>
          </w:tcPr>
          <w:p>
            <w:pPr>
              <w:pStyle w:val="63"/>
              <w:numPr>
                <w:ilvl w:val="0"/>
                <w:numId w:val="9"/>
              </w:numPr>
            </w:pPr>
          </w:p>
        </w:tc>
        <w:tc>
          <w:tcPr>
            <w:tcW w:w="1980" w:type="dxa"/>
            <w:vMerge w:val="restart"/>
            <w:vAlign w:val="center"/>
          </w:tcPr>
          <w:p>
            <w:pPr>
              <w:pStyle w:val="63"/>
            </w:pPr>
            <w:r>
              <w:rPr>
                <w:rFonts w:hint="eastAsia"/>
              </w:rPr>
              <w:t>水解酸化</w:t>
            </w:r>
          </w:p>
        </w:tc>
        <w:tc>
          <w:tcPr>
            <w:tcW w:w="1849" w:type="dxa"/>
            <w:noWrap/>
            <w:vAlign w:val="center"/>
          </w:tcPr>
          <w:p>
            <w:pPr>
              <w:pStyle w:val="63"/>
            </w:pPr>
            <w:r>
              <w:rPr>
                <w:rFonts w:hint="eastAsia"/>
              </w:rPr>
              <w:t>氨</w:t>
            </w:r>
          </w:p>
        </w:tc>
        <w:tc>
          <w:tcPr>
            <w:tcW w:w="1620" w:type="dxa"/>
            <w:noWrap/>
            <w:vAlign w:val="center"/>
          </w:tcPr>
          <w:p>
            <w:pPr>
              <w:pStyle w:val="63"/>
            </w:pPr>
            <w:r>
              <w:rPr>
                <w:rFonts w:hint="eastAsia"/>
              </w:rPr>
              <w:t>0.01849</w:t>
            </w:r>
          </w:p>
        </w:tc>
        <w:tc>
          <w:tcPr>
            <w:tcW w:w="1542" w:type="dxa"/>
            <w:noWrap/>
          </w:tcPr>
          <w:p>
            <w:pPr>
              <w:pStyle w:val="63"/>
            </w:pPr>
            <w:r>
              <w:rPr>
                <w:rFonts w:hint="eastAsia"/>
              </w:rPr>
              <w:t>0.9</w:t>
            </w:r>
          </w:p>
        </w:tc>
        <w:tc>
          <w:tcPr>
            <w:tcW w:w="2541" w:type="dxa"/>
            <w:noWrap/>
          </w:tcPr>
          <w:p>
            <w:pPr>
              <w:pStyle w:val="63"/>
            </w:pPr>
            <w:r>
              <w:t xml:space="preserve">0.01664 </w:t>
            </w:r>
          </w:p>
        </w:tc>
        <w:tc>
          <w:tcPr>
            <w:tcW w:w="2541" w:type="dxa"/>
            <w:noWrap/>
          </w:tcPr>
          <w:p>
            <w:pPr>
              <w:pStyle w:val="63"/>
            </w:pPr>
            <w:r>
              <w:t>0.001849263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continue"/>
            <w:vAlign w:val="center"/>
          </w:tcPr>
          <w:p>
            <w:pPr>
              <w:pStyle w:val="63"/>
              <w:numPr>
                <w:ilvl w:val="0"/>
                <w:numId w:val="9"/>
              </w:numPr>
            </w:pPr>
          </w:p>
        </w:tc>
        <w:tc>
          <w:tcPr>
            <w:tcW w:w="1980" w:type="dxa"/>
            <w:vMerge w:val="continue"/>
            <w:vAlign w:val="center"/>
          </w:tcPr>
          <w:p>
            <w:pPr>
              <w:pStyle w:val="63"/>
            </w:pPr>
          </w:p>
        </w:tc>
        <w:tc>
          <w:tcPr>
            <w:tcW w:w="1849" w:type="dxa"/>
            <w:noWrap/>
            <w:vAlign w:val="center"/>
          </w:tcPr>
          <w:p>
            <w:pPr>
              <w:pStyle w:val="63"/>
            </w:pPr>
            <w:r>
              <w:rPr>
                <w:rFonts w:hint="eastAsia"/>
              </w:rPr>
              <w:t>硫化氢</w:t>
            </w:r>
          </w:p>
        </w:tc>
        <w:tc>
          <w:tcPr>
            <w:tcW w:w="1620" w:type="dxa"/>
            <w:noWrap/>
            <w:vAlign w:val="center"/>
          </w:tcPr>
          <w:p>
            <w:pPr>
              <w:pStyle w:val="63"/>
            </w:pPr>
            <w:r>
              <w:rPr>
                <w:rFonts w:hint="eastAsia"/>
              </w:rPr>
              <w:t>0.00102</w:t>
            </w:r>
          </w:p>
        </w:tc>
        <w:tc>
          <w:tcPr>
            <w:tcW w:w="1542" w:type="dxa"/>
            <w:noWrap/>
          </w:tcPr>
          <w:p>
            <w:pPr>
              <w:pStyle w:val="63"/>
            </w:pPr>
            <w:r>
              <w:rPr>
                <w:rFonts w:hint="eastAsia"/>
              </w:rPr>
              <w:t>0.9</w:t>
            </w:r>
          </w:p>
        </w:tc>
        <w:tc>
          <w:tcPr>
            <w:tcW w:w="2541" w:type="dxa"/>
            <w:noWrap/>
          </w:tcPr>
          <w:p>
            <w:pPr>
              <w:pStyle w:val="63"/>
            </w:pPr>
            <w:r>
              <w:t xml:space="preserve">0.00092 </w:t>
            </w:r>
          </w:p>
        </w:tc>
        <w:tc>
          <w:tcPr>
            <w:tcW w:w="2541" w:type="dxa"/>
            <w:noWrap/>
          </w:tcPr>
          <w:p>
            <w:pPr>
              <w:pStyle w:val="63"/>
            </w:pPr>
            <w:r>
              <w:t>0.000102027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restart"/>
            <w:vAlign w:val="center"/>
          </w:tcPr>
          <w:p>
            <w:pPr>
              <w:pStyle w:val="63"/>
              <w:numPr>
                <w:ilvl w:val="0"/>
                <w:numId w:val="9"/>
              </w:numPr>
            </w:pPr>
          </w:p>
        </w:tc>
        <w:tc>
          <w:tcPr>
            <w:tcW w:w="1980" w:type="dxa"/>
            <w:vMerge w:val="restart"/>
            <w:vAlign w:val="center"/>
          </w:tcPr>
          <w:p>
            <w:pPr>
              <w:pStyle w:val="63"/>
            </w:pPr>
            <w:r>
              <w:rPr>
                <w:rFonts w:hint="eastAsia"/>
              </w:rPr>
              <w:t>污泥调理</w:t>
            </w:r>
          </w:p>
        </w:tc>
        <w:tc>
          <w:tcPr>
            <w:tcW w:w="1849" w:type="dxa"/>
            <w:noWrap/>
            <w:vAlign w:val="center"/>
          </w:tcPr>
          <w:p>
            <w:pPr>
              <w:pStyle w:val="63"/>
            </w:pPr>
            <w:r>
              <w:rPr>
                <w:rFonts w:hint="eastAsia"/>
              </w:rPr>
              <w:t>氨</w:t>
            </w:r>
          </w:p>
        </w:tc>
        <w:tc>
          <w:tcPr>
            <w:tcW w:w="1620" w:type="dxa"/>
            <w:noWrap/>
            <w:vAlign w:val="center"/>
          </w:tcPr>
          <w:p>
            <w:pPr>
              <w:pStyle w:val="63"/>
            </w:pPr>
            <w:r>
              <w:rPr>
                <w:rFonts w:hint="eastAsia"/>
              </w:rPr>
              <w:t>0.03026</w:t>
            </w:r>
          </w:p>
        </w:tc>
        <w:tc>
          <w:tcPr>
            <w:tcW w:w="1542" w:type="dxa"/>
            <w:noWrap/>
          </w:tcPr>
          <w:p>
            <w:pPr>
              <w:pStyle w:val="63"/>
            </w:pPr>
            <w:r>
              <w:rPr>
                <w:rFonts w:hint="eastAsia"/>
              </w:rPr>
              <w:t>0.9</w:t>
            </w:r>
          </w:p>
        </w:tc>
        <w:tc>
          <w:tcPr>
            <w:tcW w:w="2541" w:type="dxa"/>
            <w:noWrap/>
          </w:tcPr>
          <w:p>
            <w:pPr>
              <w:pStyle w:val="63"/>
            </w:pPr>
            <w:r>
              <w:t xml:space="preserve">0.02723 </w:t>
            </w:r>
          </w:p>
        </w:tc>
        <w:tc>
          <w:tcPr>
            <w:tcW w:w="2541" w:type="dxa"/>
            <w:noWrap/>
          </w:tcPr>
          <w:p>
            <w:pPr>
              <w:pStyle w:val="63"/>
            </w:pPr>
            <w:r>
              <w:t>0.003026066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continue"/>
            <w:vAlign w:val="center"/>
          </w:tcPr>
          <w:p>
            <w:pPr>
              <w:pStyle w:val="63"/>
              <w:numPr>
                <w:ilvl w:val="0"/>
                <w:numId w:val="9"/>
              </w:numPr>
            </w:pPr>
          </w:p>
        </w:tc>
        <w:tc>
          <w:tcPr>
            <w:tcW w:w="1980" w:type="dxa"/>
            <w:vMerge w:val="continue"/>
            <w:vAlign w:val="center"/>
          </w:tcPr>
          <w:p>
            <w:pPr>
              <w:pStyle w:val="63"/>
            </w:pPr>
          </w:p>
        </w:tc>
        <w:tc>
          <w:tcPr>
            <w:tcW w:w="1849" w:type="dxa"/>
            <w:noWrap/>
            <w:vAlign w:val="center"/>
          </w:tcPr>
          <w:p>
            <w:pPr>
              <w:pStyle w:val="63"/>
            </w:pPr>
            <w:r>
              <w:rPr>
                <w:rFonts w:hint="eastAsia"/>
              </w:rPr>
              <w:t>硫化氢</w:t>
            </w:r>
          </w:p>
        </w:tc>
        <w:tc>
          <w:tcPr>
            <w:tcW w:w="1620" w:type="dxa"/>
            <w:noWrap/>
            <w:vAlign w:val="center"/>
          </w:tcPr>
          <w:p>
            <w:pPr>
              <w:pStyle w:val="63"/>
            </w:pPr>
            <w:r>
              <w:rPr>
                <w:rFonts w:hint="eastAsia"/>
              </w:rPr>
              <w:t>0.00167</w:t>
            </w:r>
          </w:p>
        </w:tc>
        <w:tc>
          <w:tcPr>
            <w:tcW w:w="1542" w:type="dxa"/>
            <w:noWrap/>
          </w:tcPr>
          <w:p>
            <w:pPr>
              <w:pStyle w:val="63"/>
            </w:pPr>
            <w:r>
              <w:rPr>
                <w:rFonts w:hint="eastAsia"/>
              </w:rPr>
              <w:t>0.9</w:t>
            </w:r>
          </w:p>
        </w:tc>
        <w:tc>
          <w:tcPr>
            <w:tcW w:w="2541" w:type="dxa"/>
            <w:noWrap/>
          </w:tcPr>
          <w:p>
            <w:pPr>
              <w:pStyle w:val="63"/>
            </w:pPr>
            <w:r>
              <w:t xml:space="preserve">0.00150 </w:t>
            </w:r>
          </w:p>
        </w:tc>
        <w:tc>
          <w:tcPr>
            <w:tcW w:w="2541" w:type="dxa"/>
            <w:noWrap/>
          </w:tcPr>
          <w:p>
            <w:pPr>
              <w:pStyle w:val="63"/>
            </w:pPr>
            <w:r>
              <w:t>0.000166954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restart"/>
            <w:vAlign w:val="center"/>
          </w:tcPr>
          <w:p>
            <w:pPr>
              <w:pStyle w:val="63"/>
              <w:numPr>
                <w:ilvl w:val="0"/>
                <w:numId w:val="9"/>
              </w:numPr>
            </w:pPr>
          </w:p>
        </w:tc>
        <w:tc>
          <w:tcPr>
            <w:tcW w:w="1980" w:type="dxa"/>
            <w:vMerge w:val="restart"/>
            <w:vAlign w:val="center"/>
          </w:tcPr>
          <w:p>
            <w:pPr>
              <w:pStyle w:val="63"/>
            </w:pPr>
            <w:r>
              <w:rPr>
                <w:rFonts w:hint="eastAsia"/>
              </w:rPr>
              <w:t>污泥脱水</w:t>
            </w:r>
          </w:p>
        </w:tc>
        <w:tc>
          <w:tcPr>
            <w:tcW w:w="1849" w:type="dxa"/>
            <w:noWrap/>
            <w:vAlign w:val="center"/>
          </w:tcPr>
          <w:p>
            <w:pPr>
              <w:pStyle w:val="63"/>
            </w:pPr>
            <w:r>
              <w:rPr>
                <w:rFonts w:hint="eastAsia"/>
              </w:rPr>
              <w:t>氨</w:t>
            </w:r>
          </w:p>
        </w:tc>
        <w:tc>
          <w:tcPr>
            <w:tcW w:w="1620" w:type="dxa"/>
            <w:noWrap/>
            <w:vAlign w:val="center"/>
          </w:tcPr>
          <w:p>
            <w:pPr>
              <w:pStyle w:val="63"/>
            </w:pPr>
            <w:r>
              <w:rPr>
                <w:rFonts w:hint="eastAsia"/>
              </w:rPr>
              <w:t>0.03867</w:t>
            </w:r>
          </w:p>
        </w:tc>
        <w:tc>
          <w:tcPr>
            <w:tcW w:w="1542" w:type="dxa"/>
            <w:noWrap/>
            <w:vAlign w:val="center"/>
          </w:tcPr>
          <w:p>
            <w:pPr>
              <w:pStyle w:val="63"/>
            </w:pPr>
            <w:r>
              <w:rPr>
                <w:rFonts w:hint="eastAsia"/>
              </w:rPr>
              <w:t>0.9</w:t>
            </w:r>
          </w:p>
        </w:tc>
        <w:tc>
          <w:tcPr>
            <w:tcW w:w="2541" w:type="dxa"/>
            <w:noWrap/>
          </w:tcPr>
          <w:p>
            <w:pPr>
              <w:pStyle w:val="63"/>
            </w:pPr>
            <w:r>
              <w:t xml:space="preserve">0.03480 </w:t>
            </w:r>
          </w:p>
        </w:tc>
        <w:tc>
          <w:tcPr>
            <w:tcW w:w="2541" w:type="dxa"/>
            <w:noWrap/>
          </w:tcPr>
          <w:p>
            <w:pPr>
              <w:pStyle w:val="63"/>
            </w:pPr>
            <w:r>
              <w:t>0.00386664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continue"/>
            <w:vAlign w:val="center"/>
          </w:tcPr>
          <w:p>
            <w:pPr>
              <w:pStyle w:val="63"/>
              <w:numPr>
                <w:ilvl w:val="0"/>
                <w:numId w:val="9"/>
              </w:numPr>
            </w:pPr>
          </w:p>
        </w:tc>
        <w:tc>
          <w:tcPr>
            <w:tcW w:w="1980" w:type="dxa"/>
            <w:vMerge w:val="continue"/>
            <w:vAlign w:val="center"/>
          </w:tcPr>
          <w:p>
            <w:pPr>
              <w:pStyle w:val="63"/>
            </w:pPr>
          </w:p>
        </w:tc>
        <w:tc>
          <w:tcPr>
            <w:tcW w:w="1849" w:type="dxa"/>
            <w:noWrap/>
            <w:vAlign w:val="center"/>
          </w:tcPr>
          <w:p>
            <w:pPr>
              <w:pStyle w:val="63"/>
            </w:pPr>
            <w:r>
              <w:rPr>
                <w:rFonts w:hint="eastAsia"/>
              </w:rPr>
              <w:t>硫化氢</w:t>
            </w:r>
          </w:p>
        </w:tc>
        <w:tc>
          <w:tcPr>
            <w:tcW w:w="1620" w:type="dxa"/>
            <w:noWrap/>
            <w:vAlign w:val="center"/>
          </w:tcPr>
          <w:p>
            <w:pPr>
              <w:pStyle w:val="63"/>
            </w:pPr>
            <w:r>
              <w:rPr>
                <w:rFonts w:hint="eastAsia"/>
              </w:rPr>
              <w:t>0.00213</w:t>
            </w:r>
          </w:p>
        </w:tc>
        <w:tc>
          <w:tcPr>
            <w:tcW w:w="1542" w:type="dxa"/>
            <w:noWrap/>
            <w:vAlign w:val="center"/>
          </w:tcPr>
          <w:p>
            <w:pPr>
              <w:pStyle w:val="63"/>
            </w:pPr>
            <w:r>
              <w:rPr>
                <w:rFonts w:hint="eastAsia"/>
              </w:rPr>
              <w:t>0.9</w:t>
            </w:r>
          </w:p>
        </w:tc>
        <w:tc>
          <w:tcPr>
            <w:tcW w:w="2541" w:type="dxa"/>
            <w:noWrap/>
          </w:tcPr>
          <w:p>
            <w:pPr>
              <w:pStyle w:val="63"/>
            </w:pPr>
            <w:r>
              <w:t xml:space="preserve">0.00192 </w:t>
            </w:r>
          </w:p>
        </w:tc>
        <w:tc>
          <w:tcPr>
            <w:tcW w:w="2541" w:type="dxa"/>
            <w:noWrap/>
          </w:tcPr>
          <w:p>
            <w:pPr>
              <w:pStyle w:val="63"/>
            </w:pPr>
            <w:r>
              <w:t>0.00021333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restart"/>
            <w:vAlign w:val="center"/>
          </w:tcPr>
          <w:p>
            <w:pPr>
              <w:pStyle w:val="63"/>
              <w:numPr>
                <w:ilvl w:val="0"/>
                <w:numId w:val="9"/>
              </w:numPr>
            </w:pPr>
          </w:p>
        </w:tc>
        <w:tc>
          <w:tcPr>
            <w:tcW w:w="1980" w:type="dxa"/>
            <w:vMerge w:val="restart"/>
            <w:vAlign w:val="center"/>
          </w:tcPr>
          <w:p>
            <w:pPr>
              <w:pStyle w:val="63"/>
            </w:pPr>
            <w:r>
              <w:t>AAO</w:t>
            </w:r>
            <w:r>
              <w:rPr>
                <w:rFonts w:hint="eastAsia"/>
              </w:rPr>
              <w:t>生物池</w:t>
            </w:r>
          </w:p>
        </w:tc>
        <w:tc>
          <w:tcPr>
            <w:tcW w:w="1849" w:type="dxa"/>
            <w:noWrap/>
            <w:vAlign w:val="center"/>
          </w:tcPr>
          <w:p>
            <w:pPr>
              <w:pStyle w:val="63"/>
            </w:pPr>
            <w:r>
              <w:rPr>
                <w:rFonts w:hint="eastAsia"/>
              </w:rPr>
              <w:t>氨</w:t>
            </w:r>
          </w:p>
        </w:tc>
        <w:tc>
          <w:tcPr>
            <w:tcW w:w="1620" w:type="dxa"/>
            <w:noWrap/>
            <w:vAlign w:val="center"/>
          </w:tcPr>
          <w:p>
            <w:pPr>
              <w:pStyle w:val="63"/>
            </w:pPr>
            <w:r>
              <w:rPr>
                <w:rFonts w:hint="eastAsia"/>
              </w:rPr>
              <w:t>0.02017</w:t>
            </w:r>
          </w:p>
        </w:tc>
        <w:tc>
          <w:tcPr>
            <w:tcW w:w="1542" w:type="dxa"/>
            <w:noWrap/>
            <w:vAlign w:val="center"/>
          </w:tcPr>
          <w:p>
            <w:pPr>
              <w:pStyle w:val="63"/>
            </w:pPr>
            <w:r>
              <w:rPr>
                <w:rFonts w:hint="eastAsia"/>
              </w:rPr>
              <w:t>0.9</w:t>
            </w:r>
          </w:p>
        </w:tc>
        <w:tc>
          <w:tcPr>
            <w:tcW w:w="2541" w:type="dxa"/>
            <w:noWrap/>
          </w:tcPr>
          <w:p>
            <w:pPr>
              <w:pStyle w:val="63"/>
            </w:pPr>
            <w:r>
              <w:t xml:space="preserve">0.01816 </w:t>
            </w:r>
          </w:p>
        </w:tc>
        <w:tc>
          <w:tcPr>
            <w:tcW w:w="2541" w:type="dxa"/>
            <w:noWrap/>
          </w:tcPr>
          <w:p>
            <w:pPr>
              <w:pStyle w:val="63"/>
            </w:pPr>
            <w:r>
              <w:t>0.002017378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continue"/>
            <w:vAlign w:val="center"/>
          </w:tcPr>
          <w:p>
            <w:pPr>
              <w:pStyle w:val="63"/>
              <w:numPr>
                <w:ilvl w:val="0"/>
                <w:numId w:val="9"/>
              </w:numPr>
            </w:pPr>
          </w:p>
        </w:tc>
        <w:tc>
          <w:tcPr>
            <w:tcW w:w="1980" w:type="dxa"/>
            <w:vMerge w:val="continue"/>
            <w:vAlign w:val="center"/>
          </w:tcPr>
          <w:p>
            <w:pPr>
              <w:pStyle w:val="63"/>
            </w:pPr>
          </w:p>
        </w:tc>
        <w:tc>
          <w:tcPr>
            <w:tcW w:w="1849" w:type="dxa"/>
            <w:noWrap/>
            <w:vAlign w:val="center"/>
          </w:tcPr>
          <w:p>
            <w:pPr>
              <w:pStyle w:val="63"/>
            </w:pPr>
            <w:r>
              <w:rPr>
                <w:rFonts w:hint="eastAsia"/>
              </w:rPr>
              <w:t>硫化氢</w:t>
            </w:r>
          </w:p>
        </w:tc>
        <w:tc>
          <w:tcPr>
            <w:tcW w:w="1620" w:type="dxa"/>
            <w:noWrap/>
            <w:vAlign w:val="center"/>
          </w:tcPr>
          <w:p>
            <w:pPr>
              <w:pStyle w:val="63"/>
            </w:pPr>
            <w:r>
              <w:rPr>
                <w:rFonts w:hint="eastAsia"/>
              </w:rPr>
              <w:t>0.00111</w:t>
            </w:r>
          </w:p>
        </w:tc>
        <w:tc>
          <w:tcPr>
            <w:tcW w:w="1542" w:type="dxa"/>
            <w:noWrap/>
            <w:vAlign w:val="center"/>
          </w:tcPr>
          <w:p>
            <w:pPr>
              <w:pStyle w:val="63"/>
            </w:pPr>
            <w:r>
              <w:rPr>
                <w:rFonts w:hint="eastAsia"/>
              </w:rPr>
              <w:t>0.9</w:t>
            </w:r>
          </w:p>
        </w:tc>
        <w:tc>
          <w:tcPr>
            <w:tcW w:w="2541" w:type="dxa"/>
            <w:noWrap/>
          </w:tcPr>
          <w:p>
            <w:pPr>
              <w:pStyle w:val="63"/>
            </w:pPr>
            <w:r>
              <w:t xml:space="preserve">0.00100 </w:t>
            </w:r>
          </w:p>
        </w:tc>
        <w:tc>
          <w:tcPr>
            <w:tcW w:w="2541" w:type="dxa"/>
            <w:noWrap/>
          </w:tcPr>
          <w:p>
            <w:pPr>
              <w:pStyle w:val="63"/>
            </w:pPr>
            <w:r>
              <w:t>0.000111302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29" w:type="dxa"/>
            <w:vMerge w:val="restart"/>
            <w:vAlign w:val="center"/>
          </w:tcPr>
          <w:p>
            <w:pPr>
              <w:pStyle w:val="63"/>
              <w:numPr>
                <w:ilvl w:val="0"/>
                <w:numId w:val="9"/>
              </w:numPr>
            </w:pPr>
          </w:p>
        </w:tc>
        <w:tc>
          <w:tcPr>
            <w:tcW w:w="1980" w:type="dxa"/>
            <w:vMerge w:val="restart"/>
            <w:vAlign w:val="center"/>
          </w:tcPr>
          <w:p>
            <w:pPr>
              <w:pStyle w:val="63"/>
            </w:pPr>
            <w:r>
              <w:rPr>
                <w:rFonts w:hint="eastAsia"/>
              </w:rPr>
              <w:t>其他</w:t>
            </w:r>
          </w:p>
        </w:tc>
        <w:tc>
          <w:tcPr>
            <w:tcW w:w="1849" w:type="dxa"/>
            <w:noWrap/>
            <w:vAlign w:val="center"/>
          </w:tcPr>
          <w:p>
            <w:pPr>
              <w:pStyle w:val="63"/>
            </w:pPr>
            <w:r>
              <w:rPr>
                <w:rFonts w:hint="eastAsia"/>
              </w:rPr>
              <w:t>氨</w:t>
            </w:r>
          </w:p>
        </w:tc>
        <w:tc>
          <w:tcPr>
            <w:tcW w:w="1620" w:type="dxa"/>
            <w:noWrap/>
            <w:vAlign w:val="center"/>
          </w:tcPr>
          <w:p>
            <w:pPr>
              <w:pStyle w:val="63"/>
            </w:pPr>
            <w:r>
              <w:rPr>
                <w:rFonts w:hint="eastAsia"/>
              </w:rPr>
              <w:t>0.01513</w:t>
            </w:r>
          </w:p>
        </w:tc>
        <w:tc>
          <w:tcPr>
            <w:tcW w:w="1542" w:type="dxa"/>
            <w:noWrap/>
            <w:vAlign w:val="center"/>
          </w:tcPr>
          <w:p>
            <w:pPr>
              <w:pStyle w:val="63"/>
            </w:pPr>
            <w:r>
              <w:rPr>
                <w:rFonts w:hint="eastAsia"/>
              </w:rPr>
              <w:t>0</w:t>
            </w:r>
          </w:p>
        </w:tc>
        <w:tc>
          <w:tcPr>
            <w:tcW w:w="2541" w:type="dxa"/>
            <w:noWrap/>
          </w:tcPr>
          <w:p>
            <w:pPr>
              <w:pStyle w:val="63"/>
            </w:pPr>
            <w:r>
              <w:t xml:space="preserve">0.00605 </w:t>
            </w:r>
          </w:p>
        </w:tc>
        <w:tc>
          <w:tcPr>
            <w:tcW w:w="2541" w:type="dxa"/>
            <w:noWrap/>
          </w:tcPr>
          <w:p>
            <w:pPr>
              <w:pStyle w:val="63"/>
            </w:pPr>
            <w:r>
              <w:t>0.015130332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29" w:type="dxa"/>
            <w:vMerge w:val="continue"/>
            <w:noWrap/>
            <w:vAlign w:val="center"/>
          </w:tcPr>
          <w:p>
            <w:pPr>
              <w:pStyle w:val="63"/>
            </w:pPr>
          </w:p>
        </w:tc>
        <w:tc>
          <w:tcPr>
            <w:tcW w:w="1980" w:type="dxa"/>
            <w:vMerge w:val="continue"/>
            <w:noWrap/>
            <w:vAlign w:val="center"/>
          </w:tcPr>
          <w:p>
            <w:pPr>
              <w:pStyle w:val="63"/>
            </w:pPr>
          </w:p>
        </w:tc>
        <w:tc>
          <w:tcPr>
            <w:tcW w:w="1849" w:type="dxa"/>
            <w:noWrap/>
            <w:vAlign w:val="center"/>
          </w:tcPr>
          <w:p>
            <w:pPr>
              <w:pStyle w:val="63"/>
            </w:pPr>
            <w:r>
              <w:rPr>
                <w:rFonts w:hint="eastAsia"/>
              </w:rPr>
              <w:t>硫化氢</w:t>
            </w:r>
          </w:p>
        </w:tc>
        <w:tc>
          <w:tcPr>
            <w:tcW w:w="1620" w:type="dxa"/>
            <w:noWrap/>
            <w:vAlign w:val="center"/>
          </w:tcPr>
          <w:p>
            <w:pPr>
              <w:pStyle w:val="63"/>
            </w:pPr>
            <w:r>
              <w:rPr>
                <w:rFonts w:hint="eastAsia"/>
              </w:rPr>
              <w:t>0.00083</w:t>
            </w:r>
          </w:p>
        </w:tc>
        <w:tc>
          <w:tcPr>
            <w:tcW w:w="1542" w:type="dxa"/>
            <w:noWrap/>
            <w:vAlign w:val="center"/>
          </w:tcPr>
          <w:p>
            <w:pPr>
              <w:pStyle w:val="63"/>
            </w:pPr>
            <w:r>
              <w:rPr>
                <w:rFonts w:hint="eastAsia"/>
              </w:rPr>
              <w:t>0</w:t>
            </w:r>
          </w:p>
        </w:tc>
        <w:tc>
          <w:tcPr>
            <w:tcW w:w="2541" w:type="dxa"/>
            <w:noWrap/>
          </w:tcPr>
          <w:p>
            <w:pPr>
              <w:pStyle w:val="63"/>
            </w:pPr>
            <w:r>
              <w:t xml:space="preserve">0.00033 </w:t>
            </w:r>
          </w:p>
        </w:tc>
        <w:tc>
          <w:tcPr>
            <w:tcW w:w="2541" w:type="dxa"/>
            <w:noWrap/>
          </w:tcPr>
          <w:p>
            <w:pPr>
              <w:pStyle w:val="63"/>
            </w:pPr>
            <w:r>
              <w:t>0.000834768</w:t>
            </w:r>
          </w:p>
        </w:tc>
      </w:tr>
    </w:tbl>
    <w:p/>
    <w:p>
      <w:pPr>
        <w:pStyle w:val="5"/>
        <w:ind w:firstLine="480"/>
      </w:pPr>
      <w:r>
        <w:rPr>
          <w:rFonts w:hint="eastAsia"/>
        </w:rPr>
        <w:t>全厂废气污染物产生、排放情况见</w:t>
      </w:r>
      <w:r>
        <w:fldChar w:fldCharType="begin"/>
      </w:r>
      <w:r>
        <w:instrText xml:space="preserve"> </w:instrText>
      </w:r>
      <w:r>
        <w:rPr>
          <w:rFonts w:hint="eastAsia"/>
        </w:rPr>
        <w:instrText xml:space="preserve">REF _Ref169779736 \h</w:instrText>
      </w:r>
      <w:r>
        <w:instrText xml:space="preserve"> </w:instrText>
      </w:r>
      <w:r>
        <w:fldChar w:fldCharType="separate"/>
      </w:r>
      <w:r>
        <w:t>表 4.2</w:t>
      </w:r>
      <w:r>
        <w:noBreakHyphen/>
      </w:r>
      <w:r>
        <w:t>5</w:t>
      </w:r>
      <w:r>
        <w:fldChar w:fldCharType="end"/>
      </w:r>
      <w:r>
        <w:rPr>
          <w:rFonts w:hint="eastAsia"/>
        </w:rPr>
        <w:t>。</w:t>
      </w:r>
    </w:p>
    <w:p>
      <w:pPr>
        <w:pStyle w:val="14"/>
        <w:keepNext/>
      </w:pPr>
      <w:bookmarkStart w:id="62" w:name="_Ref169779736"/>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5</w:t>
      </w:r>
      <w:r>
        <w:fldChar w:fldCharType="end"/>
      </w:r>
      <w:bookmarkEnd w:id="62"/>
      <w:r>
        <w:rPr>
          <w:rFonts w:hint="eastAsia"/>
        </w:rPr>
        <w:t xml:space="preserve">   全厂废气污染物产生、排放情况</w:t>
      </w:r>
    </w:p>
    <w:tbl>
      <w:tblPr>
        <w:tblStyle w:val="38"/>
        <w:tblW w:w="130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226"/>
        <w:gridCol w:w="346"/>
        <w:gridCol w:w="346"/>
        <w:gridCol w:w="653"/>
        <w:gridCol w:w="674"/>
        <w:gridCol w:w="923"/>
        <w:gridCol w:w="151"/>
        <w:gridCol w:w="177"/>
        <w:gridCol w:w="512"/>
        <w:gridCol w:w="463"/>
        <w:gridCol w:w="57"/>
        <w:gridCol w:w="655"/>
        <w:gridCol w:w="806"/>
        <w:gridCol w:w="34"/>
        <w:gridCol w:w="634"/>
        <w:gridCol w:w="811"/>
        <w:gridCol w:w="213"/>
        <w:gridCol w:w="616"/>
        <w:gridCol w:w="463"/>
        <w:gridCol w:w="445"/>
        <w:gridCol w:w="299"/>
        <w:gridCol w:w="668"/>
        <w:gridCol w:w="549"/>
        <w:gridCol w:w="387"/>
        <w:gridCol w:w="510"/>
        <w:gridCol w:w="398"/>
        <w:gridCol w:w="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96" w:type="dxa"/>
            <w:vMerge w:val="restart"/>
            <w:shd w:val="clear" w:color="auto" w:fill="FFFFFF"/>
            <w:vAlign w:val="center"/>
          </w:tcPr>
          <w:p>
            <w:pPr>
              <w:pStyle w:val="63"/>
              <w:rPr>
                <w:rFonts w:cs="Times New Roman"/>
                <w:sz w:val="18"/>
                <w:szCs w:val="18"/>
              </w:rPr>
            </w:pPr>
            <w:r>
              <w:rPr>
                <w:rFonts w:cs="Times New Roman"/>
                <w:sz w:val="18"/>
                <w:szCs w:val="18"/>
              </w:rPr>
              <w:t>生产线名称</w:t>
            </w:r>
          </w:p>
        </w:tc>
        <w:tc>
          <w:tcPr>
            <w:tcW w:w="572" w:type="dxa"/>
            <w:gridSpan w:val="2"/>
            <w:vMerge w:val="restart"/>
            <w:shd w:val="clear" w:color="auto" w:fill="FFFFFF"/>
            <w:vAlign w:val="center"/>
          </w:tcPr>
          <w:p>
            <w:pPr>
              <w:pStyle w:val="63"/>
              <w:rPr>
                <w:rFonts w:cs="Times New Roman"/>
                <w:sz w:val="18"/>
                <w:szCs w:val="18"/>
              </w:rPr>
            </w:pPr>
            <w:r>
              <w:rPr>
                <w:rFonts w:cs="Times New Roman"/>
                <w:sz w:val="18"/>
                <w:szCs w:val="18"/>
              </w:rPr>
              <w:t>产污环节</w:t>
            </w:r>
          </w:p>
        </w:tc>
        <w:tc>
          <w:tcPr>
            <w:tcW w:w="346" w:type="dxa"/>
            <w:vMerge w:val="restart"/>
            <w:shd w:val="clear" w:color="auto" w:fill="FFFFFF"/>
            <w:vAlign w:val="center"/>
          </w:tcPr>
          <w:p>
            <w:pPr>
              <w:pStyle w:val="63"/>
              <w:rPr>
                <w:rFonts w:cs="Times New Roman"/>
                <w:sz w:val="18"/>
                <w:szCs w:val="18"/>
              </w:rPr>
            </w:pPr>
            <w:r>
              <w:rPr>
                <w:rFonts w:cs="Times New Roman"/>
                <w:sz w:val="18"/>
                <w:szCs w:val="18"/>
              </w:rPr>
              <w:t>污染物种类</w:t>
            </w:r>
          </w:p>
        </w:tc>
        <w:tc>
          <w:tcPr>
            <w:tcW w:w="1327" w:type="dxa"/>
            <w:gridSpan w:val="2"/>
            <w:shd w:val="clear" w:color="auto" w:fill="FFFFFF"/>
            <w:vAlign w:val="center"/>
          </w:tcPr>
          <w:p>
            <w:pPr>
              <w:pStyle w:val="63"/>
              <w:rPr>
                <w:rFonts w:cs="Times New Roman"/>
                <w:sz w:val="18"/>
                <w:szCs w:val="18"/>
              </w:rPr>
            </w:pPr>
            <w:r>
              <w:rPr>
                <w:rFonts w:cs="Times New Roman"/>
                <w:sz w:val="18"/>
                <w:szCs w:val="18"/>
              </w:rPr>
              <w:t>治理前</w:t>
            </w:r>
          </w:p>
        </w:tc>
        <w:tc>
          <w:tcPr>
            <w:tcW w:w="923" w:type="dxa"/>
            <w:vMerge w:val="restart"/>
            <w:shd w:val="clear" w:color="auto" w:fill="FFFFFF"/>
            <w:vAlign w:val="center"/>
          </w:tcPr>
          <w:p>
            <w:pPr>
              <w:pStyle w:val="63"/>
              <w:rPr>
                <w:rFonts w:cs="Times New Roman"/>
                <w:sz w:val="18"/>
                <w:szCs w:val="18"/>
              </w:rPr>
            </w:pPr>
            <w:r>
              <w:rPr>
                <w:rFonts w:cs="Times New Roman"/>
                <w:sz w:val="18"/>
                <w:szCs w:val="18"/>
              </w:rPr>
              <w:t>收集方式</w:t>
            </w:r>
          </w:p>
        </w:tc>
        <w:tc>
          <w:tcPr>
            <w:tcW w:w="2015" w:type="dxa"/>
            <w:gridSpan w:val="6"/>
            <w:shd w:val="clear" w:color="auto" w:fill="FFFFFF"/>
            <w:vAlign w:val="center"/>
          </w:tcPr>
          <w:p>
            <w:pPr>
              <w:pStyle w:val="63"/>
              <w:rPr>
                <w:rFonts w:cs="Times New Roman"/>
                <w:sz w:val="18"/>
                <w:szCs w:val="18"/>
              </w:rPr>
            </w:pPr>
            <w:r>
              <w:rPr>
                <w:rFonts w:cs="Times New Roman"/>
                <w:sz w:val="18"/>
                <w:szCs w:val="18"/>
              </w:rPr>
              <w:t>治理设施</w:t>
            </w:r>
          </w:p>
        </w:tc>
        <w:tc>
          <w:tcPr>
            <w:tcW w:w="1474" w:type="dxa"/>
            <w:gridSpan w:val="3"/>
            <w:shd w:val="clear" w:color="auto" w:fill="FFFFFF"/>
            <w:vAlign w:val="center"/>
          </w:tcPr>
          <w:p>
            <w:pPr>
              <w:pStyle w:val="63"/>
              <w:rPr>
                <w:rFonts w:cs="Times New Roman"/>
                <w:sz w:val="18"/>
                <w:szCs w:val="18"/>
              </w:rPr>
            </w:pPr>
            <w:r>
              <w:rPr>
                <w:rFonts w:cs="Times New Roman"/>
                <w:sz w:val="18"/>
                <w:szCs w:val="18"/>
              </w:rPr>
              <w:t>治理后</w:t>
            </w:r>
          </w:p>
        </w:tc>
        <w:tc>
          <w:tcPr>
            <w:tcW w:w="1640" w:type="dxa"/>
            <w:gridSpan w:val="3"/>
            <w:shd w:val="clear" w:color="auto" w:fill="FFFFFF"/>
            <w:vAlign w:val="center"/>
          </w:tcPr>
          <w:p>
            <w:pPr>
              <w:pStyle w:val="63"/>
              <w:rPr>
                <w:rFonts w:cs="Times New Roman"/>
                <w:sz w:val="18"/>
                <w:szCs w:val="18"/>
              </w:rPr>
            </w:pPr>
            <w:r>
              <w:rPr>
                <w:rFonts w:cs="Times New Roman"/>
                <w:sz w:val="18"/>
                <w:szCs w:val="18"/>
              </w:rPr>
              <w:t>排放标准</w:t>
            </w:r>
          </w:p>
        </w:tc>
        <w:tc>
          <w:tcPr>
            <w:tcW w:w="4109" w:type="dxa"/>
            <w:gridSpan w:val="9"/>
            <w:shd w:val="clear" w:color="auto" w:fill="FFFFFF"/>
            <w:vAlign w:val="center"/>
          </w:tcPr>
          <w:p>
            <w:pPr>
              <w:pStyle w:val="63"/>
              <w:rPr>
                <w:rFonts w:cs="Times New Roman"/>
                <w:sz w:val="18"/>
                <w:szCs w:val="18"/>
              </w:rPr>
            </w:pPr>
            <w:r>
              <w:rPr>
                <w:rFonts w:cs="Times New Roman"/>
                <w:sz w:val="18"/>
                <w:szCs w:val="18"/>
              </w:rPr>
              <w:t>排放口信息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96" w:type="dxa"/>
            <w:vMerge w:val="continue"/>
            <w:shd w:val="clear" w:color="auto" w:fill="FFFFFF"/>
            <w:vAlign w:val="center"/>
          </w:tcPr>
          <w:p>
            <w:pPr>
              <w:pStyle w:val="63"/>
              <w:rPr>
                <w:rFonts w:cs="Times New Roman"/>
                <w:sz w:val="18"/>
                <w:szCs w:val="18"/>
              </w:rPr>
            </w:pPr>
          </w:p>
        </w:tc>
        <w:tc>
          <w:tcPr>
            <w:tcW w:w="572" w:type="dxa"/>
            <w:gridSpan w:val="2"/>
            <w:vMerge w:val="continue"/>
            <w:shd w:val="clear" w:color="auto" w:fill="FFFFFF"/>
            <w:vAlign w:val="center"/>
          </w:tcPr>
          <w:p>
            <w:pPr>
              <w:pStyle w:val="63"/>
              <w:rPr>
                <w:rFonts w:cs="Times New Roman"/>
                <w:sz w:val="18"/>
                <w:szCs w:val="18"/>
              </w:rPr>
            </w:pPr>
          </w:p>
        </w:tc>
        <w:tc>
          <w:tcPr>
            <w:tcW w:w="346" w:type="dxa"/>
            <w:vMerge w:val="continue"/>
            <w:shd w:val="clear" w:color="auto" w:fill="FFFFFF"/>
            <w:vAlign w:val="center"/>
          </w:tcPr>
          <w:p>
            <w:pPr>
              <w:pStyle w:val="63"/>
              <w:rPr>
                <w:rFonts w:cs="Times New Roman"/>
                <w:sz w:val="18"/>
                <w:szCs w:val="18"/>
              </w:rPr>
            </w:pPr>
          </w:p>
        </w:tc>
        <w:tc>
          <w:tcPr>
            <w:tcW w:w="653" w:type="dxa"/>
            <w:shd w:val="clear" w:color="auto" w:fill="FFFFFF"/>
            <w:vAlign w:val="center"/>
          </w:tcPr>
          <w:p>
            <w:pPr>
              <w:pStyle w:val="63"/>
              <w:rPr>
                <w:rFonts w:cs="Times New Roman"/>
                <w:sz w:val="18"/>
                <w:szCs w:val="18"/>
              </w:rPr>
            </w:pPr>
            <w:r>
              <w:rPr>
                <w:rFonts w:cs="Times New Roman"/>
                <w:sz w:val="18"/>
                <w:szCs w:val="18"/>
              </w:rPr>
              <w:t>产生速率kg/h</w:t>
            </w:r>
          </w:p>
        </w:tc>
        <w:tc>
          <w:tcPr>
            <w:tcW w:w="674" w:type="dxa"/>
            <w:shd w:val="clear" w:color="auto" w:fill="FFFFFF"/>
            <w:vAlign w:val="center"/>
          </w:tcPr>
          <w:p>
            <w:pPr>
              <w:pStyle w:val="63"/>
              <w:rPr>
                <w:rFonts w:cs="Times New Roman"/>
                <w:sz w:val="18"/>
                <w:szCs w:val="18"/>
              </w:rPr>
            </w:pPr>
            <w:r>
              <w:rPr>
                <w:rFonts w:cs="Times New Roman"/>
                <w:sz w:val="18"/>
                <w:szCs w:val="18"/>
              </w:rPr>
              <w:t>产生量t/a</w:t>
            </w:r>
          </w:p>
        </w:tc>
        <w:tc>
          <w:tcPr>
            <w:tcW w:w="923" w:type="dxa"/>
            <w:vMerge w:val="continue"/>
            <w:shd w:val="clear" w:color="auto" w:fill="FFFFFF"/>
            <w:vAlign w:val="center"/>
          </w:tcPr>
          <w:p>
            <w:pPr>
              <w:pStyle w:val="63"/>
              <w:rPr>
                <w:rFonts w:cs="Times New Roman"/>
                <w:sz w:val="18"/>
                <w:szCs w:val="18"/>
              </w:rPr>
            </w:pPr>
          </w:p>
        </w:tc>
        <w:tc>
          <w:tcPr>
            <w:tcW w:w="328" w:type="dxa"/>
            <w:gridSpan w:val="2"/>
            <w:shd w:val="clear" w:color="auto" w:fill="FFFFFF"/>
            <w:vAlign w:val="center"/>
          </w:tcPr>
          <w:p>
            <w:pPr>
              <w:pStyle w:val="63"/>
              <w:rPr>
                <w:rFonts w:cs="Times New Roman"/>
                <w:sz w:val="18"/>
                <w:szCs w:val="18"/>
              </w:rPr>
            </w:pPr>
            <w:r>
              <w:rPr>
                <w:rFonts w:cs="Times New Roman"/>
                <w:sz w:val="18"/>
                <w:szCs w:val="18"/>
              </w:rPr>
              <w:t>治理设施</w:t>
            </w:r>
          </w:p>
        </w:tc>
        <w:tc>
          <w:tcPr>
            <w:tcW w:w="512" w:type="dxa"/>
            <w:shd w:val="clear" w:color="auto" w:fill="FFFFFF"/>
            <w:vAlign w:val="center"/>
          </w:tcPr>
          <w:p>
            <w:pPr>
              <w:pStyle w:val="63"/>
              <w:rPr>
                <w:rFonts w:cs="Times New Roman"/>
                <w:sz w:val="18"/>
                <w:szCs w:val="18"/>
              </w:rPr>
            </w:pPr>
            <w:r>
              <w:rPr>
                <w:rFonts w:cs="Times New Roman"/>
                <w:sz w:val="18"/>
                <w:szCs w:val="18"/>
              </w:rPr>
              <w:t>处理能力m</w:t>
            </w:r>
            <w:r>
              <w:rPr>
                <w:rFonts w:cs="Times New Roman"/>
                <w:sz w:val="18"/>
                <w:szCs w:val="18"/>
                <w:vertAlign w:val="superscript"/>
              </w:rPr>
              <w:t>3</w:t>
            </w:r>
            <w:r>
              <w:rPr>
                <w:rFonts w:cs="Times New Roman"/>
                <w:sz w:val="18"/>
                <w:szCs w:val="18"/>
              </w:rPr>
              <w:t>/h</w:t>
            </w:r>
          </w:p>
        </w:tc>
        <w:tc>
          <w:tcPr>
            <w:tcW w:w="463" w:type="dxa"/>
            <w:shd w:val="clear" w:color="auto" w:fill="FFFFFF"/>
            <w:vAlign w:val="center"/>
          </w:tcPr>
          <w:p>
            <w:pPr>
              <w:pStyle w:val="63"/>
              <w:rPr>
                <w:rFonts w:cs="Times New Roman"/>
                <w:sz w:val="18"/>
                <w:szCs w:val="18"/>
              </w:rPr>
            </w:pPr>
            <w:r>
              <w:rPr>
                <w:rFonts w:cs="Times New Roman"/>
                <w:sz w:val="18"/>
                <w:szCs w:val="18"/>
              </w:rPr>
              <w:t>处理效率%</w:t>
            </w:r>
          </w:p>
        </w:tc>
        <w:tc>
          <w:tcPr>
            <w:tcW w:w="712" w:type="dxa"/>
            <w:gridSpan w:val="2"/>
            <w:shd w:val="clear" w:color="auto" w:fill="FFFFFF"/>
            <w:vAlign w:val="center"/>
          </w:tcPr>
          <w:p>
            <w:pPr>
              <w:pStyle w:val="63"/>
              <w:rPr>
                <w:rFonts w:cs="Times New Roman"/>
                <w:sz w:val="18"/>
                <w:szCs w:val="18"/>
              </w:rPr>
            </w:pPr>
            <w:r>
              <w:rPr>
                <w:rFonts w:cs="Times New Roman"/>
                <w:sz w:val="18"/>
                <w:szCs w:val="18"/>
              </w:rPr>
              <w:t>是否为可行技术</w:t>
            </w:r>
          </w:p>
        </w:tc>
        <w:tc>
          <w:tcPr>
            <w:tcW w:w="840" w:type="dxa"/>
            <w:gridSpan w:val="2"/>
            <w:shd w:val="clear" w:color="auto" w:fill="FFFFFF"/>
            <w:vAlign w:val="center"/>
          </w:tcPr>
          <w:p>
            <w:pPr>
              <w:pStyle w:val="63"/>
              <w:rPr>
                <w:rFonts w:cs="Times New Roman"/>
                <w:sz w:val="18"/>
                <w:szCs w:val="18"/>
              </w:rPr>
            </w:pPr>
            <w:r>
              <w:rPr>
                <w:rFonts w:cs="Times New Roman"/>
                <w:sz w:val="18"/>
                <w:szCs w:val="18"/>
              </w:rPr>
              <w:t>排放速率kg/h</w:t>
            </w:r>
          </w:p>
        </w:tc>
        <w:tc>
          <w:tcPr>
            <w:tcW w:w="634" w:type="dxa"/>
            <w:shd w:val="clear" w:color="auto" w:fill="FFFFFF"/>
            <w:vAlign w:val="center"/>
          </w:tcPr>
          <w:p>
            <w:pPr>
              <w:pStyle w:val="63"/>
              <w:rPr>
                <w:rFonts w:cs="Times New Roman"/>
                <w:sz w:val="18"/>
                <w:szCs w:val="18"/>
              </w:rPr>
            </w:pPr>
            <w:r>
              <w:rPr>
                <w:rFonts w:cs="Times New Roman"/>
                <w:sz w:val="18"/>
                <w:szCs w:val="18"/>
              </w:rPr>
              <w:t>污染物排放量t/a</w:t>
            </w:r>
          </w:p>
        </w:tc>
        <w:tc>
          <w:tcPr>
            <w:tcW w:w="1024" w:type="dxa"/>
            <w:gridSpan w:val="2"/>
            <w:shd w:val="clear" w:color="auto" w:fill="FFFFFF"/>
            <w:vAlign w:val="center"/>
          </w:tcPr>
          <w:p>
            <w:pPr>
              <w:pStyle w:val="63"/>
              <w:rPr>
                <w:rFonts w:cs="Times New Roman"/>
                <w:sz w:val="18"/>
                <w:szCs w:val="18"/>
              </w:rPr>
            </w:pPr>
            <w:r>
              <w:rPr>
                <w:rFonts w:cs="Times New Roman"/>
                <w:sz w:val="18"/>
                <w:szCs w:val="18"/>
              </w:rPr>
              <w:t>速率限值kg/h</w:t>
            </w:r>
          </w:p>
        </w:tc>
        <w:tc>
          <w:tcPr>
            <w:tcW w:w="616" w:type="dxa"/>
            <w:shd w:val="clear" w:color="auto" w:fill="FFFFFF"/>
            <w:vAlign w:val="center"/>
          </w:tcPr>
          <w:p>
            <w:pPr>
              <w:pStyle w:val="63"/>
              <w:rPr>
                <w:rFonts w:cs="Times New Roman"/>
                <w:sz w:val="18"/>
                <w:szCs w:val="18"/>
              </w:rPr>
            </w:pPr>
            <w:r>
              <w:rPr>
                <w:rFonts w:cs="Times New Roman"/>
                <w:sz w:val="18"/>
                <w:szCs w:val="18"/>
              </w:rPr>
              <w:t>标准名称</w:t>
            </w:r>
          </w:p>
        </w:tc>
        <w:tc>
          <w:tcPr>
            <w:tcW w:w="463" w:type="dxa"/>
            <w:shd w:val="clear" w:color="auto" w:fill="FFFFFF"/>
            <w:vAlign w:val="center"/>
          </w:tcPr>
          <w:p>
            <w:pPr>
              <w:pStyle w:val="63"/>
              <w:rPr>
                <w:rFonts w:cs="Times New Roman"/>
                <w:sz w:val="18"/>
                <w:szCs w:val="18"/>
              </w:rPr>
            </w:pPr>
            <w:r>
              <w:rPr>
                <w:rFonts w:cs="Times New Roman"/>
                <w:sz w:val="18"/>
                <w:szCs w:val="18"/>
              </w:rPr>
              <w:t>排放口编号</w:t>
            </w:r>
          </w:p>
        </w:tc>
        <w:tc>
          <w:tcPr>
            <w:tcW w:w="445" w:type="dxa"/>
            <w:shd w:val="clear" w:color="auto" w:fill="FFFFFF"/>
            <w:vAlign w:val="center"/>
          </w:tcPr>
          <w:p>
            <w:pPr>
              <w:pStyle w:val="63"/>
              <w:rPr>
                <w:rFonts w:cs="Times New Roman"/>
                <w:sz w:val="18"/>
                <w:szCs w:val="18"/>
              </w:rPr>
            </w:pPr>
            <w:r>
              <w:rPr>
                <w:rFonts w:cs="Times New Roman"/>
                <w:sz w:val="18"/>
                <w:szCs w:val="18"/>
              </w:rPr>
              <w:t>排放口名称</w:t>
            </w:r>
          </w:p>
        </w:tc>
        <w:tc>
          <w:tcPr>
            <w:tcW w:w="967" w:type="dxa"/>
            <w:gridSpan w:val="2"/>
            <w:shd w:val="clear" w:color="auto" w:fill="FFFFFF"/>
            <w:vAlign w:val="center"/>
          </w:tcPr>
          <w:p>
            <w:pPr>
              <w:pStyle w:val="63"/>
              <w:rPr>
                <w:rFonts w:cs="Times New Roman"/>
                <w:sz w:val="18"/>
                <w:szCs w:val="18"/>
              </w:rPr>
            </w:pPr>
            <w:r>
              <w:rPr>
                <w:rFonts w:cs="Times New Roman"/>
                <w:sz w:val="18"/>
                <w:szCs w:val="18"/>
              </w:rPr>
              <w:t>地理坐标</w:t>
            </w:r>
          </w:p>
        </w:tc>
        <w:tc>
          <w:tcPr>
            <w:tcW w:w="549" w:type="dxa"/>
            <w:shd w:val="clear" w:color="auto" w:fill="FFFFFF"/>
            <w:vAlign w:val="center"/>
          </w:tcPr>
          <w:p>
            <w:pPr>
              <w:pStyle w:val="63"/>
              <w:rPr>
                <w:rFonts w:cs="Times New Roman"/>
                <w:sz w:val="18"/>
                <w:szCs w:val="18"/>
              </w:rPr>
            </w:pPr>
            <w:r>
              <w:rPr>
                <w:rFonts w:cs="Times New Roman"/>
                <w:sz w:val="18"/>
                <w:szCs w:val="18"/>
              </w:rPr>
              <w:t>高度m</w:t>
            </w:r>
          </w:p>
        </w:tc>
        <w:tc>
          <w:tcPr>
            <w:tcW w:w="387" w:type="dxa"/>
            <w:shd w:val="clear" w:color="auto" w:fill="FFFFFF"/>
            <w:vAlign w:val="center"/>
          </w:tcPr>
          <w:p>
            <w:pPr>
              <w:pStyle w:val="63"/>
              <w:rPr>
                <w:rFonts w:cs="Times New Roman"/>
                <w:sz w:val="18"/>
                <w:szCs w:val="18"/>
              </w:rPr>
            </w:pPr>
            <w:r>
              <w:rPr>
                <w:rFonts w:cs="Times New Roman"/>
                <w:sz w:val="18"/>
                <w:szCs w:val="18"/>
              </w:rPr>
              <w:t>内径m</w:t>
            </w:r>
          </w:p>
        </w:tc>
        <w:tc>
          <w:tcPr>
            <w:tcW w:w="510" w:type="dxa"/>
            <w:shd w:val="clear" w:color="auto" w:fill="FFFFFF"/>
            <w:vAlign w:val="center"/>
          </w:tcPr>
          <w:p>
            <w:pPr>
              <w:pStyle w:val="63"/>
              <w:rPr>
                <w:rFonts w:cs="Times New Roman"/>
                <w:sz w:val="18"/>
                <w:szCs w:val="18"/>
              </w:rPr>
            </w:pPr>
            <w:r>
              <w:rPr>
                <w:rFonts w:cs="Times New Roman"/>
                <w:sz w:val="18"/>
                <w:szCs w:val="18"/>
              </w:rPr>
              <w:t>速率m/s</w:t>
            </w:r>
          </w:p>
        </w:tc>
        <w:tc>
          <w:tcPr>
            <w:tcW w:w="398" w:type="dxa"/>
            <w:shd w:val="clear" w:color="auto" w:fill="FFFFFF"/>
            <w:vAlign w:val="center"/>
          </w:tcPr>
          <w:p>
            <w:pPr>
              <w:pStyle w:val="63"/>
              <w:rPr>
                <w:rFonts w:cs="Times New Roman"/>
                <w:sz w:val="18"/>
                <w:szCs w:val="18"/>
              </w:rPr>
            </w:pPr>
            <w:r>
              <w:rPr>
                <w:rFonts w:cs="Times New Roman"/>
                <w:sz w:val="18"/>
                <w:szCs w:val="18"/>
              </w:rPr>
              <w:t>温度℃</w:t>
            </w:r>
          </w:p>
        </w:tc>
        <w:tc>
          <w:tcPr>
            <w:tcW w:w="390" w:type="dxa"/>
            <w:shd w:val="clear" w:color="auto" w:fill="FFFFFF"/>
            <w:vAlign w:val="center"/>
          </w:tcPr>
          <w:p>
            <w:pPr>
              <w:pStyle w:val="63"/>
              <w:rPr>
                <w:rFonts w:cs="Times New Roman"/>
                <w:sz w:val="18"/>
                <w:szCs w:val="18"/>
              </w:rPr>
            </w:pPr>
            <w:r>
              <w:rPr>
                <w:rFonts w:cs="Times New Roman"/>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96" w:type="dxa"/>
            <w:shd w:val="clear" w:color="auto" w:fill="FFFFFF"/>
            <w:vAlign w:val="center"/>
          </w:tcPr>
          <w:p>
            <w:pPr>
              <w:pStyle w:val="63"/>
              <w:rPr>
                <w:rFonts w:cs="Times New Roman"/>
                <w:sz w:val="18"/>
                <w:szCs w:val="18"/>
              </w:rPr>
            </w:pPr>
          </w:p>
        </w:tc>
        <w:tc>
          <w:tcPr>
            <w:tcW w:w="12406" w:type="dxa"/>
            <w:gridSpan w:val="27"/>
            <w:shd w:val="clear" w:color="auto" w:fill="FFFFFF"/>
            <w:vAlign w:val="center"/>
          </w:tcPr>
          <w:p>
            <w:pPr>
              <w:pStyle w:val="63"/>
              <w:rPr>
                <w:rFonts w:cs="Times New Roman"/>
                <w:sz w:val="18"/>
                <w:szCs w:val="18"/>
              </w:rPr>
            </w:pPr>
            <w:r>
              <w:rPr>
                <w:rFonts w:cs="Times New Roman"/>
                <w:sz w:val="18"/>
                <w:szCs w:val="18"/>
              </w:rPr>
              <w:t>一、有组织废气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8" w:hRule="atLeast"/>
          <w:jc w:val="center"/>
        </w:trPr>
        <w:tc>
          <w:tcPr>
            <w:tcW w:w="596" w:type="dxa"/>
            <w:vMerge w:val="restart"/>
            <w:vAlign w:val="center"/>
          </w:tcPr>
          <w:p>
            <w:pPr>
              <w:pStyle w:val="63"/>
              <w:rPr>
                <w:rFonts w:cs="Times New Roman"/>
                <w:kern w:val="0"/>
                <w:sz w:val="20"/>
                <w:szCs w:val="20"/>
              </w:rPr>
            </w:pPr>
            <w:r>
              <w:rPr>
                <w:rFonts w:hint="eastAsia" w:cs="Times New Roman"/>
                <w:kern w:val="0"/>
                <w:sz w:val="20"/>
                <w:szCs w:val="20"/>
              </w:rPr>
              <w:t>污水处理设施</w:t>
            </w:r>
          </w:p>
        </w:tc>
        <w:tc>
          <w:tcPr>
            <w:tcW w:w="572" w:type="dxa"/>
            <w:gridSpan w:val="2"/>
            <w:vMerge w:val="restart"/>
            <w:vAlign w:val="center"/>
          </w:tcPr>
          <w:p>
            <w:pPr>
              <w:pStyle w:val="63"/>
              <w:jc w:val="left"/>
              <w:rPr>
                <w:rFonts w:cs="Times New Roman"/>
                <w:kern w:val="0"/>
                <w:sz w:val="20"/>
                <w:szCs w:val="20"/>
              </w:rPr>
            </w:pPr>
            <w:r>
              <w:rPr>
                <w:rFonts w:hint="eastAsia" w:cs="Times New Roman"/>
                <w:kern w:val="0"/>
                <w:sz w:val="20"/>
                <w:szCs w:val="20"/>
              </w:rPr>
              <w:t>污水处理+污泥处理单元</w:t>
            </w:r>
          </w:p>
        </w:tc>
        <w:tc>
          <w:tcPr>
            <w:tcW w:w="346" w:type="dxa"/>
            <w:vAlign w:val="center"/>
          </w:tcPr>
          <w:p>
            <w:pPr>
              <w:pStyle w:val="63"/>
              <w:rPr>
                <w:rFonts w:cs="Times New Roman"/>
                <w:kern w:val="0"/>
                <w:sz w:val="20"/>
                <w:szCs w:val="20"/>
              </w:rPr>
            </w:pPr>
            <w:r>
              <w:rPr>
                <w:rFonts w:hint="eastAsia" w:cs="Times New Roman"/>
                <w:sz w:val="20"/>
                <w:szCs w:val="20"/>
              </w:rPr>
              <w:t>氨</w:t>
            </w:r>
          </w:p>
        </w:tc>
        <w:tc>
          <w:tcPr>
            <w:tcW w:w="653" w:type="dxa"/>
            <w:vAlign w:val="center"/>
          </w:tcPr>
          <w:p>
            <w:pPr>
              <w:pStyle w:val="63"/>
              <w:rPr>
                <w:rFonts w:cs="Times New Roman"/>
                <w:sz w:val="20"/>
                <w:szCs w:val="20"/>
              </w:rPr>
            </w:pPr>
            <w:r>
              <w:rPr>
                <w:rFonts w:hint="eastAsia" w:cs="Times New Roman"/>
                <w:sz w:val="20"/>
                <w:szCs w:val="20"/>
              </w:rPr>
              <w:t>0.0157</w:t>
            </w:r>
          </w:p>
        </w:tc>
        <w:tc>
          <w:tcPr>
            <w:tcW w:w="674" w:type="dxa"/>
            <w:vAlign w:val="center"/>
          </w:tcPr>
          <w:p>
            <w:pPr>
              <w:pStyle w:val="63"/>
              <w:rPr>
                <w:rFonts w:cs="Times New Roman"/>
                <w:sz w:val="20"/>
                <w:szCs w:val="20"/>
              </w:rPr>
            </w:pPr>
            <w:r>
              <w:rPr>
                <w:rFonts w:hint="eastAsia" w:cs="Times New Roman"/>
                <w:sz w:val="20"/>
                <w:szCs w:val="20"/>
              </w:rPr>
              <w:t>0.138</w:t>
            </w:r>
          </w:p>
        </w:tc>
        <w:tc>
          <w:tcPr>
            <w:tcW w:w="923" w:type="dxa"/>
            <w:vMerge w:val="restart"/>
            <w:vAlign w:val="center"/>
          </w:tcPr>
          <w:p>
            <w:pPr>
              <w:pStyle w:val="63"/>
              <w:rPr>
                <w:rFonts w:cs="Times New Roman"/>
                <w:kern w:val="0"/>
                <w:sz w:val="20"/>
                <w:szCs w:val="20"/>
              </w:rPr>
            </w:pPr>
            <w:r>
              <w:rPr>
                <w:rFonts w:hint="eastAsia" w:cs="Times New Roman"/>
                <w:kern w:val="0"/>
                <w:sz w:val="20"/>
                <w:szCs w:val="20"/>
              </w:rPr>
              <w:t>处理单元</w:t>
            </w:r>
            <w:r>
              <w:rPr>
                <w:rFonts w:cs="Times New Roman"/>
                <w:kern w:val="0"/>
                <w:sz w:val="20"/>
                <w:szCs w:val="20"/>
              </w:rPr>
              <w:t>+污泥处理单元构筑物和产臭设施采用加盖</w:t>
            </w:r>
            <w:r>
              <w:rPr>
                <w:rFonts w:hint="eastAsia" w:cs="Times New Roman"/>
                <w:kern w:val="0"/>
                <w:sz w:val="20"/>
                <w:szCs w:val="20"/>
              </w:rPr>
              <w:t>、罩</w:t>
            </w:r>
            <w:r>
              <w:rPr>
                <w:rFonts w:cs="Times New Roman"/>
                <w:kern w:val="0"/>
                <w:sz w:val="20"/>
                <w:szCs w:val="20"/>
              </w:rPr>
              <w:t>抽吸收集，收集效率按90%计</w:t>
            </w:r>
          </w:p>
        </w:tc>
        <w:tc>
          <w:tcPr>
            <w:tcW w:w="328" w:type="dxa"/>
            <w:gridSpan w:val="2"/>
            <w:vMerge w:val="restart"/>
            <w:vAlign w:val="center"/>
          </w:tcPr>
          <w:p>
            <w:pPr>
              <w:pStyle w:val="63"/>
              <w:rPr>
                <w:rFonts w:cs="Times New Roman"/>
                <w:kern w:val="0"/>
                <w:sz w:val="20"/>
                <w:szCs w:val="20"/>
              </w:rPr>
            </w:pPr>
            <w:r>
              <w:rPr>
                <w:rFonts w:hint="eastAsia" w:cs="Times New Roman"/>
                <w:kern w:val="0"/>
                <w:sz w:val="20"/>
                <w:szCs w:val="20"/>
              </w:rPr>
              <w:t>生物除臭</w:t>
            </w:r>
          </w:p>
          <w:p>
            <w:pPr>
              <w:pStyle w:val="63"/>
              <w:rPr>
                <w:rFonts w:cs="Times New Roman"/>
                <w:kern w:val="0"/>
                <w:sz w:val="20"/>
                <w:szCs w:val="20"/>
              </w:rPr>
            </w:pPr>
          </w:p>
        </w:tc>
        <w:tc>
          <w:tcPr>
            <w:tcW w:w="512" w:type="dxa"/>
            <w:vMerge w:val="restart"/>
            <w:vAlign w:val="center"/>
          </w:tcPr>
          <w:p>
            <w:pPr>
              <w:pStyle w:val="63"/>
              <w:rPr>
                <w:rFonts w:cs="Times New Roman"/>
                <w:sz w:val="20"/>
                <w:szCs w:val="20"/>
              </w:rPr>
            </w:pPr>
            <w:r>
              <w:rPr>
                <w:rFonts w:cs="Times New Roman"/>
                <w:sz w:val="20"/>
                <w:szCs w:val="20"/>
              </w:rPr>
              <w:t>2</w:t>
            </w:r>
            <w:r>
              <w:rPr>
                <w:rFonts w:hint="eastAsia" w:cs="Times New Roman"/>
                <w:sz w:val="20"/>
                <w:szCs w:val="20"/>
              </w:rPr>
              <w:t>0000</w:t>
            </w:r>
          </w:p>
        </w:tc>
        <w:tc>
          <w:tcPr>
            <w:tcW w:w="463" w:type="dxa"/>
            <w:vAlign w:val="center"/>
          </w:tcPr>
          <w:p>
            <w:pPr>
              <w:pStyle w:val="63"/>
              <w:rPr>
                <w:rFonts w:cs="Times New Roman"/>
                <w:sz w:val="20"/>
                <w:szCs w:val="20"/>
              </w:rPr>
            </w:pPr>
            <w:r>
              <w:rPr>
                <w:rFonts w:cs="Times New Roman"/>
                <w:sz w:val="20"/>
                <w:szCs w:val="20"/>
              </w:rPr>
              <w:t>≥</w:t>
            </w:r>
            <w:r>
              <w:rPr>
                <w:rFonts w:hint="eastAsia" w:cs="Times New Roman"/>
                <w:sz w:val="20"/>
                <w:szCs w:val="20"/>
              </w:rPr>
              <w:t>60</w:t>
            </w:r>
          </w:p>
        </w:tc>
        <w:tc>
          <w:tcPr>
            <w:tcW w:w="712" w:type="dxa"/>
            <w:gridSpan w:val="2"/>
            <w:vAlign w:val="center"/>
          </w:tcPr>
          <w:p>
            <w:pPr>
              <w:pStyle w:val="63"/>
              <w:rPr>
                <w:rFonts w:cs="Times New Roman"/>
                <w:sz w:val="20"/>
                <w:szCs w:val="20"/>
              </w:rPr>
            </w:pPr>
            <w:r>
              <w:rPr>
                <w:rFonts w:cs="Times New Roman"/>
                <w:sz w:val="20"/>
                <w:szCs w:val="20"/>
              </w:rPr>
              <w:t>是</w:t>
            </w:r>
          </w:p>
        </w:tc>
        <w:tc>
          <w:tcPr>
            <w:tcW w:w="840" w:type="dxa"/>
            <w:gridSpan w:val="2"/>
            <w:vAlign w:val="center"/>
          </w:tcPr>
          <w:p>
            <w:pPr>
              <w:pStyle w:val="63"/>
              <w:rPr>
                <w:rFonts w:cs="Times New Roman"/>
                <w:sz w:val="20"/>
                <w:szCs w:val="20"/>
              </w:rPr>
            </w:pPr>
            <w:r>
              <w:rPr>
                <w:rFonts w:hint="eastAsia" w:cs="Times New Roman"/>
                <w:sz w:val="20"/>
                <w:szCs w:val="20"/>
              </w:rPr>
              <w:t>0.006</w:t>
            </w:r>
          </w:p>
        </w:tc>
        <w:tc>
          <w:tcPr>
            <w:tcW w:w="634" w:type="dxa"/>
            <w:vAlign w:val="center"/>
          </w:tcPr>
          <w:p>
            <w:pPr>
              <w:pStyle w:val="63"/>
              <w:rPr>
                <w:rFonts w:cs="Times New Roman"/>
                <w:sz w:val="20"/>
                <w:szCs w:val="20"/>
              </w:rPr>
            </w:pPr>
            <w:r>
              <w:rPr>
                <w:rFonts w:hint="eastAsia" w:cs="Times New Roman"/>
                <w:sz w:val="20"/>
                <w:szCs w:val="20"/>
              </w:rPr>
              <w:t>0.055</w:t>
            </w:r>
          </w:p>
        </w:tc>
        <w:tc>
          <w:tcPr>
            <w:tcW w:w="1024" w:type="dxa"/>
            <w:gridSpan w:val="2"/>
            <w:vAlign w:val="center"/>
          </w:tcPr>
          <w:p>
            <w:pPr>
              <w:pStyle w:val="63"/>
              <w:rPr>
                <w:rFonts w:cs="Times New Roman"/>
                <w:sz w:val="20"/>
                <w:szCs w:val="20"/>
              </w:rPr>
            </w:pPr>
            <w:r>
              <w:rPr>
                <w:rFonts w:hint="eastAsia" w:cs="Times New Roman"/>
                <w:sz w:val="20"/>
                <w:szCs w:val="20"/>
              </w:rPr>
              <w:t>4.9</w:t>
            </w:r>
          </w:p>
        </w:tc>
        <w:tc>
          <w:tcPr>
            <w:tcW w:w="616" w:type="dxa"/>
            <w:vMerge w:val="restart"/>
            <w:vAlign w:val="center"/>
          </w:tcPr>
          <w:p>
            <w:pPr>
              <w:pStyle w:val="63"/>
              <w:rPr>
                <w:rFonts w:cs="Times New Roman"/>
                <w:sz w:val="20"/>
                <w:szCs w:val="20"/>
              </w:rPr>
            </w:pPr>
            <w:r>
              <w:rPr>
                <w:rFonts w:hint="eastAsia" w:cs="Times New Roman"/>
                <w:sz w:val="20"/>
                <w:szCs w:val="20"/>
              </w:rPr>
              <w:t>《恶臭污染物排放标准》（</w:t>
            </w:r>
            <w:r>
              <w:rPr>
                <w:rFonts w:cs="Times New Roman"/>
                <w:sz w:val="20"/>
                <w:szCs w:val="20"/>
              </w:rPr>
              <w:t>GB14554-93）</w:t>
            </w:r>
            <w:r>
              <w:rPr>
                <w:rFonts w:hint="eastAsia" w:cs="Times New Roman"/>
                <w:sz w:val="20"/>
                <w:szCs w:val="20"/>
              </w:rPr>
              <w:t>二级标准</w:t>
            </w:r>
          </w:p>
        </w:tc>
        <w:tc>
          <w:tcPr>
            <w:tcW w:w="463" w:type="dxa"/>
            <w:vMerge w:val="restart"/>
            <w:vAlign w:val="center"/>
          </w:tcPr>
          <w:p>
            <w:pPr>
              <w:pStyle w:val="63"/>
              <w:rPr>
                <w:rFonts w:cs="Times New Roman"/>
                <w:sz w:val="20"/>
                <w:szCs w:val="20"/>
              </w:rPr>
            </w:pPr>
            <w:r>
              <w:rPr>
                <w:rFonts w:cs="Times New Roman"/>
                <w:sz w:val="20"/>
                <w:szCs w:val="20"/>
              </w:rPr>
              <w:t>DA</w:t>
            </w:r>
          </w:p>
          <w:p>
            <w:pPr>
              <w:pStyle w:val="63"/>
              <w:rPr>
                <w:rFonts w:cs="Times New Roman"/>
                <w:sz w:val="20"/>
                <w:szCs w:val="20"/>
              </w:rPr>
            </w:pPr>
            <w:r>
              <w:rPr>
                <w:rFonts w:cs="Times New Roman"/>
                <w:sz w:val="20"/>
                <w:szCs w:val="20"/>
              </w:rPr>
              <w:t>001</w:t>
            </w:r>
          </w:p>
        </w:tc>
        <w:tc>
          <w:tcPr>
            <w:tcW w:w="445" w:type="dxa"/>
            <w:vMerge w:val="restart"/>
            <w:vAlign w:val="center"/>
          </w:tcPr>
          <w:p>
            <w:pPr>
              <w:pStyle w:val="63"/>
              <w:rPr>
                <w:rFonts w:cs="Times New Roman"/>
                <w:kern w:val="0"/>
                <w:sz w:val="20"/>
                <w:szCs w:val="20"/>
                <w:lang w:val="zh-CN"/>
              </w:rPr>
            </w:pPr>
            <w:r>
              <w:rPr>
                <w:rFonts w:hint="eastAsia" w:cs="Times New Roman"/>
                <w:kern w:val="0"/>
                <w:sz w:val="20"/>
                <w:szCs w:val="20"/>
              </w:rPr>
              <w:t>臭气处理设施</w:t>
            </w:r>
            <w:r>
              <w:rPr>
                <w:rFonts w:cs="Times New Roman"/>
                <w:kern w:val="0"/>
                <w:sz w:val="20"/>
                <w:szCs w:val="20"/>
              </w:rPr>
              <w:t>排气筒</w:t>
            </w:r>
          </w:p>
        </w:tc>
        <w:tc>
          <w:tcPr>
            <w:tcW w:w="967" w:type="dxa"/>
            <w:gridSpan w:val="2"/>
            <w:vMerge w:val="restart"/>
            <w:vAlign w:val="center"/>
          </w:tcPr>
          <w:p>
            <w:pPr>
              <w:pStyle w:val="63"/>
              <w:rPr>
                <w:rFonts w:cs="Times New Roman"/>
                <w:kern w:val="0"/>
                <w:sz w:val="20"/>
                <w:szCs w:val="20"/>
                <w:lang w:val="zh-CN"/>
              </w:rPr>
            </w:pPr>
            <w:r>
              <w:rPr>
                <w:rFonts w:hint="eastAsia" w:cs="Times New Roman"/>
                <w:kern w:val="0"/>
                <w:sz w:val="20"/>
                <w:szCs w:val="20"/>
                <w:lang w:val="zh-CN"/>
              </w:rPr>
              <w:t>109.3556E</w:t>
            </w:r>
          </w:p>
          <w:p>
            <w:pPr>
              <w:pStyle w:val="63"/>
              <w:rPr>
                <w:rFonts w:cs="Times New Roman"/>
                <w:kern w:val="0"/>
                <w:sz w:val="20"/>
                <w:szCs w:val="20"/>
                <w:lang w:val="zh-CN"/>
              </w:rPr>
            </w:pPr>
            <w:r>
              <w:rPr>
                <w:rFonts w:hint="eastAsia" w:cs="Times New Roman"/>
                <w:kern w:val="0"/>
                <w:sz w:val="20"/>
                <w:szCs w:val="20"/>
                <w:lang w:val="zh-CN"/>
              </w:rPr>
              <w:t>31.0264N</w:t>
            </w:r>
          </w:p>
          <w:p>
            <w:pPr>
              <w:pStyle w:val="63"/>
              <w:rPr>
                <w:rFonts w:cs="Times New Roman"/>
                <w:kern w:val="0"/>
                <w:sz w:val="20"/>
                <w:szCs w:val="20"/>
                <w:lang w:val="zh-CN"/>
              </w:rPr>
            </w:pPr>
          </w:p>
        </w:tc>
        <w:tc>
          <w:tcPr>
            <w:tcW w:w="549" w:type="dxa"/>
            <w:vMerge w:val="restart"/>
            <w:vAlign w:val="center"/>
          </w:tcPr>
          <w:p>
            <w:pPr>
              <w:pStyle w:val="63"/>
              <w:rPr>
                <w:rFonts w:cs="Times New Roman"/>
                <w:kern w:val="0"/>
                <w:sz w:val="20"/>
                <w:szCs w:val="20"/>
                <w:lang w:val="zh-CN"/>
              </w:rPr>
            </w:pPr>
            <w:r>
              <w:rPr>
                <w:rFonts w:cs="Times New Roman"/>
                <w:kern w:val="0"/>
                <w:sz w:val="20"/>
                <w:szCs w:val="20"/>
                <w:lang w:val="zh-CN"/>
              </w:rPr>
              <w:t>15</w:t>
            </w:r>
          </w:p>
        </w:tc>
        <w:tc>
          <w:tcPr>
            <w:tcW w:w="387" w:type="dxa"/>
            <w:vMerge w:val="restart"/>
            <w:vAlign w:val="center"/>
          </w:tcPr>
          <w:p>
            <w:pPr>
              <w:pStyle w:val="63"/>
              <w:rPr>
                <w:rFonts w:cs="Times New Roman"/>
                <w:kern w:val="0"/>
                <w:sz w:val="20"/>
                <w:szCs w:val="20"/>
                <w:lang w:val="zh-CN"/>
              </w:rPr>
            </w:pPr>
            <w:r>
              <w:rPr>
                <w:rFonts w:cs="Times New Roman"/>
                <w:kern w:val="0"/>
                <w:sz w:val="20"/>
                <w:szCs w:val="20"/>
                <w:lang w:val="zh-CN"/>
              </w:rPr>
              <w:t>0.</w:t>
            </w:r>
            <w:r>
              <w:rPr>
                <w:rFonts w:hint="eastAsia" w:cs="Times New Roman"/>
                <w:kern w:val="0"/>
                <w:sz w:val="20"/>
                <w:szCs w:val="20"/>
                <w:lang w:val="zh-CN"/>
              </w:rPr>
              <w:t>6</w:t>
            </w:r>
          </w:p>
        </w:tc>
        <w:tc>
          <w:tcPr>
            <w:tcW w:w="510" w:type="dxa"/>
            <w:vMerge w:val="restart"/>
            <w:vAlign w:val="center"/>
          </w:tcPr>
          <w:p>
            <w:pPr>
              <w:pStyle w:val="63"/>
              <w:rPr>
                <w:rFonts w:cs="Times New Roman"/>
                <w:kern w:val="0"/>
                <w:sz w:val="20"/>
                <w:szCs w:val="20"/>
                <w:lang w:val="zh-CN"/>
              </w:rPr>
            </w:pPr>
            <w:r>
              <w:rPr>
                <w:rFonts w:hint="eastAsia" w:cs="Times New Roman"/>
                <w:kern w:val="0"/>
                <w:sz w:val="20"/>
                <w:szCs w:val="20"/>
                <w:lang w:val="zh-CN"/>
              </w:rPr>
              <w:t>20</w:t>
            </w:r>
          </w:p>
        </w:tc>
        <w:tc>
          <w:tcPr>
            <w:tcW w:w="398" w:type="dxa"/>
            <w:vMerge w:val="restart"/>
            <w:vAlign w:val="center"/>
          </w:tcPr>
          <w:p>
            <w:pPr>
              <w:pStyle w:val="63"/>
              <w:rPr>
                <w:rFonts w:cs="Times New Roman"/>
                <w:kern w:val="0"/>
                <w:sz w:val="20"/>
                <w:szCs w:val="20"/>
                <w:lang w:val="zh-CN"/>
              </w:rPr>
            </w:pPr>
            <w:r>
              <w:rPr>
                <w:rFonts w:cs="Times New Roman"/>
                <w:kern w:val="0"/>
                <w:sz w:val="20"/>
                <w:szCs w:val="20"/>
                <w:lang w:val="zh-CN"/>
              </w:rPr>
              <w:t>常温</w:t>
            </w:r>
          </w:p>
        </w:tc>
        <w:tc>
          <w:tcPr>
            <w:tcW w:w="390" w:type="dxa"/>
            <w:vMerge w:val="restart"/>
            <w:vAlign w:val="center"/>
          </w:tcPr>
          <w:p>
            <w:pPr>
              <w:pStyle w:val="63"/>
              <w:rPr>
                <w:rFonts w:cs="Times New Roman"/>
                <w:kern w:val="0"/>
                <w:sz w:val="20"/>
                <w:szCs w:val="20"/>
                <w:lang w:val="zh-CN"/>
              </w:rPr>
            </w:pPr>
            <w:r>
              <w:rPr>
                <w:rFonts w:cs="Times New Roman"/>
                <w:kern w:val="0"/>
                <w:sz w:val="20"/>
                <w:szCs w:val="20"/>
                <w:lang w:val="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96" w:type="dxa"/>
            <w:vMerge w:val="continue"/>
            <w:vAlign w:val="center"/>
          </w:tcPr>
          <w:p>
            <w:pPr>
              <w:pStyle w:val="63"/>
              <w:rPr>
                <w:rFonts w:cs="Times New Roman"/>
                <w:kern w:val="0"/>
                <w:sz w:val="20"/>
                <w:szCs w:val="20"/>
              </w:rPr>
            </w:pPr>
          </w:p>
        </w:tc>
        <w:tc>
          <w:tcPr>
            <w:tcW w:w="572" w:type="dxa"/>
            <w:gridSpan w:val="2"/>
            <w:vMerge w:val="continue"/>
            <w:vAlign w:val="center"/>
          </w:tcPr>
          <w:p>
            <w:pPr>
              <w:pStyle w:val="63"/>
              <w:rPr>
                <w:rFonts w:cs="Times New Roman"/>
                <w:kern w:val="0"/>
                <w:sz w:val="20"/>
                <w:szCs w:val="20"/>
              </w:rPr>
            </w:pPr>
          </w:p>
        </w:tc>
        <w:tc>
          <w:tcPr>
            <w:tcW w:w="346" w:type="dxa"/>
            <w:vAlign w:val="center"/>
          </w:tcPr>
          <w:p>
            <w:pPr>
              <w:pStyle w:val="63"/>
              <w:jc w:val="left"/>
              <w:rPr>
                <w:rFonts w:cs="Times New Roman"/>
                <w:sz w:val="20"/>
                <w:szCs w:val="20"/>
              </w:rPr>
            </w:pPr>
            <w:r>
              <w:rPr>
                <w:rFonts w:hint="eastAsia" w:cs="Times New Roman"/>
                <w:sz w:val="20"/>
                <w:szCs w:val="20"/>
              </w:rPr>
              <w:t>硫化氢</w:t>
            </w:r>
          </w:p>
        </w:tc>
        <w:tc>
          <w:tcPr>
            <w:tcW w:w="653" w:type="dxa"/>
            <w:vAlign w:val="center"/>
          </w:tcPr>
          <w:p>
            <w:pPr>
              <w:pStyle w:val="63"/>
              <w:rPr>
                <w:rFonts w:cs="Times New Roman"/>
                <w:sz w:val="20"/>
                <w:szCs w:val="20"/>
              </w:rPr>
            </w:pPr>
            <w:r>
              <w:rPr>
                <w:rFonts w:hint="eastAsia" w:cs="Times New Roman"/>
                <w:sz w:val="20"/>
                <w:szCs w:val="20"/>
              </w:rPr>
              <w:t>0.00087</w:t>
            </w:r>
          </w:p>
        </w:tc>
        <w:tc>
          <w:tcPr>
            <w:tcW w:w="674" w:type="dxa"/>
            <w:vAlign w:val="center"/>
          </w:tcPr>
          <w:p>
            <w:pPr>
              <w:pStyle w:val="63"/>
              <w:rPr>
                <w:rFonts w:cs="Times New Roman"/>
                <w:sz w:val="20"/>
                <w:szCs w:val="20"/>
              </w:rPr>
            </w:pPr>
            <w:r>
              <w:rPr>
                <w:rFonts w:hint="eastAsia" w:cs="Times New Roman"/>
                <w:sz w:val="20"/>
                <w:szCs w:val="20"/>
              </w:rPr>
              <w:t>0.0076</w:t>
            </w:r>
          </w:p>
        </w:tc>
        <w:tc>
          <w:tcPr>
            <w:tcW w:w="923" w:type="dxa"/>
            <w:vMerge w:val="continue"/>
            <w:vAlign w:val="center"/>
          </w:tcPr>
          <w:p>
            <w:pPr>
              <w:pStyle w:val="63"/>
              <w:rPr>
                <w:rFonts w:cs="Times New Roman"/>
                <w:kern w:val="0"/>
                <w:sz w:val="20"/>
                <w:szCs w:val="20"/>
              </w:rPr>
            </w:pPr>
          </w:p>
        </w:tc>
        <w:tc>
          <w:tcPr>
            <w:tcW w:w="328" w:type="dxa"/>
            <w:gridSpan w:val="2"/>
            <w:vMerge w:val="continue"/>
            <w:vAlign w:val="center"/>
          </w:tcPr>
          <w:p>
            <w:pPr>
              <w:pStyle w:val="63"/>
              <w:rPr>
                <w:rFonts w:cs="Times New Roman"/>
                <w:kern w:val="0"/>
                <w:sz w:val="20"/>
                <w:szCs w:val="20"/>
              </w:rPr>
            </w:pPr>
          </w:p>
        </w:tc>
        <w:tc>
          <w:tcPr>
            <w:tcW w:w="512" w:type="dxa"/>
            <w:vMerge w:val="continue"/>
            <w:vAlign w:val="center"/>
          </w:tcPr>
          <w:p>
            <w:pPr>
              <w:pStyle w:val="63"/>
              <w:rPr>
                <w:rFonts w:cs="Times New Roman"/>
                <w:sz w:val="20"/>
                <w:szCs w:val="20"/>
              </w:rPr>
            </w:pPr>
          </w:p>
        </w:tc>
        <w:tc>
          <w:tcPr>
            <w:tcW w:w="463" w:type="dxa"/>
            <w:vAlign w:val="center"/>
          </w:tcPr>
          <w:p>
            <w:pPr>
              <w:pStyle w:val="63"/>
              <w:rPr>
                <w:rFonts w:cs="Times New Roman"/>
                <w:sz w:val="20"/>
                <w:szCs w:val="20"/>
              </w:rPr>
            </w:pPr>
            <w:r>
              <w:rPr>
                <w:rFonts w:cs="Times New Roman"/>
                <w:sz w:val="20"/>
                <w:szCs w:val="20"/>
              </w:rPr>
              <w:t>≥</w:t>
            </w:r>
            <w:r>
              <w:rPr>
                <w:rFonts w:hint="eastAsia" w:cs="Times New Roman"/>
                <w:sz w:val="20"/>
                <w:szCs w:val="20"/>
              </w:rPr>
              <w:t>60</w:t>
            </w:r>
          </w:p>
        </w:tc>
        <w:tc>
          <w:tcPr>
            <w:tcW w:w="712" w:type="dxa"/>
            <w:gridSpan w:val="2"/>
            <w:vAlign w:val="center"/>
          </w:tcPr>
          <w:p>
            <w:pPr>
              <w:pStyle w:val="63"/>
              <w:rPr>
                <w:rFonts w:cs="Times New Roman"/>
                <w:sz w:val="20"/>
                <w:szCs w:val="20"/>
              </w:rPr>
            </w:pPr>
            <w:r>
              <w:rPr>
                <w:rFonts w:cs="Times New Roman"/>
                <w:sz w:val="20"/>
                <w:szCs w:val="20"/>
              </w:rPr>
              <w:t>是</w:t>
            </w:r>
          </w:p>
        </w:tc>
        <w:tc>
          <w:tcPr>
            <w:tcW w:w="840" w:type="dxa"/>
            <w:gridSpan w:val="2"/>
            <w:vAlign w:val="center"/>
          </w:tcPr>
          <w:p>
            <w:pPr>
              <w:pStyle w:val="63"/>
              <w:rPr>
                <w:rFonts w:cs="Times New Roman"/>
                <w:sz w:val="20"/>
                <w:szCs w:val="20"/>
              </w:rPr>
            </w:pPr>
            <w:r>
              <w:rPr>
                <w:rFonts w:hint="eastAsia" w:cs="Times New Roman"/>
                <w:sz w:val="20"/>
                <w:szCs w:val="20"/>
              </w:rPr>
              <w:t>0.0003</w:t>
            </w:r>
          </w:p>
        </w:tc>
        <w:tc>
          <w:tcPr>
            <w:tcW w:w="634" w:type="dxa"/>
            <w:vAlign w:val="center"/>
          </w:tcPr>
          <w:p>
            <w:pPr>
              <w:pStyle w:val="63"/>
              <w:rPr>
                <w:rFonts w:cs="Times New Roman"/>
                <w:sz w:val="20"/>
                <w:szCs w:val="20"/>
              </w:rPr>
            </w:pPr>
            <w:r>
              <w:rPr>
                <w:rFonts w:hint="eastAsia" w:cs="Times New Roman"/>
                <w:sz w:val="20"/>
                <w:szCs w:val="20"/>
              </w:rPr>
              <w:t>0.003</w:t>
            </w:r>
          </w:p>
        </w:tc>
        <w:tc>
          <w:tcPr>
            <w:tcW w:w="1024" w:type="dxa"/>
            <w:gridSpan w:val="2"/>
            <w:vAlign w:val="center"/>
          </w:tcPr>
          <w:p>
            <w:pPr>
              <w:pStyle w:val="63"/>
              <w:rPr>
                <w:rFonts w:cs="Times New Roman"/>
                <w:sz w:val="20"/>
                <w:szCs w:val="20"/>
              </w:rPr>
            </w:pPr>
            <w:r>
              <w:rPr>
                <w:rFonts w:hint="eastAsia" w:cs="Times New Roman"/>
                <w:sz w:val="20"/>
                <w:szCs w:val="20"/>
              </w:rPr>
              <w:t>0.33</w:t>
            </w:r>
          </w:p>
        </w:tc>
        <w:tc>
          <w:tcPr>
            <w:tcW w:w="616" w:type="dxa"/>
            <w:vMerge w:val="continue"/>
            <w:vAlign w:val="center"/>
          </w:tcPr>
          <w:p>
            <w:pPr>
              <w:pStyle w:val="63"/>
              <w:rPr>
                <w:rFonts w:cs="Times New Roman"/>
                <w:sz w:val="20"/>
                <w:szCs w:val="20"/>
              </w:rPr>
            </w:pPr>
          </w:p>
        </w:tc>
        <w:tc>
          <w:tcPr>
            <w:tcW w:w="463" w:type="dxa"/>
            <w:vMerge w:val="continue"/>
            <w:vAlign w:val="center"/>
          </w:tcPr>
          <w:p>
            <w:pPr>
              <w:pStyle w:val="63"/>
              <w:rPr>
                <w:rFonts w:cs="Times New Roman"/>
                <w:sz w:val="20"/>
                <w:szCs w:val="20"/>
              </w:rPr>
            </w:pPr>
          </w:p>
        </w:tc>
        <w:tc>
          <w:tcPr>
            <w:tcW w:w="445" w:type="dxa"/>
            <w:vMerge w:val="continue"/>
            <w:vAlign w:val="center"/>
          </w:tcPr>
          <w:p>
            <w:pPr>
              <w:pStyle w:val="63"/>
              <w:rPr>
                <w:rFonts w:cs="Times New Roman"/>
                <w:kern w:val="0"/>
                <w:sz w:val="20"/>
                <w:szCs w:val="20"/>
                <w:lang w:val="zh-CN"/>
              </w:rPr>
            </w:pPr>
          </w:p>
        </w:tc>
        <w:tc>
          <w:tcPr>
            <w:tcW w:w="967" w:type="dxa"/>
            <w:gridSpan w:val="2"/>
            <w:vMerge w:val="continue"/>
            <w:vAlign w:val="center"/>
          </w:tcPr>
          <w:p>
            <w:pPr>
              <w:pStyle w:val="63"/>
              <w:rPr>
                <w:rFonts w:cs="Times New Roman"/>
                <w:kern w:val="0"/>
                <w:sz w:val="20"/>
                <w:szCs w:val="20"/>
                <w:lang w:val="zh-CN"/>
              </w:rPr>
            </w:pPr>
          </w:p>
        </w:tc>
        <w:tc>
          <w:tcPr>
            <w:tcW w:w="549" w:type="dxa"/>
            <w:vMerge w:val="continue"/>
            <w:vAlign w:val="center"/>
          </w:tcPr>
          <w:p>
            <w:pPr>
              <w:pStyle w:val="63"/>
              <w:rPr>
                <w:rFonts w:cs="Times New Roman"/>
                <w:kern w:val="0"/>
                <w:sz w:val="20"/>
                <w:szCs w:val="20"/>
                <w:lang w:val="zh-CN"/>
              </w:rPr>
            </w:pPr>
          </w:p>
        </w:tc>
        <w:tc>
          <w:tcPr>
            <w:tcW w:w="387" w:type="dxa"/>
            <w:vMerge w:val="continue"/>
            <w:vAlign w:val="center"/>
          </w:tcPr>
          <w:p>
            <w:pPr>
              <w:pStyle w:val="63"/>
              <w:rPr>
                <w:rFonts w:cs="Times New Roman"/>
                <w:kern w:val="0"/>
                <w:sz w:val="20"/>
                <w:szCs w:val="20"/>
                <w:lang w:val="zh-CN"/>
              </w:rPr>
            </w:pPr>
          </w:p>
        </w:tc>
        <w:tc>
          <w:tcPr>
            <w:tcW w:w="510" w:type="dxa"/>
            <w:vMerge w:val="continue"/>
            <w:vAlign w:val="center"/>
          </w:tcPr>
          <w:p>
            <w:pPr>
              <w:pStyle w:val="63"/>
              <w:rPr>
                <w:rFonts w:cs="Times New Roman"/>
                <w:kern w:val="0"/>
                <w:sz w:val="20"/>
                <w:szCs w:val="20"/>
                <w:lang w:val="zh-CN"/>
              </w:rPr>
            </w:pPr>
          </w:p>
        </w:tc>
        <w:tc>
          <w:tcPr>
            <w:tcW w:w="398" w:type="dxa"/>
            <w:vMerge w:val="continue"/>
            <w:vAlign w:val="center"/>
          </w:tcPr>
          <w:p>
            <w:pPr>
              <w:pStyle w:val="63"/>
              <w:rPr>
                <w:rFonts w:cs="Times New Roman"/>
                <w:kern w:val="0"/>
                <w:sz w:val="20"/>
                <w:szCs w:val="20"/>
                <w:lang w:val="zh-CN"/>
              </w:rPr>
            </w:pPr>
          </w:p>
        </w:tc>
        <w:tc>
          <w:tcPr>
            <w:tcW w:w="390" w:type="dxa"/>
            <w:vMerge w:val="continue"/>
            <w:vAlign w:val="center"/>
          </w:tcPr>
          <w:p>
            <w:pPr>
              <w:pStyle w:val="63"/>
              <w:rPr>
                <w:rFonts w:cs="Times New Roman"/>
                <w:kern w:val="0"/>
                <w:sz w:val="20"/>
                <w:szCs w:val="2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3002" w:type="dxa"/>
            <w:gridSpan w:val="28"/>
            <w:vAlign w:val="center"/>
          </w:tcPr>
          <w:p>
            <w:pPr>
              <w:pStyle w:val="63"/>
              <w:rPr>
                <w:rFonts w:cs="Times New Roman"/>
                <w:kern w:val="0"/>
                <w:sz w:val="20"/>
                <w:szCs w:val="20"/>
                <w:lang w:val="zh-CN"/>
              </w:rPr>
            </w:pPr>
            <w:r>
              <w:rPr>
                <w:rFonts w:cs="Times New Roman"/>
                <w:kern w:val="0"/>
                <w:sz w:val="20"/>
                <w:szCs w:val="20"/>
                <w:lang w:val="zh-CN"/>
              </w:rPr>
              <w:t>二、无组织废气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22" w:type="dxa"/>
            <w:gridSpan w:val="2"/>
            <w:vMerge w:val="restart"/>
            <w:vAlign w:val="center"/>
          </w:tcPr>
          <w:p>
            <w:pPr>
              <w:pStyle w:val="63"/>
              <w:rPr>
                <w:rFonts w:cs="Times New Roman"/>
                <w:kern w:val="0"/>
                <w:sz w:val="20"/>
                <w:szCs w:val="20"/>
              </w:rPr>
            </w:pPr>
            <w:r>
              <w:rPr>
                <w:rFonts w:hint="eastAsia" w:cs="Times New Roman"/>
                <w:kern w:val="0"/>
                <w:sz w:val="20"/>
                <w:szCs w:val="20"/>
              </w:rPr>
              <w:t>全厂</w:t>
            </w:r>
          </w:p>
        </w:tc>
        <w:tc>
          <w:tcPr>
            <w:tcW w:w="692" w:type="dxa"/>
            <w:gridSpan w:val="2"/>
            <w:vAlign w:val="center"/>
          </w:tcPr>
          <w:p>
            <w:pPr>
              <w:pStyle w:val="63"/>
              <w:rPr>
                <w:rFonts w:cs="Times New Roman"/>
                <w:sz w:val="20"/>
                <w:szCs w:val="20"/>
              </w:rPr>
            </w:pPr>
            <w:r>
              <w:rPr>
                <w:rFonts w:hint="eastAsia" w:cs="Times New Roman"/>
                <w:sz w:val="20"/>
                <w:szCs w:val="20"/>
              </w:rPr>
              <w:t>污染物</w:t>
            </w:r>
          </w:p>
        </w:tc>
        <w:tc>
          <w:tcPr>
            <w:tcW w:w="1327" w:type="dxa"/>
            <w:gridSpan w:val="2"/>
            <w:vAlign w:val="center"/>
          </w:tcPr>
          <w:p>
            <w:pPr>
              <w:pStyle w:val="63"/>
              <w:rPr>
                <w:rFonts w:cs="Times New Roman"/>
                <w:snapToGrid w:val="0"/>
                <w:kern w:val="0"/>
                <w:sz w:val="20"/>
                <w:szCs w:val="20"/>
              </w:rPr>
            </w:pPr>
            <w:r>
              <w:rPr>
                <w:rFonts w:hint="eastAsia" w:cs="Times New Roman"/>
                <w:snapToGrid w:val="0"/>
                <w:kern w:val="0"/>
                <w:sz w:val="20"/>
                <w:szCs w:val="20"/>
              </w:rPr>
              <w:t>产生速率kg/h</w:t>
            </w:r>
          </w:p>
        </w:tc>
        <w:tc>
          <w:tcPr>
            <w:tcW w:w="1074" w:type="dxa"/>
            <w:gridSpan w:val="2"/>
            <w:vAlign w:val="center"/>
          </w:tcPr>
          <w:p>
            <w:pPr>
              <w:pStyle w:val="63"/>
              <w:rPr>
                <w:rFonts w:cs="Times New Roman"/>
                <w:snapToGrid w:val="0"/>
                <w:kern w:val="0"/>
                <w:sz w:val="20"/>
                <w:szCs w:val="20"/>
              </w:rPr>
            </w:pPr>
            <w:r>
              <w:rPr>
                <w:rFonts w:hint="eastAsia" w:cs="Times New Roman"/>
                <w:snapToGrid w:val="0"/>
                <w:kern w:val="0"/>
                <w:sz w:val="20"/>
                <w:szCs w:val="20"/>
              </w:rPr>
              <w:t>产生量t/a</w:t>
            </w:r>
          </w:p>
        </w:tc>
        <w:tc>
          <w:tcPr>
            <w:tcW w:w="1209" w:type="dxa"/>
            <w:gridSpan w:val="4"/>
            <w:vAlign w:val="center"/>
          </w:tcPr>
          <w:p>
            <w:pPr>
              <w:pStyle w:val="63"/>
              <w:rPr>
                <w:rFonts w:cs="Times New Roman"/>
                <w:kern w:val="0"/>
                <w:sz w:val="20"/>
                <w:szCs w:val="20"/>
              </w:rPr>
            </w:pPr>
            <w:r>
              <w:rPr>
                <w:rFonts w:hint="eastAsia" w:cs="Times New Roman"/>
                <w:kern w:val="0"/>
                <w:sz w:val="20"/>
                <w:szCs w:val="20"/>
              </w:rPr>
              <w:t>排放方式</w:t>
            </w:r>
          </w:p>
        </w:tc>
        <w:tc>
          <w:tcPr>
            <w:tcW w:w="1461" w:type="dxa"/>
            <w:gridSpan w:val="2"/>
            <w:vAlign w:val="center"/>
          </w:tcPr>
          <w:p>
            <w:pPr>
              <w:pStyle w:val="63"/>
              <w:rPr>
                <w:rFonts w:cs="Times New Roman"/>
                <w:snapToGrid w:val="0"/>
                <w:kern w:val="0"/>
                <w:sz w:val="20"/>
                <w:szCs w:val="20"/>
              </w:rPr>
            </w:pPr>
            <w:r>
              <w:rPr>
                <w:rFonts w:hint="eastAsia" w:cs="Times New Roman"/>
                <w:snapToGrid w:val="0"/>
                <w:kern w:val="0"/>
                <w:sz w:val="20"/>
                <w:szCs w:val="20"/>
              </w:rPr>
              <w:t>排放速率kg/h</w:t>
            </w:r>
          </w:p>
        </w:tc>
        <w:tc>
          <w:tcPr>
            <w:tcW w:w="1479" w:type="dxa"/>
            <w:gridSpan w:val="3"/>
            <w:vAlign w:val="center"/>
          </w:tcPr>
          <w:p>
            <w:pPr>
              <w:pStyle w:val="63"/>
              <w:rPr>
                <w:rFonts w:cs="Times New Roman"/>
                <w:snapToGrid w:val="0"/>
                <w:kern w:val="0"/>
                <w:sz w:val="20"/>
                <w:szCs w:val="20"/>
              </w:rPr>
            </w:pPr>
            <w:r>
              <w:rPr>
                <w:rFonts w:hint="eastAsia" w:cs="Times New Roman"/>
                <w:snapToGrid w:val="0"/>
                <w:kern w:val="0"/>
                <w:sz w:val="20"/>
                <w:szCs w:val="20"/>
              </w:rPr>
              <w:t>排放量t/a</w:t>
            </w:r>
          </w:p>
        </w:tc>
        <w:tc>
          <w:tcPr>
            <w:tcW w:w="2036" w:type="dxa"/>
            <w:gridSpan w:val="5"/>
            <w:vAlign w:val="center"/>
          </w:tcPr>
          <w:p>
            <w:pPr>
              <w:pStyle w:val="63"/>
              <w:rPr>
                <w:rFonts w:cs="Times New Roman"/>
                <w:sz w:val="20"/>
                <w:szCs w:val="20"/>
              </w:rPr>
            </w:pPr>
            <w:r>
              <w:rPr>
                <w:rFonts w:hint="eastAsia" w:cs="Times New Roman"/>
                <w:sz w:val="20"/>
                <w:szCs w:val="20"/>
              </w:rPr>
              <w:t>厂界标准</w:t>
            </w:r>
            <w:r>
              <w:rPr>
                <w:rFonts w:hint="eastAsia"/>
                <w:sz w:val="20"/>
                <w:szCs w:val="20"/>
              </w:rPr>
              <w:t>mg/m</w:t>
            </w:r>
            <w:r>
              <w:rPr>
                <w:rFonts w:hint="eastAsia"/>
                <w:sz w:val="20"/>
                <w:szCs w:val="20"/>
                <w:vertAlign w:val="superscript"/>
              </w:rPr>
              <w:t>3</w:t>
            </w:r>
          </w:p>
        </w:tc>
        <w:tc>
          <w:tcPr>
            <w:tcW w:w="2902" w:type="dxa"/>
            <w:gridSpan w:val="6"/>
            <w:vAlign w:val="center"/>
          </w:tcPr>
          <w:p>
            <w:pPr>
              <w:pStyle w:val="63"/>
              <w:rPr>
                <w:rFonts w:cs="Times New Roman"/>
                <w:sz w:val="20"/>
                <w:szCs w:val="20"/>
              </w:rPr>
            </w:pPr>
            <w:r>
              <w:rPr>
                <w:rFonts w:hint="eastAsia" w:cs="Times New Roman"/>
                <w:sz w:val="20"/>
                <w:szCs w:val="20"/>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22" w:type="dxa"/>
            <w:gridSpan w:val="2"/>
            <w:vMerge w:val="continue"/>
            <w:vAlign w:val="center"/>
          </w:tcPr>
          <w:p>
            <w:pPr>
              <w:pStyle w:val="63"/>
              <w:rPr>
                <w:rFonts w:cs="Times New Roman"/>
                <w:kern w:val="0"/>
                <w:sz w:val="20"/>
                <w:szCs w:val="20"/>
              </w:rPr>
            </w:pPr>
          </w:p>
        </w:tc>
        <w:tc>
          <w:tcPr>
            <w:tcW w:w="692" w:type="dxa"/>
            <w:gridSpan w:val="2"/>
            <w:vAlign w:val="center"/>
          </w:tcPr>
          <w:p>
            <w:pPr>
              <w:pStyle w:val="63"/>
              <w:rPr>
                <w:rFonts w:cs="Times New Roman"/>
                <w:sz w:val="20"/>
                <w:szCs w:val="20"/>
              </w:rPr>
            </w:pPr>
            <w:r>
              <w:rPr>
                <w:rFonts w:hint="eastAsia" w:cs="Times New Roman"/>
                <w:sz w:val="20"/>
                <w:szCs w:val="20"/>
              </w:rPr>
              <w:t>氨</w:t>
            </w:r>
          </w:p>
        </w:tc>
        <w:tc>
          <w:tcPr>
            <w:tcW w:w="1327" w:type="dxa"/>
            <w:gridSpan w:val="2"/>
            <w:vAlign w:val="center"/>
          </w:tcPr>
          <w:p>
            <w:pPr>
              <w:pStyle w:val="63"/>
              <w:rPr>
                <w:rFonts w:cs="Times New Roman"/>
                <w:snapToGrid w:val="0"/>
                <w:kern w:val="0"/>
                <w:sz w:val="20"/>
                <w:szCs w:val="20"/>
              </w:rPr>
            </w:pPr>
            <w:r>
              <w:rPr>
                <w:rFonts w:hint="eastAsia" w:cs="Times New Roman"/>
                <w:snapToGrid w:val="0"/>
                <w:kern w:val="0"/>
                <w:sz w:val="20"/>
                <w:szCs w:val="20"/>
              </w:rPr>
              <w:t>0.0035</w:t>
            </w:r>
          </w:p>
        </w:tc>
        <w:tc>
          <w:tcPr>
            <w:tcW w:w="1074" w:type="dxa"/>
            <w:gridSpan w:val="2"/>
            <w:vAlign w:val="center"/>
          </w:tcPr>
          <w:p>
            <w:pPr>
              <w:pStyle w:val="63"/>
              <w:rPr>
                <w:rFonts w:cs="Times New Roman"/>
                <w:snapToGrid w:val="0"/>
                <w:kern w:val="0"/>
                <w:sz w:val="20"/>
                <w:szCs w:val="20"/>
              </w:rPr>
            </w:pPr>
            <w:r>
              <w:rPr>
                <w:rFonts w:hint="eastAsia" w:cs="Times New Roman"/>
                <w:snapToGrid w:val="0"/>
                <w:kern w:val="0"/>
                <w:sz w:val="20"/>
                <w:szCs w:val="20"/>
              </w:rPr>
              <w:t>0.0304</w:t>
            </w:r>
          </w:p>
        </w:tc>
        <w:tc>
          <w:tcPr>
            <w:tcW w:w="1209" w:type="dxa"/>
            <w:gridSpan w:val="4"/>
            <w:vAlign w:val="center"/>
          </w:tcPr>
          <w:p>
            <w:pPr>
              <w:pStyle w:val="63"/>
              <w:rPr>
                <w:rFonts w:cs="Times New Roman"/>
                <w:kern w:val="0"/>
                <w:sz w:val="20"/>
                <w:szCs w:val="20"/>
              </w:rPr>
            </w:pPr>
            <w:r>
              <w:rPr>
                <w:rFonts w:cs="Times New Roman"/>
                <w:kern w:val="0"/>
                <w:sz w:val="20"/>
                <w:szCs w:val="20"/>
              </w:rPr>
              <w:t>无组织</w:t>
            </w:r>
          </w:p>
        </w:tc>
        <w:tc>
          <w:tcPr>
            <w:tcW w:w="1461" w:type="dxa"/>
            <w:gridSpan w:val="2"/>
            <w:vAlign w:val="center"/>
          </w:tcPr>
          <w:p>
            <w:pPr>
              <w:pStyle w:val="63"/>
              <w:rPr>
                <w:rFonts w:cs="Times New Roman"/>
                <w:snapToGrid w:val="0"/>
                <w:kern w:val="0"/>
                <w:sz w:val="20"/>
                <w:szCs w:val="20"/>
              </w:rPr>
            </w:pPr>
            <w:r>
              <w:rPr>
                <w:rFonts w:hint="eastAsia" w:cs="Times New Roman"/>
                <w:snapToGrid w:val="0"/>
                <w:kern w:val="0"/>
                <w:sz w:val="20"/>
                <w:szCs w:val="20"/>
              </w:rPr>
              <w:t>0.0035</w:t>
            </w:r>
          </w:p>
        </w:tc>
        <w:tc>
          <w:tcPr>
            <w:tcW w:w="1479" w:type="dxa"/>
            <w:gridSpan w:val="3"/>
            <w:vAlign w:val="center"/>
          </w:tcPr>
          <w:p>
            <w:pPr>
              <w:pStyle w:val="63"/>
              <w:rPr>
                <w:rFonts w:cs="Times New Roman"/>
                <w:snapToGrid w:val="0"/>
                <w:kern w:val="0"/>
                <w:sz w:val="20"/>
                <w:szCs w:val="20"/>
              </w:rPr>
            </w:pPr>
            <w:r>
              <w:rPr>
                <w:rFonts w:hint="eastAsia" w:cs="Times New Roman"/>
                <w:snapToGrid w:val="0"/>
                <w:kern w:val="0"/>
                <w:sz w:val="20"/>
                <w:szCs w:val="20"/>
              </w:rPr>
              <w:t>0.0304</w:t>
            </w:r>
          </w:p>
        </w:tc>
        <w:tc>
          <w:tcPr>
            <w:tcW w:w="2036" w:type="dxa"/>
            <w:gridSpan w:val="5"/>
            <w:vAlign w:val="center"/>
          </w:tcPr>
          <w:p>
            <w:pPr>
              <w:pStyle w:val="63"/>
              <w:rPr>
                <w:rFonts w:cs="Times New Roman"/>
                <w:sz w:val="20"/>
                <w:szCs w:val="20"/>
              </w:rPr>
            </w:pPr>
            <w:r>
              <w:rPr>
                <w:rFonts w:hint="eastAsia" w:cs="Times New Roman"/>
                <w:sz w:val="20"/>
                <w:szCs w:val="20"/>
              </w:rPr>
              <w:t>1.5</w:t>
            </w:r>
          </w:p>
        </w:tc>
        <w:tc>
          <w:tcPr>
            <w:tcW w:w="2902" w:type="dxa"/>
            <w:gridSpan w:val="6"/>
            <w:vMerge w:val="restart"/>
            <w:vAlign w:val="center"/>
          </w:tcPr>
          <w:p>
            <w:pPr>
              <w:pStyle w:val="63"/>
              <w:rPr>
                <w:rFonts w:cs="Times New Roman"/>
                <w:sz w:val="20"/>
                <w:szCs w:val="20"/>
              </w:rPr>
            </w:pPr>
            <w:r>
              <w:rPr>
                <w:rFonts w:hint="eastAsia" w:cs="Times New Roman"/>
                <w:sz w:val="20"/>
                <w:szCs w:val="20"/>
              </w:rPr>
              <w:t>《恶臭污染物排放标准》（</w:t>
            </w:r>
            <w:r>
              <w:rPr>
                <w:rFonts w:cs="Times New Roman"/>
                <w:sz w:val="20"/>
                <w:szCs w:val="20"/>
              </w:rPr>
              <w:t>GB14554-93）二级标准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22" w:type="dxa"/>
            <w:gridSpan w:val="2"/>
            <w:vMerge w:val="continue"/>
            <w:vAlign w:val="center"/>
          </w:tcPr>
          <w:p>
            <w:pPr>
              <w:pStyle w:val="63"/>
              <w:rPr>
                <w:rFonts w:cs="Times New Roman"/>
                <w:kern w:val="0"/>
                <w:sz w:val="20"/>
                <w:szCs w:val="20"/>
              </w:rPr>
            </w:pPr>
          </w:p>
        </w:tc>
        <w:tc>
          <w:tcPr>
            <w:tcW w:w="692" w:type="dxa"/>
            <w:gridSpan w:val="2"/>
            <w:vAlign w:val="center"/>
          </w:tcPr>
          <w:p>
            <w:pPr>
              <w:pStyle w:val="63"/>
              <w:rPr>
                <w:rFonts w:cs="Times New Roman"/>
                <w:sz w:val="20"/>
                <w:szCs w:val="20"/>
              </w:rPr>
            </w:pPr>
            <w:r>
              <w:rPr>
                <w:rFonts w:hint="eastAsia" w:cs="Times New Roman"/>
                <w:sz w:val="20"/>
                <w:szCs w:val="20"/>
              </w:rPr>
              <w:t>硫化氢</w:t>
            </w:r>
          </w:p>
        </w:tc>
        <w:tc>
          <w:tcPr>
            <w:tcW w:w="1327" w:type="dxa"/>
            <w:gridSpan w:val="2"/>
            <w:vAlign w:val="center"/>
          </w:tcPr>
          <w:p>
            <w:pPr>
              <w:pStyle w:val="63"/>
              <w:rPr>
                <w:rFonts w:cs="Times New Roman"/>
                <w:snapToGrid w:val="0"/>
                <w:kern w:val="0"/>
                <w:sz w:val="20"/>
                <w:szCs w:val="20"/>
              </w:rPr>
            </w:pPr>
            <w:r>
              <w:rPr>
                <w:rFonts w:hint="eastAsia" w:cs="Times New Roman"/>
                <w:snapToGrid w:val="0"/>
                <w:kern w:val="0"/>
                <w:sz w:val="20"/>
                <w:szCs w:val="20"/>
              </w:rPr>
              <w:t>0.000192</w:t>
            </w:r>
          </w:p>
        </w:tc>
        <w:tc>
          <w:tcPr>
            <w:tcW w:w="1074" w:type="dxa"/>
            <w:gridSpan w:val="2"/>
            <w:vAlign w:val="center"/>
          </w:tcPr>
          <w:p>
            <w:pPr>
              <w:pStyle w:val="63"/>
              <w:rPr>
                <w:rFonts w:cs="Times New Roman"/>
                <w:snapToGrid w:val="0"/>
                <w:kern w:val="0"/>
                <w:sz w:val="20"/>
                <w:szCs w:val="20"/>
              </w:rPr>
            </w:pPr>
            <w:r>
              <w:rPr>
                <w:rFonts w:hint="eastAsia" w:cs="Times New Roman"/>
                <w:snapToGrid w:val="0"/>
                <w:kern w:val="0"/>
                <w:sz w:val="20"/>
                <w:szCs w:val="20"/>
              </w:rPr>
              <w:t>0.00168</w:t>
            </w:r>
          </w:p>
        </w:tc>
        <w:tc>
          <w:tcPr>
            <w:tcW w:w="1209" w:type="dxa"/>
            <w:gridSpan w:val="4"/>
            <w:vAlign w:val="center"/>
          </w:tcPr>
          <w:p>
            <w:pPr>
              <w:pStyle w:val="63"/>
              <w:rPr>
                <w:rFonts w:cs="Times New Roman"/>
                <w:kern w:val="0"/>
                <w:sz w:val="20"/>
                <w:szCs w:val="20"/>
              </w:rPr>
            </w:pPr>
            <w:r>
              <w:rPr>
                <w:rFonts w:cs="Times New Roman"/>
                <w:kern w:val="0"/>
                <w:sz w:val="20"/>
                <w:szCs w:val="20"/>
              </w:rPr>
              <w:t>无组织</w:t>
            </w:r>
          </w:p>
        </w:tc>
        <w:tc>
          <w:tcPr>
            <w:tcW w:w="1461" w:type="dxa"/>
            <w:gridSpan w:val="2"/>
            <w:vAlign w:val="center"/>
          </w:tcPr>
          <w:p>
            <w:pPr>
              <w:pStyle w:val="63"/>
              <w:rPr>
                <w:rFonts w:cs="Times New Roman"/>
                <w:snapToGrid w:val="0"/>
                <w:kern w:val="0"/>
                <w:sz w:val="20"/>
                <w:szCs w:val="20"/>
              </w:rPr>
            </w:pPr>
            <w:r>
              <w:rPr>
                <w:rFonts w:hint="eastAsia" w:cs="Times New Roman"/>
                <w:snapToGrid w:val="0"/>
                <w:kern w:val="0"/>
                <w:sz w:val="20"/>
                <w:szCs w:val="20"/>
              </w:rPr>
              <w:t>0.000192</w:t>
            </w:r>
          </w:p>
        </w:tc>
        <w:tc>
          <w:tcPr>
            <w:tcW w:w="1479" w:type="dxa"/>
            <w:gridSpan w:val="3"/>
            <w:vAlign w:val="center"/>
          </w:tcPr>
          <w:p>
            <w:pPr>
              <w:pStyle w:val="63"/>
              <w:rPr>
                <w:rFonts w:cs="Times New Roman"/>
                <w:snapToGrid w:val="0"/>
                <w:kern w:val="0"/>
                <w:sz w:val="20"/>
                <w:szCs w:val="20"/>
              </w:rPr>
            </w:pPr>
            <w:r>
              <w:rPr>
                <w:rFonts w:hint="eastAsia" w:cs="Times New Roman"/>
                <w:snapToGrid w:val="0"/>
                <w:kern w:val="0"/>
                <w:sz w:val="20"/>
                <w:szCs w:val="20"/>
              </w:rPr>
              <w:t>0.00168</w:t>
            </w:r>
          </w:p>
        </w:tc>
        <w:tc>
          <w:tcPr>
            <w:tcW w:w="2036" w:type="dxa"/>
            <w:gridSpan w:val="5"/>
            <w:vAlign w:val="center"/>
          </w:tcPr>
          <w:p>
            <w:pPr>
              <w:pStyle w:val="63"/>
              <w:rPr>
                <w:rFonts w:cs="Times New Roman"/>
                <w:sz w:val="20"/>
                <w:szCs w:val="20"/>
              </w:rPr>
            </w:pPr>
            <w:r>
              <w:rPr>
                <w:rFonts w:hint="eastAsia" w:cs="Times New Roman"/>
                <w:sz w:val="20"/>
                <w:szCs w:val="20"/>
              </w:rPr>
              <w:t>0.06</w:t>
            </w:r>
          </w:p>
        </w:tc>
        <w:tc>
          <w:tcPr>
            <w:tcW w:w="2902" w:type="dxa"/>
            <w:gridSpan w:val="6"/>
            <w:vMerge w:val="continue"/>
            <w:vAlign w:val="center"/>
          </w:tcPr>
          <w:p>
            <w:pPr>
              <w:pStyle w:val="63"/>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585" w:type="dxa"/>
            <w:gridSpan w:val="14"/>
            <w:vMerge w:val="restart"/>
            <w:vAlign w:val="center"/>
          </w:tcPr>
          <w:p>
            <w:pPr>
              <w:pStyle w:val="63"/>
              <w:rPr>
                <w:rFonts w:cs="Times New Roman"/>
                <w:snapToGrid w:val="0"/>
                <w:kern w:val="0"/>
                <w:sz w:val="20"/>
                <w:szCs w:val="20"/>
              </w:rPr>
            </w:pPr>
            <w:r>
              <w:rPr>
                <w:rFonts w:hint="eastAsia" w:cs="Times New Roman"/>
                <w:snapToGrid w:val="0"/>
                <w:kern w:val="0"/>
                <w:sz w:val="20"/>
                <w:szCs w:val="20"/>
              </w:rPr>
              <w:t>合计</w:t>
            </w:r>
          </w:p>
        </w:tc>
        <w:tc>
          <w:tcPr>
            <w:tcW w:w="1479" w:type="dxa"/>
            <w:gridSpan w:val="3"/>
            <w:vMerge w:val="restart"/>
            <w:vAlign w:val="center"/>
          </w:tcPr>
          <w:p>
            <w:pPr>
              <w:pStyle w:val="63"/>
              <w:rPr>
                <w:rFonts w:cs="Times New Roman"/>
                <w:snapToGrid w:val="0"/>
                <w:kern w:val="0"/>
                <w:sz w:val="20"/>
                <w:szCs w:val="20"/>
              </w:rPr>
            </w:pPr>
            <w:r>
              <w:rPr>
                <w:rFonts w:hint="eastAsia" w:cs="Times New Roman"/>
                <w:snapToGrid w:val="0"/>
                <w:kern w:val="0"/>
                <w:sz w:val="20"/>
                <w:szCs w:val="20"/>
              </w:rPr>
              <w:t>有组织</w:t>
            </w:r>
          </w:p>
        </w:tc>
        <w:tc>
          <w:tcPr>
            <w:tcW w:w="2036" w:type="dxa"/>
            <w:gridSpan w:val="5"/>
            <w:vAlign w:val="center"/>
          </w:tcPr>
          <w:p>
            <w:pPr>
              <w:pStyle w:val="63"/>
              <w:rPr>
                <w:rFonts w:cs="Times New Roman"/>
                <w:sz w:val="20"/>
                <w:szCs w:val="20"/>
              </w:rPr>
            </w:pPr>
            <w:r>
              <w:rPr>
                <w:rFonts w:hint="eastAsia" w:cs="Times New Roman"/>
                <w:sz w:val="20"/>
                <w:szCs w:val="20"/>
              </w:rPr>
              <w:t>氨</w:t>
            </w:r>
          </w:p>
        </w:tc>
        <w:tc>
          <w:tcPr>
            <w:tcW w:w="2902" w:type="dxa"/>
            <w:gridSpan w:val="6"/>
            <w:vAlign w:val="center"/>
          </w:tcPr>
          <w:p>
            <w:pPr>
              <w:pStyle w:val="63"/>
              <w:rPr>
                <w:rFonts w:cs="Times New Roman"/>
                <w:sz w:val="20"/>
                <w:szCs w:val="20"/>
              </w:rPr>
            </w:pPr>
            <w:r>
              <w:rPr>
                <w:rFonts w:hint="eastAsia" w:cs="Times New Roman"/>
                <w:sz w:val="20"/>
                <w:szCs w:val="20"/>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585" w:type="dxa"/>
            <w:gridSpan w:val="14"/>
            <w:vMerge w:val="continue"/>
            <w:vAlign w:val="center"/>
          </w:tcPr>
          <w:p>
            <w:pPr>
              <w:pStyle w:val="63"/>
              <w:rPr>
                <w:rFonts w:cs="Times New Roman"/>
                <w:snapToGrid w:val="0"/>
                <w:kern w:val="0"/>
                <w:sz w:val="20"/>
                <w:szCs w:val="20"/>
              </w:rPr>
            </w:pPr>
          </w:p>
        </w:tc>
        <w:tc>
          <w:tcPr>
            <w:tcW w:w="1479" w:type="dxa"/>
            <w:gridSpan w:val="3"/>
            <w:vMerge w:val="continue"/>
            <w:vAlign w:val="center"/>
          </w:tcPr>
          <w:p>
            <w:pPr>
              <w:pStyle w:val="63"/>
              <w:rPr>
                <w:rFonts w:cs="Times New Roman"/>
                <w:snapToGrid w:val="0"/>
                <w:kern w:val="0"/>
                <w:sz w:val="20"/>
                <w:szCs w:val="20"/>
              </w:rPr>
            </w:pPr>
          </w:p>
        </w:tc>
        <w:tc>
          <w:tcPr>
            <w:tcW w:w="2036" w:type="dxa"/>
            <w:gridSpan w:val="5"/>
            <w:vAlign w:val="center"/>
          </w:tcPr>
          <w:p>
            <w:pPr>
              <w:pStyle w:val="63"/>
              <w:rPr>
                <w:rFonts w:cs="Times New Roman"/>
                <w:sz w:val="20"/>
                <w:szCs w:val="20"/>
              </w:rPr>
            </w:pPr>
            <w:r>
              <w:rPr>
                <w:rFonts w:hint="eastAsia" w:cs="Times New Roman"/>
                <w:sz w:val="20"/>
                <w:szCs w:val="20"/>
              </w:rPr>
              <w:t>硫化氢</w:t>
            </w:r>
          </w:p>
        </w:tc>
        <w:tc>
          <w:tcPr>
            <w:tcW w:w="2902" w:type="dxa"/>
            <w:gridSpan w:val="6"/>
            <w:vAlign w:val="center"/>
          </w:tcPr>
          <w:p>
            <w:pPr>
              <w:pStyle w:val="63"/>
              <w:rPr>
                <w:rFonts w:cs="Times New Roman"/>
                <w:sz w:val="20"/>
                <w:szCs w:val="20"/>
              </w:rPr>
            </w:pPr>
            <w:r>
              <w:rPr>
                <w:rFonts w:hint="eastAsia" w:cs="Times New Roman"/>
                <w:sz w:val="20"/>
                <w:szCs w:val="20"/>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6585" w:type="dxa"/>
            <w:gridSpan w:val="14"/>
            <w:vMerge w:val="continue"/>
            <w:vAlign w:val="center"/>
          </w:tcPr>
          <w:p>
            <w:pPr>
              <w:pStyle w:val="63"/>
              <w:rPr>
                <w:rFonts w:cs="Times New Roman"/>
                <w:snapToGrid w:val="0"/>
                <w:kern w:val="0"/>
                <w:sz w:val="20"/>
                <w:szCs w:val="20"/>
              </w:rPr>
            </w:pPr>
          </w:p>
        </w:tc>
        <w:tc>
          <w:tcPr>
            <w:tcW w:w="1479" w:type="dxa"/>
            <w:gridSpan w:val="3"/>
            <w:vMerge w:val="restart"/>
            <w:vAlign w:val="center"/>
          </w:tcPr>
          <w:p>
            <w:pPr>
              <w:pStyle w:val="63"/>
              <w:rPr>
                <w:rFonts w:cs="Times New Roman"/>
                <w:snapToGrid w:val="0"/>
                <w:kern w:val="0"/>
                <w:sz w:val="20"/>
                <w:szCs w:val="20"/>
              </w:rPr>
            </w:pPr>
            <w:r>
              <w:rPr>
                <w:rFonts w:hint="eastAsia" w:cs="Times New Roman"/>
                <w:snapToGrid w:val="0"/>
                <w:kern w:val="0"/>
                <w:sz w:val="20"/>
                <w:szCs w:val="20"/>
              </w:rPr>
              <w:t>无组织</w:t>
            </w:r>
          </w:p>
        </w:tc>
        <w:tc>
          <w:tcPr>
            <w:tcW w:w="2036" w:type="dxa"/>
            <w:gridSpan w:val="5"/>
            <w:vAlign w:val="center"/>
          </w:tcPr>
          <w:p>
            <w:pPr>
              <w:pStyle w:val="63"/>
              <w:rPr>
                <w:rFonts w:cs="Times New Roman"/>
                <w:sz w:val="20"/>
                <w:szCs w:val="20"/>
              </w:rPr>
            </w:pPr>
            <w:r>
              <w:rPr>
                <w:rFonts w:hint="eastAsia" w:cs="Times New Roman"/>
                <w:sz w:val="20"/>
                <w:szCs w:val="20"/>
              </w:rPr>
              <w:t>氨</w:t>
            </w:r>
          </w:p>
        </w:tc>
        <w:tc>
          <w:tcPr>
            <w:tcW w:w="2902" w:type="dxa"/>
            <w:gridSpan w:val="6"/>
            <w:vAlign w:val="center"/>
          </w:tcPr>
          <w:p>
            <w:pPr>
              <w:pStyle w:val="63"/>
              <w:rPr>
                <w:rFonts w:cs="Times New Roman"/>
                <w:sz w:val="20"/>
                <w:szCs w:val="20"/>
              </w:rPr>
            </w:pPr>
            <w:r>
              <w:rPr>
                <w:rFonts w:hint="eastAsia" w:cs="Times New Roman"/>
                <w:snapToGrid w:val="0"/>
                <w:kern w:val="0"/>
                <w:sz w:val="20"/>
                <w:szCs w:val="20"/>
              </w:rPr>
              <w:t>0.0304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585" w:type="dxa"/>
            <w:gridSpan w:val="14"/>
            <w:vMerge w:val="continue"/>
            <w:vAlign w:val="center"/>
          </w:tcPr>
          <w:p>
            <w:pPr>
              <w:pStyle w:val="63"/>
              <w:rPr>
                <w:rFonts w:cs="Times New Roman"/>
                <w:snapToGrid w:val="0"/>
                <w:kern w:val="0"/>
                <w:sz w:val="20"/>
                <w:szCs w:val="20"/>
              </w:rPr>
            </w:pPr>
          </w:p>
        </w:tc>
        <w:tc>
          <w:tcPr>
            <w:tcW w:w="1479" w:type="dxa"/>
            <w:gridSpan w:val="3"/>
            <w:vMerge w:val="continue"/>
            <w:vAlign w:val="center"/>
          </w:tcPr>
          <w:p>
            <w:pPr>
              <w:pStyle w:val="63"/>
              <w:rPr>
                <w:rFonts w:cs="Times New Roman"/>
                <w:snapToGrid w:val="0"/>
                <w:kern w:val="0"/>
                <w:sz w:val="20"/>
                <w:szCs w:val="20"/>
              </w:rPr>
            </w:pPr>
          </w:p>
        </w:tc>
        <w:tc>
          <w:tcPr>
            <w:tcW w:w="2036" w:type="dxa"/>
            <w:gridSpan w:val="5"/>
            <w:vAlign w:val="center"/>
          </w:tcPr>
          <w:p>
            <w:pPr>
              <w:pStyle w:val="63"/>
              <w:rPr>
                <w:rFonts w:cs="Times New Roman"/>
                <w:sz w:val="20"/>
                <w:szCs w:val="20"/>
              </w:rPr>
            </w:pPr>
            <w:r>
              <w:rPr>
                <w:rFonts w:hint="eastAsia" w:cs="Times New Roman"/>
                <w:sz w:val="20"/>
                <w:szCs w:val="20"/>
              </w:rPr>
              <w:t>硫化氢</w:t>
            </w:r>
          </w:p>
        </w:tc>
        <w:tc>
          <w:tcPr>
            <w:tcW w:w="2902" w:type="dxa"/>
            <w:gridSpan w:val="6"/>
            <w:vAlign w:val="center"/>
          </w:tcPr>
          <w:p>
            <w:pPr>
              <w:pStyle w:val="63"/>
              <w:rPr>
                <w:rFonts w:cs="Times New Roman"/>
                <w:sz w:val="20"/>
                <w:szCs w:val="20"/>
              </w:rPr>
            </w:pPr>
            <w:r>
              <w:rPr>
                <w:rFonts w:hint="eastAsia" w:cs="Times New Roman"/>
                <w:snapToGrid w:val="0"/>
                <w:kern w:val="0"/>
                <w:sz w:val="20"/>
                <w:szCs w:val="20"/>
              </w:rPr>
              <w:t>0.00168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585" w:type="dxa"/>
            <w:gridSpan w:val="14"/>
            <w:vMerge w:val="continue"/>
            <w:vAlign w:val="center"/>
          </w:tcPr>
          <w:p>
            <w:pPr>
              <w:pStyle w:val="63"/>
              <w:rPr>
                <w:rFonts w:cs="Times New Roman"/>
                <w:snapToGrid w:val="0"/>
                <w:kern w:val="0"/>
                <w:sz w:val="20"/>
                <w:szCs w:val="20"/>
              </w:rPr>
            </w:pPr>
          </w:p>
        </w:tc>
        <w:tc>
          <w:tcPr>
            <w:tcW w:w="1479" w:type="dxa"/>
            <w:gridSpan w:val="3"/>
            <w:vMerge w:val="restart"/>
            <w:vAlign w:val="center"/>
          </w:tcPr>
          <w:p>
            <w:pPr>
              <w:pStyle w:val="63"/>
              <w:rPr>
                <w:rFonts w:cs="Times New Roman"/>
                <w:snapToGrid w:val="0"/>
                <w:kern w:val="0"/>
                <w:sz w:val="20"/>
                <w:szCs w:val="20"/>
              </w:rPr>
            </w:pPr>
            <w:r>
              <w:rPr>
                <w:rFonts w:hint="eastAsia" w:cs="Times New Roman"/>
                <w:snapToGrid w:val="0"/>
                <w:kern w:val="0"/>
                <w:sz w:val="20"/>
                <w:szCs w:val="20"/>
              </w:rPr>
              <w:t>合计</w:t>
            </w:r>
          </w:p>
        </w:tc>
        <w:tc>
          <w:tcPr>
            <w:tcW w:w="2036" w:type="dxa"/>
            <w:gridSpan w:val="5"/>
            <w:vAlign w:val="center"/>
          </w:tcPr>
          <w:p>
            <w:pPr>
              <w:pStyle w:val="63"/>
              <w:rPr>
                <w:rFonts w:cs="Times New Roman"/>
                <w:sz w:val="20"/>
                <w:szCs w:val="20"/>
              </w:rPr>
            </w:pPr>
            <w:r>
              <w:rPr>
                <w:rFonts w:hint="eastAsia" w:cs="Times New Roman"/>
                <w:sz w:val="20"/>
                <w:szCs w:val="20"/>
              </w:rPr>
              <w:t>氨</w:t>
            </w:r>
          </w:p>
        </w:tc>
        <w:tc>
          <w:tcPr>
            <w:tcW w:w="2902" w:type="dxa"/>
            <w:gridSpan w:val="6"/>
            <w:vAlign w:val="center"/>
          </w:tcPr>
          <w:p>
            <w:pPr>
              <w:pStyle w:val="63"/>
              <w:rPr>
                <w:rFonts w:cs="Times New Roman"/>
                <w:sz w:val="20"/>
                <w:szCs w:val="20"/>
              </w:rPr>
            </w:pPr>
            <w:r>
              <w:rPr>
                <w:rFonts w:hint="eastAsia" w:cs="Times New Roman"/>
                <w:sz w:val="20"/>
                <w:szCs w:val="20"/>
              </w:rPr>
              <w:t>0.0854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585" w:type="dxa"/>
            <w:gridSpan w:val="14"/>
            <w:vMerge w:val="continue"/>
            <w:vAlign w:val="center"/>
          </w:tcPr>
          <w:p>
            <w:pPr>
              <w:pStyle w:val="63"/>
              <w:rPr>
                <w:rFonts w:cs="Times New Roman"/>
                <w:snapToGrid w:val="0"/>
                <w:kern w:val="0"/>
                <w:sz w:val="20"/>
                <w:szCs w:val="20"/>
              </w:rPr>
            </w:pPr>
          </w:p>
        </w:tc>
        <w:tc>
          <w:tcPr>
            <w:tcW w:w="1479" w:type="dxa"/>
            <w:gridSpan w:val="3"/>
            <w:vMerge w:val="continue"/>
            <w:vAlign w:val="center"/>
          </w:tcPr>
          <w:p>
            <w:pPr>
              <w:pStyle w:val="63"/>
              <w:rPr>
                <w:rFonts w:cs="Times New Roman"/>
                <w:snapToGrid w:val="0"/>
                <w:kern w:val="0"/>
                <w:sz w:val="20"/>
                <w:szCs w:val="20"/>
              </w:rPr>
            </w:pPr>
          </w:p>
        </w:tc>
        <w:tc>
          <w:tcPr>
            <w:tcW w:w="2036" w:type="dxa"/>
            <w:gridSpan w:val="5"/>
            <w:vAlign w:val="center"/>
          </w:tcPr>
          <w:p>
            <w:pPr>
              <w:pStyle w:val="63"/>
              <w:rPr>
                <w:rFonts w:cs="Times New Roman"/>
                <w:sz w:val="20"/>
                <w:szCs w:val="20"/>
              </w:rPr>
            </w:pPr>
            <w:r>
              <w:rPr>
                <w:rFonts w:hint="eastAsia" w:cs="Times New Roman"/>
                <w:sz w:val="20"/>
                <w:szCs w:val="20"/>
              </w:rPr>
              <w:t>硫化氢</w:t>
            </w:r>
          </w:p>
        </w:tc>
        <w:tc>
          <w:tcPr>
            <w:tcW w:w="2902" w:type="dxa"/>
            <w:gridSpan w:val="6"/>
            <w:vAlign w:val="center"/>
          </w:tcPr>
          <w:p>
            <w:pPr>
              <w:pStyle w:val="63"/>
              <w:rPr>
                <w:rFonts w:cs="Times New Roman"/>
                <w:sz w:val="20"/>
                <w:szCs w:val="20"/>
              </w:rPr>
            </w:pPr>
            <w:r>
              <w:rPr>
                <w:rFonts w:hint="eastAsia" w:cs="Times New Roman"/>
                <w:sz w:val="20"/>
                <w:szCs w:val="20"/>
              </w:rPr>
              <w:t>0.00468</w:t>
            </w:r>
          </w:p>
        </w:tc>
      </w:tr>
    </w:tbl>
    <w:p/>
    <w:p>
      <w:pPr>
        <w:pStyle w:val="5"/>
        <w:ind w:firstLine="480"/>
        <w:rPr>
          <w:rFonts w:cs="Times New Roman"/>
        </w:rPr>
      </w:pPr>
      <w:r>
        <w:rPr>
          <w:rFonts w:cs="Times New Roman"/>
        </w:rPr>
        <w:t>非正常排放是指装置在生产运行阶段的停电、停车检修维护和环保设施故障中产生的“三废”排放。在生产运行阶段的停电、停车检修以及污染治理设施效率下降等环节将产生非正常排放，其大小及频率与生产装置的工艺水平、操作管理水平等因素有关，若不采取有效的控制措施，将会造成严重的环境污染。本次评价主要考虑废气处理设施故障未进行正常维护，导致废气的处理效率降低。因此，本次评价考虑非正常情况发生频次为每年一次，持续时间60min，废气的处理效率降至</w:t>
      </w:r>
      <w:r>
        <w:rPr>
          <w:rFonts w:hint="eastAsia" w:cs="Times New Roman"/>
        </w:rPr>
        <w:t>0</w:t>
      </w:r>
      <w:r>
        <w:rPr>
          <w:rFonts w:cs="Times New Roman"/>
        </w:rPr>
        <w:t>%，因此本次考虑项目建成后，非正常工况下废气排放分析结果见</w:t>
      </w:r>
      <w:r>
        <w:rPr>
          <w:rFonts w:cs="Times New Roman"/>
        </w:rPr>
        <w:fldChar w:fldCharType="begin"/>
      </w:r>
      <w:r>
        <w:rPr>
          <w:rFonts w:cs="Times New Roman"/>
        </w:rPr>
        <w:instrText xml:space="preserve"> REF _Ref165298244 \h  \* MERGEFORMAT </w:instrText>
      </w:r>
      <w:r>
        <w:rPr>
          <w:rFonts w:cs="Times New Roman"/>
        </w:rPr>
        <w:fldChar w:fldCharType="separate"/>
      </w:r>
      <w:r>
        <w:rPr>
          <w:rFonts w:cs="Times New Roman"/>
        </w:rPr>
        <w:t>表 4.2</w:t>
      </w:r>
      <w:r>
        <w:rPr>
          <w:rFonts w:cs="Times New Roman"/>
        </w:rPr>
        <w:noBreakHyphen/>
      </w:r>
      <w:r>
        <w:rPr>
          <w:rFonts w:cs="Times New Roman"/>
        </w:rPr>
        <w:t>6</w:t>
      </w:r>
      <w:r>
        <w:rPr>
          <w:rFonts w:cs="Times New Roman"/>
        </w:rPr>
        <w:fldChar w:fldCharType="end"/>
      </w:r>
      <w:r>
        <w:rPr>
          <w:rFonts w:cs="Times New Roman"/>
        </w:rPr>
        <w:t>。</w:t>
      </w:r>
      <w:r>
        <w:rPr>
          <w:rFonts w:hint="eastAsia" w:cs="Times New Roman"/>
        </w:rPr>
        <w:t>非正常情况下，氨、硫化氢排放速率增加，对周围大气环境不利影响增加，但仍满足排放标准。企业应尽量避免非正常情况排放。</w:t>
      </w:r>
    </w:p>
    <w:p>
      <w:pPr>
        <w:pStyle w:val="14"/>
        <w:keepNext/>
      </w:pPr>
      <w:bookmarkStart w:id="63" w:name="_Ref165298244"/>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6</w:t>
      </w:r>
      <w:r>
        <w:fldChar w:fldCharType="end"/>
      </w:r>
      <w:bookmarkEnd w:id="63"/>
      <w:r>
        <w:t xml:space="preserve">  非正常工况下废气排放分析结果</w:t>
      </w:r>
    </w:p>
    <w:tbl>
      <w:tblPr>
        <w:tblStyle w:val="38"/>
        <w:tblW w:w="130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9"/>
        <w:gridCol w:w="1839"/>
        <w:gridCol w:w="2730"/>
        <w:gridCol w:w="2782"/>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9" w:type="dxa"/>
            <w:vAlign w:val="center"/>
          </w:tcPr>
          <w:p>
            <w:pPr>
              <w:pStyle w:val="63"/>
              <w:rPr>
                <w:rFonts w:cs="Times New Roman"/>
              </w:rPr>
            </w:pPr>
            <w:r>
              <w:rPr>
                <w:rFonts w:cs="Times New Roman"/>
              </w:rPr>
              <w:t>污染源</w:t>
            </w:r>
          </w:p>
        </w:tc>
        <w:tc>
          <w:tcPr>
            <w:tcW w:w="1839" w:type="dxa"/>
            <w:vAlign w:val="center"/>
          </w:tcPr>
          <w:p>
            <w:pPr>
              <w:pStyle w:val="63"/>
              <w:rPr>
                <w:rFonts w:cs="Times New Roman"/>
              </w:rPr>
            </w:pPr>
            <w:r>
              <w:rPr>
                <w:rFonts w:cs="Times New Roman"/>
              </w:rPr>
              <w:t>污染物</w:t>
            </w:r>
          </w:p>
        </w:tc>
        <w:tc>
          <w:tcPr>
            <w:tcW w:w="2730" w:type="dxa"/>
            <w:vAlign w:val="center"/>
          </w:tcPr>
          <w:p>
            <w:pPr>
              <w:pStyle w:val="63"/>
              <w:rPr>
                <w:rFonts w:cs="Times New Roman"/>
              </w:rPr>
            </w:pPr>
            <w:r>
              <w:rPr>
                <w:rFonts w:cs="Times New Roman"/>
              </w:rPr>
              <w:t>排气量（Nm</w:t>
            </w:r>
            <w:r>
              <w:rPr>
                <w:rFonts w:cs="Times New Roman"/>
                <w:vertAlign w:val="superscript"/>
              </w:rPr>
              <w:t>3</w:t>
            </w:r>
            <w:r>
              <w:rPr>
                <w:rFonts w:cs="Times New Roman"/>
              </w:rPr>
              <w:t>/h）</w:t>
            </w:r>
          </w:p>
        </w:tc>
        <w:tc>
          <w:tcPr>
            <w:tcW w:w="2782" w:type="dxa"/>
            <w:vAlign w:val="center"/>
          </w:tcPr>
          <w:p>
            <w:pPr>
              <w:pStyle w:val="63"/>
              <w:rPr>
                <w:rFonts w:cs="Times New Roman"/>
              </w:rPr>
            </w:pPr>
            <w:r>
              <w:rPr>
                <w:rFonts w:cs="Times New Roman"/>
              </w:rPr>
              <w:t>排放速率（kg/h）</w:t>
            </w:r>
          </w:p>
        </w:tc>
        <w:tc>
          <w:tcPr>
            <w:tcW w:w="2782" w:type="dxa"/>
          </w:tcPr>
          <w:p>
            <w:pPr>
              <w:pStyle w:val="63"/>
              <w:rPr>
                <w:rFonts w:cs="Times New Roman"/>
              </w:rPr>
            </w:pPr>
            <w:r>
              <w:rPr>
                <w:rFonts w:hint="eastAsia" w:cs="Times New Roman"/>
              </w:rPr>
              <w:t>排放速率标准（kg/h）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9" w:type="dxa"/>
            <w:vMerge w:val="restart"/>
            <w:vAlign w:val="center"/>
          </w:tcPr>
          <w:p>
            <w:pPr>
              <w:pStyle w:val="63"/>
              <w:rPr>
                <w:rFonts w:cs="Times New Roman"/>
              </w:rPr>
            </w:pPr>
            <w:r>
              <w:rPr>
                <w:rFonts w:hint="eastAsia" w:cs="Times New Roman"/>
              </w:rPr>
              <w:t>臭气处理设施</w:t>
            </w:r>
          </w:p>
        </w:tc>
        <w:tc>
          <w:tcPr>
            <w:tcW w:w="1839" w:type="dxa"/>
            <w:vAlign w:val="center"/>
          </w:tcPr>
          <w:p>
            <w:pPr>
              <w:pStyle w:val="63"/>
              <w:rPr>
                <w:rFonts w:cs="Times New Roman"/>
              </w:rPr>
            </w:pPr>
            <w:r>
              <w:rPr>
                <w:rFonts w:hint="eastAsia" w:cs="Times New Roman"/>
              </w:rPr>
              <w:t>氨</w:t>
            </w:r>
          </w:p>
        </w:tc>
        <w:tc>
          <w:tcPr>
            <w:tcW w:w="2730" w:type="dxa"/>
            <w:vAlign w:val="center"/>
          </w:tcPr>
          <w:p>
            <w:pPr>
              <w:pStyle w:val="63"/>
              <w:rPr>
                <w:rFonts w:cs="Times New Roman"/>
              </w:rPr>
            </w:pPr>
            <w:r>
              <w:rPr>
                <w:rFonts w:hint="eastAsia" w:cs="Times New Roman"/>
              </w:rPr>
              <w:t>20000</w:t>
            </w:r>
          </w:p>
        </w:tc>
        <w:tc>
          <w:tcPr>
            <w:tcW w:w="2782" w:type="dxa"/>
          </w:tcPr>
          <w:p>
            <w:pPr>
              <w:pStyle w:val="63"/>
              <w:rPr>
                <w:rFonts w:cs="Times New Roman"/>
              </w:rPr>
            </w:pPr>
            <w:r>
              <w:rPr>
                <w:rFonts w:hint="eastAsia"/>
              </w:rPr>
              <w:t>0.0157</w:t>
            </w:r>
            <w:r>
              <w:t xml:space="preserve"> </w:t>
            </w:r>
          </w:p>
        </w:tc>
        <w:tc>
          <w:tcPr>
            <w:tcW w:w="2782" w:type="dxa"/>
          </w:tcPr>
          <w:p>
            <w:pPr>
              <w:pStyle w:val="63"/>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69" w:type="dxa"/>
            <w:vMerge w:val="continue"/>
            <w:vAlign w:val="center"/>
          </w:tcPr>
          <w:p>
            <w:pPr>
              <w:pStyle w:val="63"/>
              <w:rPr>
                <w:rFonts w:cs="Times New Roman"/>
              </w:rPr>
            </w:pPr>
          </w:p>
        </w:tc>
        <w:tc>
          <w:tcPr>
            <w:tcW w:w="1839" w:type="dxa"/>
            <w:vAlign w:val="center"/>
          </w:tcPr>
          <w:p>
            <w:pPr>
              <w:pStyle w:val="63"/>
              <w:rPr>
                <w:rFonts w:cs="Times New Roman"/>
              </w:rPr>
            </w:pPr>
            <w:r>
              <w:rPr>
                <w:rFonts w:hint="eastAsia" w:cs="Times New Roman"/>
              </w:rPr>
              <w:t>硫化氢</w:t>
            </w:r>
          </w:p>
        </w:tc>
        <w:tc>
          <w:tcPr>
            <w:tcW w:w="2730" w:type="dxa"/>
          </w:tcPr>
          <w:p>
            <w:pPr>
              <w:pStyle w:val="63"/>
              <w:rPr>
                <w:rFonts w:cs="Times New Roman"/>
              </w:rPr>
            </w:pPr>
            <w:r>
              <w:rPr>
                <w:rFonts w:hint="eastAsia" w:cs="Times New Roman"/>
              </w:rPr>
              <w:t>20000</w:t>
            </w:r>
          </w:p>
        </w:tc>
        <w:tc>
          <w:tcPr>
            <w:tcW w:w="2782" w:type="dxa"/>
          </w:tcPr>
          <w:p>
            <w:pPr>
              <w:pStyle w:val="63"/>
              <w:rPr>
                <w:rFonts w:cs="Times New Roman"/>
              </w:rPr>
            </w:pPr>
            <w:r>
              <w:rPr>
                <w:rFonts w:hint="eastAsia"/>
              </w:rPr>
              <w:t>0.00087</w:t>
            </w:r>
          </w:p>
        </w:tc>
        <w:tc>
          <w:tcPr>
            <w:tcW w:w="2782" w:type="dxa"/>
          </w:tcPr>
          <w:p>
            <w:pPr>
              <w:pStyle w:val="63"/>
            </w:pPr>
            <w:r>
              <w:rPr>
                <w:rFonts w:hint="eastAsia"/>
              </w:rPr>
              <w:t>0.33</w:t>
            </w:r>
          </w:p>
        </w:tc>
      </w:tr>
    </w:tbl>
    <w:p/>
    <w:p>
      <w:pPr>
        <w:tabs>
          <w:tab w:val="left" w:pos="930"/>
        </w:tabs>
        <w:rPr>
          <w:rFonts w:ascii="宋体" w:cs="宋体"/>
          <w:sz w:val="28"/>
          <w:szCs w:val="28"/>
        </w:rPr>
      </w:pPr>
    </w:p>
    <w:p>
      <w:pPr>
        <w:sectPr>
          <w:pgSz w:w="16840" w:h="11907" w:orient="landscape"/>
          <w:pgMar w:top="1531" w:right="1701" w:bottom="1531" w:left="2127" w:header="851" w:footer="851" w:gutter="0"/>
          <w:cols w:space="720" w:num="1"/>
          <w:docGrid w:linePitch="312" w:charSpace="0"/>
        </w:sectPr>
      </w:pPr>
    </w:p>
    <w:tbl>
      <w:tblPr>
        <w:tblStyle w:val="38"/>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tc>
        <w:tc>
          <w:tcPr>
            <w:tcW w:w="8162" w:type="dxa"/>
            <w:vAlign w:val="center"/>
          </w:tcPr>
          <w:p>
            <w:pPr>
              <w:pStyle w:val="6"/>
              <w:spacing w:before="120" w:after="120"/>
            </w:pPr>
            <w:r>
              <w:rPr>
                <w:rFonts w:hint="eastAsia"/>
              </w:rPr>
              <w:t>措施可行性分析</w:t>
            </w:r>
          </w:p>
          <w:p>
            <w:pPr>
              <w:pStyle w:val="5"/>
              <w:ind w:firstLine="480"/>
            </w:pPr>
            <w:r>
              <w:rPr>
                <w:rFonts w:hint="eastAsia"/>
              </w:rPr>
              <w:t>运营期间的大气污染主要是含</w:t>
            </w:r>
            <w:r>
              <w:t>H</w:t>
            </w:r>
            <w:r>
              <w:rPr>
                <w:vertAlign w:val="subscript"/>
              </w:rPr>
              <w:t>2</w:t>
            </w:r>
            <w:r>
              <w:t>S、NH</w:t>
            </w:r>
            <w:r>
              <w:rPr>
                <w:vertAlign w:val="subscript"/>
              </w:rPr>
              <w:t>3</w:t>
            </w:r>
            <w:r>
              <w:t>等臭气，臭气污染源主要为格栅及集水池、细格栅及沉砂池、调节池、沉淀池、生物池、污泥脱水等，本项目对产臭单元进行</w:t>
            </w:r>
            <w:r>
              <w:rPr>
                <w:rFonts w:hint="eastAsia"/>
              </w:rPr>
              <w:t>加盖</w:t>
            </w:r>
            <w:r>
              <w:t>收集后，采取生物</w:t>
            </w:r>
            <w:r>
              <w:rPr>
                <w:rFonts w:hint="eastAsia"/>
              </w:rPr>
              <w:t>除臭</w:t>
            </w:r>
            <w:r>
              <w:t>的处理工艺</w:t>
            </w:r>
            <w:r>
              <w:rPr>
                <w:rFonts w:hint="eastAsia"/>
              </w:rPr>
              <w:t>处理后排放</w:t>
            </w:r>
            <w:r>
              <w:t>。</w:t>
            </w:r>
          </w:p>
          <w:p>
            <w:pPr>
              <w:pStyle w:val="5"/>
              <w:ind w:firstLine="480"/>
            </w:pPr>
            <w:r>
              <w:rPr>
                <w:rFonts w:hint="eastAsia"/>
              </w:rPr>
              <w:t>主要为利用微生物降解恶臭物质，达到去除臭味的方法。其实质是</w:t>
            </w:r>
            <w:r>
              <w:t>:臭气成分首先同水接触并溶解于水中，进一步扩散至生物膜，进而被其中的微生物捕捉并吸收;进入微生物体内的臭气成分在其自身的代谢过程中作为能源和营养物质被分解，经生物化学反应最终转化为无害的化合物。</w:t>
            </w:r>
            <w:r>
              <w:rPr>
                <w:rFonts w:hint="eastAsia"/>
              </w:rPr>
              <w:t>有较强的耐冲击负荷能力，可抵御不同的臭气浓度。生物除臭法因其简单、投资省、运行费用低、维护管理方便、效果好等优势而发展较快，</w:t>
            </w:r>
            <w:r>
              <w:t>其缺点是占地面积相对较大，需要生物培养，系统启动费时。当前应用较多的生物除臭法是生物土壤法和生物过滤法</w:t>
            </w:r>
            <w:r>
              <w:rPr>
                <w:rFonts w:hint="eastAsia"/>
              </w:rPr>
              <w:t>。</w:t>
            </w:r>
          </w:p>
          <w:p>
            <w:pPr>
              <w:pStyle w:val="5"/>
              <w:ind w:firstLine="480"/>
            </w:pPr>
            <w:r>
              <w:rPr>
                <w:rFonts w:hint="eastAsia"/>
              </w:rPr>
              <w:t>生物过滤法是将恶臭气体吹进增湿器进行润湿，去除颗粒物并增加湿度，然后进入生物滤池</w:t>
            </w:r>
            <w:r>
              <w:t>/滤塔，润湿的臭气通过填料层时，被附着在填料表面的微生物吸附、吸收，废气物质在细胞内各类酶的催化作用下，在生物细胞内新陈代谢分解成简单的、无害的代谢产物的方法。</w:t>
            </w:r>
          </w:p>
          <w:p>
            <w:pPr>
              <w:pStyle w:val="5"/>
              <w:ind w:firstLine="480"/>
            </w:pPr>
            <w:r>
              <w:rPr>
                <w:rFonts w:hint="eastAsia"/>
              </w:rPr>
              <w:t>生物过滤除臭过程可以分为三个阶段：</w:t>
            </w:r>
          </w:p>
          <w:p>
            <w:pPr>
              <w:pStyle w:val="5"/>
              <w:ind w:firstLine="480"/>
            </w:pPr>
            <w:r>
              <w:t>(1)气液扩散阶段恶臭物质被除臭填料(附着有微生物膜)吸附，臭气中的化学物质，通过填料气/液界面由气相转移至液相。</w:t>
            </w:r>
          </w:p>
          <w:p>
            <w:pPr>
              <w:pStyle w:val="5"/>
              <w:ind w:firstLine="480"/>
            </w:pPr>
            <w:r>
              <w:t>(2)液固扩散阶段恶臭物质向微生物膜表面扩散，臭气中的异味分子由液相扩散到生</w:t>
            </w:r>
            <w:r>
              <w:rPr>
                <w:rFonts w:hint="eastAsia"/>
              </w:rPr>
              <w:t>物填料的生物膜</w:t>
            </w:r>
            <w:r>
              <w:t>(固相)。</w:t>
            </w:r>
          </w:p>
          <w:p>
            <w:pPr>
              <w:pStyle w:val="5"/>
              <w:ind w:firstLine="480"/>
            </w:pPr>
            <w:r>
              <w:t>(3)生物氧化阶段微生物将恶臭物质氧化分解，生物填料表面形成的生物膜中的微生物把异味气体分子氧化，同时生物膜会引起氮、磷等营养物质及氧气的扩散和吸收。</w:t>
            </w:r>
            <w:r>
              <w:rPr>
                <w:rFonts w:hint="eastAsia"/>
              </w:rPr>
              <w:t xml:space="preserve">  </w:t>
            </w:r>
          </w:p>
          <w:p>
            <w:pPr>
              <w:pStyle w:val="5"/>
              <w:ind w:firstLine="480"/>
            </w:pPr>
            <w:r>
              <w:t>通过上述三个阶段，含硫的恶臭污染物被分解成S、SO</w:t>
            </w:r>
            <w:r>
              <w:rPr>
                <w:rFonts w:hint="eastAsia"/>
                <w:vertAlign w:val="subscript"/>
              </w:rPr>
              <w:t>3</w:t>
            </w:r>
            <w:r>
              <w:rPr>
                <w:rFonts w:hint="eastAsia"/>
                <w:vertAlign w:val="superscript"/>
              </w:rPr>
              <w:t>2-</w:t>
            </w:r>
            <w:r>
              <w:t>和SO</w:t>
            </w:r>
            <w:r>
              <w:rPr>
                <w:rFonts w:hint="eastAsia"/>
                <w:vertAlign w:val="subscript"/>
              </w:rPr>
              <w:t>4</w:t>
            </w:r>
            <w:r>
              <w:rPr>
                <w:rFonts w:hint="eastAsia"/>
                <w:vertAlign w:val="superscript"/>
              </w:rPr>
              <w:t>2-</w:t>
            </w:r>
            <w:r>
              <w:t>，含氮的恶臭污染物被分解成NH</w:t>
            </w:r>
            <w:r>
              <w:rPr>
                <w:rFonts w:hint="eastAsia"/>
                <w:vertAlign w:val="subscript"/>
              </w:rPr>
              <w:t>4</w:t>
            </w:r>
            <w:r>
              <w:rPr>
                <w:rFonts w:hint="eastAsia"/>
                <w:vertAlign w:val="superscript"/>
              </w:rPr>
              <w:t>+</w:t>
            </w:r>
            <w:r>
              <w:t>、NO</w:t>
            </w:r>
            <w:r>
              <w:rPr>
                <w:rFonts w:hint="eastAsia"/>
                <w:vertAlign w:val="subscript"/>
              </w:rPr>
              <w:t>3</w:t>
            </w:r>
            <w:r>
              <w:rPr>
                <w:rFonts w:hint="eastAsia"/>
                <w:vertAlign w:val="superscript"/>
              </w:rPr>
              <w:t>-</w:t>
            </w:r>
            <w:r>
              <w:t>，不含氮的恶臭污染物被分解成CO</w:t>
            </w:r>
            <w:r>
              <w:rPr>
                <w:rFonts w:hint="eastAsia"/>
                <w:vertAlign w:val="subscript"/>
              </w:rPr>
              <w:t>2</w:t>
            </w:r>
            <w:r>
              <w:t>和H</w:t>
            </w:r>
            <w:r>
              <w:rPr>
                <w:rFonts w:hint="eastAsia"/>
                <w:vertAlign w:val="subscript"/>
              </w:rPr>
              <w:t>2</w:t>
            </w:r>
            <w:r>
              <w:t>O，从而达到除臭的目的。</w:t>
            </w:r>
          </w:p>
          <w:p>
            <w:pPr>
              <w:pStyle w:val="5"/>
              <w:ind w:firstLine="480"/>
            </w:pPr>
            <w:r>
              <w:rPr>
                <w:rFonts w:hint="eastAsia"/>
              </w:rPr>
              <w:t>根据工程分析，项目收集废气量为19470m</w:t>
            </w:r>
            <w:r>
              <w:rPr>
                <w:rFonts w:hint="eastAsia"/>
                <w:vertAlign w:val="superscript"/>
              </w:rPr>
              <w:t>3</w:t>
            </w:r>
            <w:r>
              <w:rPr>
                <w:rFonts w:hint="eastAsia"/>
              </w:rPr>
              <w:t>/h，项目臭气处理规模为20000m</w:t>
            </w:r>
            <w:r>
              <w:rPr>
                <w:rFonts w:hint="eastAsia"/>
                <w:vertAlign w:val="superscript"/>
              </w:rPr>
              <w:t>3</w:t>
            </w:r>
            <w:r>
              <w:rPr>
                <w:rFonts w:hint="eastAsia"/>
              </w:rPr>
              <w:t>/h，项目臭气处理设施处理规模满足收集废气量要求，污染物处理后满足《恶臭污染物排放标准》（</w:t>
            </w:r>
            <w:r>
              <w:t>GB14554-93）</w:t>
            </w:r>
            <w:r>
              <w:rPr>
                <w:rFonts w:hint="eastAsia"/>
              </w:rPr>
              <w:t>二级标准，同时加强厂区绿化，加强管理，减少臭气物质排放，项目营运排放的氨和硫化氢对周围空气环境影响小。</w:t>
            </w:r>
          </w:p>
          <w:p>
            <w:pPr>
              <w:pStyle w:val="5"/>
              <w:ind w:firstLine="480"/>
            </w:pPr>
            <w:r>
              <w:rPr>
                <w:rFonts w:hint="eastAsia"/>
              </w:rPr>
              <w:t>根据《排污许可证申请与核发技术规范 水处理（试行）》（HJ978-2018），臭气处理工艺可行性见</w:t>
            </w:r>
            <w:r>
              <w:fldChar w:fldCharType="begin"/>
            </w:r>
            <w:r>
              <w:instrText xml:space="preserve"> </w:instrText>
            </w:r>
            <w:r>
              <w:rPr>
                <w:rFonts w:hint="eastAsia"/>
              </w:rPr>
              <w:instrText xml:space="preserve">REF _Ref170740884 \h</w:instrText>
            </w:r>
            <w:r>
              <w:instrText xml:space="preserve"> </w:instrText>
            </w:r>
            <w:r>
              <w:fldChar w:fldCharType="separate"/>
            </w:r>
            <w:r>
              <w:t>表 4.2</w:t>
            </w:r>
            <w:r>
              <w:noBreakHyphen/>
            </w:r>
            <w:r>
              <w:t>7</w:t>
            </w:r>
            <w:r>
              <w:fldChar w:fldCharType="end"/>
            </w:r>
            <w:r>
              <w:rPr>
                <w:rFonts w:hint="eastAsia"/>
              </w:rPr>
              <w:t>。</w:t>
            </w:r>
          </w:p>
          <w:p>
            <w:pPr>
              <w:pStyle w:val="14"/>
              <w:keepNext/>
            </w:pPr>
            <w:bookmarkStart w:id="64" w:name="_Ref170740884"/>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7</w:t>
            </w:r>
            <w:r>
              <w:fldChar w:fldCharType="end"/>
            </w:r>
            <w:bookmarkEnd w:id="64"/>
            <w:r>
              <w:rPr>
                <w:rFonts w:hint="eastAsia"/>
              </w:rPr>
              <w:t xml:space="preserve">  废气治理可行性分析</w:t>
            </w:r>
          </w:p>
          <w:tbl>
            <w:tblPr>
              <w:tblStyle w:val="3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1418"/>
              <w:gridCol w:w="2268"/>
              <w:gridCol w:w="1292"/>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vAlign w:val="center"/>
                </w:tcPr>
                <w:p>
                  <w:pPr>
                    <w:pStyle w:val="63"/>
                  </w:pPr>
                  <w:r>
                    <w:rPr>
                      <w:rFonts w:hint="eastAsia"/>
                    </w:rPr>
                    <w:t>排放源</w:t>
                  </w:r>
                </w:p>
              </w:tc>
              <w:tc>
                <w:tcPr>
                  <w:tcW w:w="1418" w:type="dxa"/>
                  <w:vAlign w:val="center"/>
                </w:tcPr>
                <w:p>
                  <w:pPr>
                    <w:pStyle w:val="63"/>
                  </w:pPr>
                  <w:r>
                    <w:rPr>
                      <w:rFonts w:hint="eastAsia"/>
                    </w:rPr>
                    <w:t>污染源</w:t>
                  </w:r>
                </w:p>
              </w:tc>
              <w:tc>
                <w:tcPr>
                  <w:tcW w:w="2268" w:type="dxa"/>
                  <w:vAlign w:val="center"/>
                </w:tcPr>
                <w:p>
                  <w:pPr>
                    <w:pStyle w:val="63"/>
                  </w:pPr>
                  <w:r>
                    <w:rPr>
                      <w:rFonts w:hint="eastAsia"/>
                    </w:rPr>
                    <w:t>HJ978-2018可行技术</w:t>
                  </w:r>
                </w:p>
              </w:tc>
              <w:tc>
                <w:tcPr>
                  <w:tcW w:w="1292" w:type="dxa"/>
                  <w:vAlign w:val="center"/>
                </w:tcPr>
                <w:p>
                  <w:pPr>
                    <w:pStyle w:val="63"/>
                  </w:pPr>
                  <w:r>
                    <w:rPr>
                      <w:rFonts w:hint="eastAsia"/>
                    </w:rPr>
                    <w:t>本项目</w:t>
                  </w:r>
                </w:p>
              </w:tc>
              <w:tc>
                <w:tcPr>
                  <w:tcW w:w="994" w:type="dxa"/>
                  <w:vAlign w:val="center"/>
                </w:tcPr>
                <w:p>
                  <w:pPr>
                    <w:pStyle w:val="63"/>
                  </w:pPr>
                  <w:r>
                    <w:rPr>
                      <w:rFonts w:hint="eastAsia"/>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6" w:type="dxa"/>
                  <w:vAlign w:val="center"/>
                </w:tcPr>
                <w:p>
                  <w:pPr>
                    <w:pStyle w:val="63"/>
                  </w:pPr>
                  <w:r>
                    <w:rPr>
                      <w:rFonts w:hint="eastAsia"/>
                    </w:rPr>
                    <w:t>预处理段、污泥处理段等产生恶臭气体的工段</w:t>
                  </w:r>
                </w:p>
              </w:tc>
              <w:tc>
                <w:tcPr>
                  <w:tcW w:w="1418" w:type="dxa"/>
                  <w:vAlign w:val="center"/>
                </w:tcPr>
                <w:p>
                  <w:pPr>
                    <w:pStyle w:val="63"/>
                  </w:pPr>
                  <w:r>
                    <w:rPr>
                      <w:rFonts w:hint="eastAsia"/>
                    </w:rPr>
                    <w:t>氨气、硫化氢等恶臭气体</w:t>
                  </w:r>
                </w:p>
              </w:tc>
              <w:tc>
                <w:tcPr>
                  <w:tcW w:w="2268" w:type="dxa"/>
                  <w:vAlign w:val="center"/>
                </w:tcPr>
                <w:p>
                  <w:pPr>
                    <w:pStyle w:val="63"/>
                  </w:pPr>
                  <w:r>
                    <w:rPr>
                      <w:rFonts w:hint="eastAsia"/>
                    </w:rPr>
                    <w:t>生物过滤、化学洗涤、活性炭吸附</w:t>
                  </w:r>
                </w:p>
              </w:tc>
              <w:tc>
                <w:tcPr>
                  <w:tcW w:w="1292" w:type="dxa"/>
                  <w:vAlign w:val="center"/>
                </w:tcPr>
                <w:p>
                  <w:pPr>
                    <w:pStyle w:val="63"/>
                  </w:pPr>
                  <w:r>
                    <w:rPr>
                      <w:rFonts w:hint="eastAsia"/>
                    </w:rPr>
                    <w:t>生物过滤</w:t>
                  </w:r>
                </w:p>
              </w:tc>
              <w:tc>
                <w:tcPr>
                  <w:tcW w:w="994" w:type="dxa"/>
                  <w:vAlign w:val="center"/>
                </w:tcPr>
                <w:p>
                  <w:pPr>
                    <w:pStyle w:val="63"/>
                  </w:pPr>
                  <w:r>
                    <w:rPr>
                      <w:rFonts w:hint="eastAsia"/>
                    </w:rPr>
                    <w:t>是</w:t>
                  </w:r>
                </w:p>
              </w:tc>
            </w:tr>
          </w:tbl>
          <w:p/>
          <w:p>
            <w:pPr>
              <w:pStyle w:val="5"/>
              <w:ind w:firstLine="480"/>
            </w:pPr>
            <w:r>
              <w:rPr>
                <w:rFonts w:hint="eastAsia"/>
              </w:rPr>
              <w:t>运行管理要求：</w:t>
            </w:r>
          </w:p>
          <w:p>
            <w:pPr>
              <w:pStyle w:val="5"/>
              <w:ind w:firstLine="480"/>
            </w:pPr>
            <w:r>
              <w:rPr>
                <w:rFonts w:hint="eastAsia"/>
              </w:rPr>
              <w:t>（1）</w:t>
            </w:r>
            <w:r>
              <w:t>加强恶臭污染物的治理，污水预处理区和污泥处理区采用设置顶盖等措施，</w:t>
            </w:r>
            <w:r>
              <w:rPr>
                <w:rFonts w:hint="eastAsia"/>
              </w:rPr>
              <w:t>臭气负压收集，</w:t>
            </w:r>
            <w:r>
              <w:t>配套建设恶臭污染治理设施</w:t>
            </w:r>
            <w:r>
              <w:rPr>
                <w:rFonts w:hint="eastAsia"/>
              </w:rPr>
              <w:t>1套，工艺为生物除臭，处理规模20000m</w:t>
            </w:r>
            <w:r>
              <w:rPr>
                <w:rFonts w:hint="eastAsia"/>
                <w:vertAlign w:val="superscript"/>
              </w:rPr>
              <w:t>3</w:t>
            </w:r>
            <w:r>
              <w:rPr>
                <w:rFonts w:hint="eastAsia"/>
              </w:rPr>
              <w:t>/h，处理达标后15m排气筒（DA001）有组织排放</w:t>
            </w:r>
            <w:r>
              <w:t>。</w:t>
            </w:r>
          </w:p>
          <w:p>
            <w:pPr>
              <w:pStyle w:val="5"/>
              <w:ind w:firstLine="480"/>
            </w:pPr>
            <w:r>
              <w:rPr>
                <w:rFonts w:hint="eastAsia"/>
              </w:rPr>
              <w:t>（2）污染治理设施应与产生废气的生产工艺设备同步运行。由于事故或设备维修等原因造成治理设施停止运行时，应及时报告当地生态环境主管部门。</w:t>
            </w:r>
          </w:p>
          <w:p>
            <w:pPr>
              <w:pStyle w:val="5"/>
              <w:ind w:firstLine="480"/>
            </w:pPr>
            <w:r>
              <w:rPr>
                <w:rFonts w:hint="eastAsia"/>
              </w:rPr>
              <w:t>（3）污染治理设施运行应在满足设计工况的条件下进行，并根据工艺要求，定期对设备、电气、自控仪表及构筑物进行检查维护和巡视，确保污染治理设施可靠运行。</w:t>
            </w:r>
          </w:p>
          <w:p>
            <w:pPr>
              <w:pStyle w:val="5"/>
              <w:ind w:firstLine="480"/>
            </w:pPr>
            <w:r>
              <w:rPr>
                <w:rFonts w:hint="eastAsia"/>
              </w:rPr>
              <w:t>（4）加强厂区绿化，减少臭气影响。</w:t>
            </w:r>
          </w:p>
          <w:p>
            <w:pPr>
              <w:pStyle w:val="5"/>
              <w:ind w:firstLine="480"/>
            </w:pPr>
            <w:r>
              <w:rPr>
                <w:rFonts w:hint="eastAsia"/>
              </w:rPr>
              <w:t>通过在污水厂区采取上述措施处理后，本项目废气能达到《恶臭污染物排放标准》（</w:t>
            </w:r>
            <w:r>
              <w:t>GB14554-93）的要求，能很好的降低污水处理厂对周边大气环境的影响。</w:t>
            </w:r>
          </w:p>
          <w:p>
            <w:pPr>
              <w:pStyle w:val="6"/>
              <w:spacing w:before="120" w:after="120"/>
            </w:pPr>
            <w:r>
              <w:rPr>
                <w:rFonts w:hint="eastAsia"/>
              </w:rPr>
              <w:t>防护距离划定</w:t>
            </w:r>
          </w:p>
          <w:p>
            <w:pPr>
              <w:pStyle w:val="5"/>
              <w:ind w:firstLine="480"/>
            </w:pPr>
            <w:r>
              <w:rPr>
                <w:rFonts w:hint="eastAsia"/>
              </w:rPr>
              <w:t>（1）大气环境防护距离</w:t>
            </w:r>
          </w:p>
          <w:p>
            <w:pPr>
              <w:pStyle w:val="5"/>
              <w:ind w:firstLine="480"/>
            </w:pPr>
            <w:r>
              <w:rPr>
                <w:rFonts w:hint="eastAsia"/>
              </w:rPr>
              <w:t>本评价采用估算模型进行预测，有组织预测结果见</w:t>
            </w:r>
            <w:r>
              <w:fldChar w:fldCharType="begin"/>
            </w:r>
            <w:r>
              <w:instrText xml:space="preserve"> </w:instrText>
            </w:r>
            <w:r>
              <w:rPr>
                <w:rFonts w:hint="eastAsia"/>
              </w:rPr>
              <w:instrText xml:space="preserve">REF _Ref170203360 \h</w:instrText>
            </w:r>
            <w:r>
              <w:instrText xml:space="preserve"> </w:instrText>
            </w:r>
            <w:r>
              <w:fldChar w:fldCharType="separate"/>
            </w:r>
            <w:r>
              <w:t>表 4.2</w:t>
            </w:r>
            <w:r>
              <w:noBreakHyphen/>
            </w:r>
            <w:r>
              <w:t>8</w:t>
            </w:r>
            <w:r>
              <w:fldChar w:fldCharType="end"/>
            </w:r>
            <w:r>
              <w:rPr>
                <w:rFonts w:hint="eastAsia"/>
              </w:rPr>
              <w:t>。根据下表，有组织排放氨、硫化氢最大落地浓度位于下风向81m，浓度分别为1.28E-02</w:t>
            </w:r>
            <w:r>
              <w:t xml:space="preserve"> mg/m</w:t>
            </w:r>
            <w:r>
              <w:rPr>
                <w:vertAlign w:val="superscript"/>
              </w:rPr>
              <w:t>3</w:t>
            </w:r>
            <w:r>
              <w:rPr>
                <w:rFonts w:hint="eastAsia"/>
              </w:rPr>
              <w:t>、7.24E-04</w:t>
            </w:r>
            <w:r>
              <w:t xml:space="preserve"> mg/m</w:t>
            </w:r>
            <w:r>
              <w:rPr>
                <w:vertAlign w:val="superscript"/>
              </w:rPr>
              <w:t>3</w:t>
            </w:r>
            <w:r>
              <w:rPr>
                <w:rFonts w:hint="eastAsia"/>
              </w:rPr>
              <w:t>，占标率为6.42%、7.24%。</w:t>
            </w:r>
          </w:p>
          <w:p>
            <w:pPr>
              <w:pStyle w:val="14"/>
              <w:keepNext/>
            </w:pPr>
            <w:bookmarkStart w:id="65" w:name="_Ref170203360"/>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8</w:t>
            </w:r>
            <w:r>
              <w:fldChar w:fldCharType="end"/>
            </w:r>
            <w:bookmarkEnd w:id="65"/>
            <w:r>
              <w:rPr>
                <w:rFonts w:hint="eastAsia"/>
              </w:rPr>
              <w:t xml:space="preserve">   有组织预测结果</w:t>
            </w:r>
          </w:p>
          <w:tbl>
            <w:tblPr>
              <w:tblStyle w:val="39"/>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516"/>
              <w:gridCol w:w="1275"/>
              <w:gridCol w:w="1706"/>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vMerge w:val="restart"/>
                  <w:noWrap/>
                  <w:vAlign w:val="center"/>
                </w:tcPr>
                <w:p>
                  <w:pPr>
                    <w:pStyle w:val="63"/>
                  </w:pPr>
                  <w:r>
                    <w:t>距离/m</w:t>
                  </w:r>
                </w:p>
              </w:tc>
              <w:tc>
                <w:tcPr>
                  <w:tcW w:w="2791" w:type="dxa"/>
                  <w:gridSpan w:val="2"/>
                  <w:noWrap/>
                  <w:vAlign w:val="center"/>
                </w:tcPr>
                <w:p>
                  <w:pPr>
                    <w:pStyle w:val="63"/>
                  </w:pPr>
                  <w:r>
                    <w:rPr>
                      <w:rFonts w:hint="eastAsia"/>
                    </w:rPr>
                    <w:t>氨</w:t>
                  </w:r>
                </w:p>
              </w:tc>
              <w:tc>
                <w:tcPr>
                  <w:tcW w:w="2980" w:type="dxa"/>
                  <w:gridSpan w:val="2"/>
                  <w:noWrap/>
                  <w:vAlign w:val="center"/>
                </w:tcPr>
                <w:p>
                  <w:pPr>
                    <w:pStyle w:val="63"/>
                  </w:pPr>
                  <w:r>
                    <w:rPr>
                      <w:rFonts w:hint="eastAsia"/>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vMerge w:val="continue"/>
                  <w:noWrap/>
                  <w:vAlign w:val="center"/>
                </w:tcPr>
                <w:p>
                  <w:pPr>
                    <w:pStyle w:val="63"/>
                  </w:pPr>
                </w:p>
              </w:tc>
              <w:tc>
                <w:tcPr>
                  <w:tcW w:w="1516" w:type="dxa"/>
                  <w:noWrap/>
                  <w:vAlign w:val="center"/>
                </w:tcPr>
                <w:p>
                  <w:pPr>
                    <w:pStyle w:val="63"/>
                    <w:rPr>
                      <w:rFonts w:eastAsia="等线" w:cs="Times New Roman"/>
                      <w:sz w:val="22"/>
                    </w:rPr>
                  </w:pPr>
                  <w:r>
                    <w:rPr>
                      <w:rFonts w:hint="eastAsia"/>
                    </w:rPr>
                    <w:t>浓度mg/m</w:t>
                  </w:r>
                  <w:r>
                    <w:rPr>
                      <w:rFonts w:hint="eastAsia"/>
                      <w:vertAlign w:val="superscript"/>
                    </w:rPr>
                    <w:t>3</w:t>
                  </w:r>
                </w:p>
              </w:tc>
              <w:tc>
                <w:tcPr>
                  <w:tcW w:w="1275" w:type="dxa"/>
                  <w:noWrap/>
                  <w:vAlign w:val="center"/>
                </w:tcPr>
                <w:p>
                  <w:pPr>
                    <w:pStyle w:val="63"/>
                  </w:pPr>
                  <w:r>
                    <w:t>占标率%</w:t>
                  </w:r>
                </w:p>
              </w:tc>
              <w:tc>
                <w:tcPr>
                  <w:tcW w:w="1706" w:type="dxa"/>
                  <w:noWrap/>
                  <w:vAlign w:val="center"/>
                </w:tcPr>
                <w:p>
                  <w:pPr>
                    <w:pStyle w:val="63"/>
                    <w:rPr>
                      <w:rFonts w:eastAsia="等线" w:cs="Times New Roman"/>
                      <w:sz w:val="22"/>
                    </w:rPr>
                  </w:pPr>
                  <w:r>
                    <w:rPr>
                      <w:rFonts w:hint="eastAsia"/>
                    </w:rPr>
                    <w:t>浓度mg/m</w:t>
                  </w:r>
                  <w:r>
                    <w:rPr>
                      <w:rFonts w:hint="eastAsia"/>
                      <w:vertAlign w:val="superscript"/>
                    </w:rPr>
                    <w:t>3</w:t>
                  </w:r>
                </w:p>
              </w:tc>
              <w:tc>
                <w:tcPr>
                  <w:tcW w:w="1274" w:type="dxa"/>
                  <w:noWrap/>
                  <w:vAlign w:val="center"/>
                </w:tcPr>
                <w:p>
                  <w:pPr>
                    <w:pStyle w:val="63"/>
                  </w:pPr>
                  <w: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25</w:t>
                  </w:r>
                </w:p>
              </w:tc>
              <w:tc>
                <w:tcPr>
                  <w:tcW w:w="1516" w:type="dxa"/>
                  <w:noWrap/>
                  <w:vAlign w:val="center"/>
                </w:tcPr>
                <w:p>
                  <w:pPr>
                    <w:pStyle w:val="63"/>
                  </w:pPr>
                  <w:r>
                    <w:t>9.14E-05</w:t>
                  </w:r>
                </w:p>
              </w:tc>
              <w:tc>
                <w:tcPr>
                  <w:tcW w:w="1275" w:type="dxa"/>
                  <w:noWrap/>
                  <w:vAlign w:val="center"/>
                </w:tcPr>
                <w:p>
                  <w:pPr>
                    <w:pStyle w:val="63"/>
                  </w:pPr>
                  <w:r>
                    <w:t>0.05</w:t>
                  </w:r>
                </w:p>
              </w:tc>
              <w:tc>
                <w:tcPr>
                  <w:tcW w:w="1706" w:type="dxa"/>
                  <w:noWrap/>
                  <w:vAlign w:val="center"/>
                </w:tcPr>
                <w:p>
                  <w:pPr>
                    <w:pStyle w:val="63"/>
                  </w:pPr>
                  <w:r>
                    <w:t>5.15E-06</w:t>
                  </w:r>
                </w:p>
              </w:tc>
              <w:tc>
                <w:tcPr>
                  <w:tcW w:w="1274" w:type="dxa"/>
                  <w:noWrap/>
                  <w:vAlign w:val="center"/>
                </w:tcPr>
                <w:p>
                  <w:pPr>
                    <w:pStyle w:val="63"/>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50</w:t>
                  </w:r>
                </w:p>
              </w:tc>
              <w:tc>
                <w:tcPr>
                  <w:tcW w:w="1516" w:type="dxa"/>
                  <w:noWrap/>
                  <w:vAlign w:val="center"/>
                </w:tcPr>
                <w:p>
                  <w:pPr>
                    <w:pStyle w:val="63"/>
                  </w:pPr>
                  <w:r>
                    <w:t>4.11E-03</w:t>
                  </w:r>
                </w:p>
              </w:tc>
              <w:tc>
                <w:tcPr>
                  <w:tcW w:w="1275" w:type="dxa"/>
                  <w:noWrap/>
                  <w:vAlign w:val="center"/>
                </w:tcPr>
                <w:p>
                  <w:pPr>
                    <w:pStyle w:val="63"/>
                  </w:pPr>
                  <w:r>
                    <w:t>2.06</w:t>
                  </w:r>
                </w:p>
              </w:tc>
              <w:tc>
                <w:tcPr>
                  <w:tcW w:w="1706" w:type="dxa"/>
                  <w:noWrap/>
                  <w:vAlign w:val="center"/>
                </w:tcPr>
                <w:p>
                  <w:pPr>
                    <w:pStyle w:val="63"/>
                  </w:pPr>
                  <w:r>
                    <w:t>2.32E-04</w:t>
                  </w:r>
                </w:p>
              </w:tc>
              <w:tc>
                <w:tcPr>
                  <w:tcW w:w="1274" w:type="dxa"/>
                  <w:noWrap/>
                  <w:vAlign w:val="center"/>
                </w:tcPr>
                <w:p>
                  <w:pPr>
                    <w:pStyle w:val="63"/>
                  </w:pPr>
                  <w: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81</w:t>
                  </w:r>
                </w:p>
              </w:tc>
              <w:tc>
                <w:tcPr>
                  <w:tcW w:w="1516" w:type="dxa"/>
                  <w:noWrap/>
                  <w:vAlign w:val="center"/>
                </w:tcPr>
                <w:p>
                  <w:pPr>
                    <w:pStyle w:val="63"/>
                  </w:pPr>
                  <w:r>
                    <w:t>1.28E-02</w:t>
                  </w:r>
                </w:p>
              </w:tc>
              <w:tc>
                <w:tcPr>
                  <w:tcW w:w="1275" w:type="dxa"/>
                  <w:noWrap/>
                  <w:vAlign w:val="center"/>
                </w:tcPr>
                <w:p>
                  <w:pPr>
                    <w:pStyle w:val="63"/>
                  </w:pPr>
                  <w:r>
                    <w:t>6.42</w:t>
                  </w:r>
                </w:p>
              </w:tc>
              <w:tc>
                <w:tcPr>
                  <w:tcW w:w="1706" w:type="dxa"/>
                  <w:noWrap/>
                  <w:vAlign w:val="center"/>
                </w:tcPr>
                <w:p>
                  <w:pPr>
                    <w:pStyle w:val="63"/>
                  </w:pPr>
                  <w:r>
                    <w:t>7.24E-04</w:t>
                  </w:r>
                </w:p>
              </w:tc>
              <w:tc>
                <w:tcPr>
                  <w:tcW w:w="1274" w:type="dxa"/>
                  <w:noWrap/>
                  <w:vAlign w:val="center"/>
                </w:tcPr>
                <w:p>
                  <w:pPr>
                    <w:pStyle w:val="63"/>
                  </w:pPr>
                  <w:r>
                    <w:t>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100</w:t>
                  </w:r>
                </w:p>
              </w:tc>
              <w:tc>
                <w:tcPr>
                  <w:tcW w:w="1516" w:type="dxa"/>
                  <w:noWrap/>
                  <w:vAlign w:val="center"/>
                </w:tcPr>
                <w:p>
                  <w:pPr>
                    <w:pStyle w:val="63"/>
                  </w:pPr>
                  <w:r>
                    <w:t>8.28E-03</w:t>
                  </w:r>
                </w:p>
              </w:tc>
              <w:tc>
                <w:tcPr>
                  <w:tcW w:w="1275" w:type="dxa"/>
                  <w:noWrap/>
                  <w:vAlign w:val="center"/>
                </w:tcPr>
                <w:p>
                  <w:pPr>
                    <w:pStyle w:val="63"/>
                  </w:pPr>
                  <w:r>
                    <w:t>4.14</w:t>
                  </w:r>
                </w:p>
              </w:tc>
              <w:tc>
                <w:tcPr>
                  <w:tcW w:w="1706" w:type="dxa"/>
                  <w:noWrap/>
                  <w:vAlign w:val="center"/>
                </w:tcPr>
                <w:p>
                  <w:pPr>
                    <w:pStyle w:val="63"/>
                  </w:pPr>
                  <w:r>
                    <w:t>4.67E-04</w:t>
                  </w:r>
                </w:p>
              </w:tc>
              <w:tc>
                <w:tcPr>
                  <w:tcW w:w="1274" w:type="dxa"/>
                  <w:noWrap/>
                  <w:vAlign w:val="center"/>
                </w:tcPr>
                <w:p>
                  <w:pPr>
                    <w:pStyle w:val="63"/>
                  </w:pPr>
                  <w: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200</w:t>
                  </w:r>
                </w:p>
              </w:tc>
              <w:tc>
                <w:tcPr>
                  <w:tcW w:w="1516" w:type="dxa"/>
                  <w:noWrap/>
                  <w:vAlign w:val="center"/>
                </w:tcPr>
                <w:p>
                  <w:pPr>
                    <w:pStyle w:val="63"/>
                  </w:pPr>
                  <w:r>
                    <w:t>3.89E-03</w:t>
                  </w:r>
                </w:p>
              </w:tc>
              <w:tc>
                <w:tcPr>
                  <w:tcW w:w="1275" w:type="dxa"/>
                  <w:noWrap/>
                  <w:vAlign w:val="center"/>
                </w:tcPr>
                <w:p>
                  <w:pPr>
                    <w:pStyle w:val="63"/>
                  </w:pPr>
                  <w:r>
                    <w:t>1.95</w:t>
                  </w:r>
                </w:p>
              </w:tc>
              <w:tc>
                <w:tcPr>
                  <w:tcW w:w="1706" w:type="dxa"/>
                  <w:noWrap/>
                  <w:vAlign w:val="center"/>
                </w:tcPr>
                <w:p>
                  <w:pPr>
                    <w:pStyle w:val="63"/>
                  </w:pPr>
                  <w:r>
                    <w:t>2.19E-04</w:t>
                  </w:r>
                </w:p>
              </w:tc>
              <w:tc>
                <w:tcPr>
                  <w:tcW w:w="1274" w:type="dxa"/>
                  <w:noWrap/>
                  <w:vAlign w:val="center"/>
                </w:tcPr>
                <w:p>
                  <w:pPr>
                    <w:pStyle w:val="63"/>
                  </w:pPr>
                  <w: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500</w:t>
                  </w:r>
                </w:p>
              </w:tc>
              <w:tc>
                <w:tcPr>
                  <w:tcW w:w="1516" w:type="dxa"/>
                  <w:noWrap/>
                  <w:vAlign w:val="center"/>
                </w:tcPr>
                <w:p>
                  <w:pPr>
                    <w:pStyle w:val="63"/>
                  </w:pPr>
                  <w:r>
                    <w:t>5.23E-04</w:t>
                  </w:r>
                </w:p>
              </w:tc>
              <w:tc>
                <w:tcPr>
                  <w:tcW w:w="1275" w:type="dxa"/>
                  <w:noWrap/>
                  <w:vAlign w:val="center"/>
                </w:tcPr>
                <w:p>
                  <w:pPr>
                    <w:pStyle w:val="63"/>
                  </w:pPr>
                  <w:r>
                    <w:t>0.26</w:t>
                  </w:r>
                </w:p>
              </w:tc>
              <w:tc>
                <w:tcPr>
                  <w:tcW w:w="1706" w:type="dxa"/>
                  <w:noWrap/>
                  <w:vAlign w:val="center"/>
                </w:tcPr>
                <w:p>
                  <w:pPr>
                    <w:pStyle w:val="63"/>
                  </w:pPr>
                  <w:r>
                    <w:t>2.95E-05</w:t>
                  </w:r>
                </w:p>
              </w:tc>
              <w:tc>
                <w:tcPr>
                  <w:tcW w:w="1274" w:type="dxa"/>
                  <w:noWrap/>
                  <w:vAlign w:val="center"/>
                </w:tcPr>
                <w:p>
                  <w:pPr>
                    <w:pStyle w:val="63"/>
                  </w:pPr>
                  <w: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1000</w:t>
                  </w:r>
                </w:p>
              </w:tc>
              <w:tc>
                <w:tcPr>
                  <w:tcW w:w="1516" w:type="dxa"/>
                  <w:noWrap/>
                  <w:vAlign w:val="center"/>
                </w:tcPr>
                <w:p>
                  <w:pPr>
                    <w:pStyle w:val="63"/>
                  </w:pPr>
                  <w:r>
                    <w:t>4.88E-04</w:t>
                  </w:r>
                </w:p>
              </w:tc>
              <w:tc>
                <w:tcPr>
                  <w:tcW w:w="1275" w:type="dxa"/>
                  <w:noWrap/>
                  <w:vAlign w:val="center"/>
                </w:tcPr>
                <w:p>
                  <w:pPr>
                    <w:pStyle w:val="63"/>
                  </w:pPr>
                  <w:r>
                    <w:t>0.24</w:t>
                  </w:r>
                </w:p>
              </w:tc>
              <w:tc>
                <w:tcPr>
                  <w:tcW w:w="1706" w:type="dxa"/>
                  <w:noWrap/>
                  <w:vAlign w:val="center"/>
                </w:tcPr>
                <w:p>
                  <w:pPr>
                    <w:pStyle w:val="63"/>
                  </w:pPr>
                  <w:r>
                    <w:t>2.75E-05</w:t>
                  </w:r>
                </w:p>
              </w:tc>
              <w:tc>
                <w:tcPr>
                  <w:tcW w:w="1274" w:type="dxa"/>
                  <w:noWrap/>
                  <w:vAlign w:val="center"/>
                </w:tcPr>
                <w:p>
                  <w:pPr>
                    <w:pStyle w:val="63"/>
                  </w:pPr>
                  <w: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1500</w:t>
                  </w:r>
                </w:p>
              </w:tc>
              <w:tc>
                <w:tcPr>
                  <w:tcW w:w="1516" w:type="dxa"/>
                  <w:noWrap/>
                  <w:vAlign w:val="center"/>
                </w:tcPr>
                <w:p>
                  <w:pPr>
                    <w:pStyle w:val="63"/>
                  </w:pPr>
                  <w:r>
                    <w:t>2.98E-04</w:t>
                  </w:r>
                </w:p>
              </w:tc>
              <w:tc>
                <w:tcPr>
                  <w:tcW w:w="1275" w:type="dxa"/>
                  <w:noWrap/>
                  <w:vAlign w:val="center"/>
                </w:tcPr>
                <w:p>
                  <w:pPr>
                    <w:pStyle w:val="63"/>
                  </w:pPr>
                  <w:r>
                    <w:t>0.15</w:t>
                  </w:r>
                </w:p>
              </w:tc>
              <w:tc>
                <w:tcPr>
                  <w:tcW w:w="1706" w:type="dxa"/>
                  <w:noWrap/>
                  <w:vAlign w:val="center"/>
                </w:tcPr>
                <w:p>
                  <w:pPr>
                    <w:pStyle w:val="63"/>
                  </w:pPr>
                  <w:r>
                    <w:t>1.68E-05</w:t>
                  </w:r>
                </w:p>
              </w:tc>
              <w:tc>
                <w:tcPr>
                  <w:tcW w:w="1274" w:type="dxa"/>
                  <w:noWrap/>
                  <w:vAlign w:val="center"/>
                </w:tcPr>
                <w:p>
                  <w:pPr>
                    <w:pStyle w:val="63"/>
                  </w:pPr>
                  <w: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2000</w:t>
                  </w:r>
                </w:p>
              </w:tc>
              <w:tc>
                <w:tcPr>
                  <w:tcW w:w="1516" w:type="dxa"/>
                  <w:noWrap/>
                  <w:vAlign w:val="center"/>
                </w:tcPr>
                <w:p>
                  <w:pPr>
                    <w:pStyle w:val="63"/>
                  </w:pPr>
                  <w:r>
                    <w:t>1.44E-04</w:t>
                  </w:r>
                </w:p>
              </w:tc>
              <w:tc>
                <w:tcPr>
                  <w:tcW w:w="1275" w:type="dxa"/>
                  <w:noWrap/>
                  <w:vAlign w:val="center"/>
                </w:tcPr>
                <w:p>
                  <w:pPr>
                    <w:pStyle w:val="63"/>
                  </w:pPr>
                  <w:r>
                    <w:t>0.07</w:t>
                  </w:r>
                </w:p>
              </w:tc>
              <w:tc>
                <w:tcPr>
                  <w:tcW w:w="1706" w:type="dxa"/>
                  <w:noWrap/>
                  <w:vAlign w:val="center"/>
                </w:tcPr>
                <w:p>
                  <w:pPr>
                    <w:pStyle w:val="63"/>
                  </w:pPr>
                  <w:r>
                    <w:t>8.12E-06</w:t>
                  </w:r>
                </w:p>
              </w:tc>
              <w:tc>
                <w:tcPr>
                  <w:tcW w:w="1274" w:type="dxa"/>
                  <w:noWrap/>
                  <w:vAlign w:val="center"/>
                </w:tcPr>
                <w:p>
                  <w:pPr>
                    <w:pStyle w:val="63"/>
                  </w:pPr>
                  <w: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t>2500</w:t>
                  </w:r>
                </w:p>
              </w:tc>
              <w:tc>
                <w:tcPr>
                  <w:tcW w:w="1516" w:type="dxa"/>
                  <w:noWrap/>
                  <w:vAlign w:val="center"/>
                </w:tcPr>
                <w:p>
                  <w:pPr>
                    <w:pStyle w:val="63"/>
                  </w:pPr>
                  <w:r>
                    <w:t>1.57E-04</w:t>
                  </w:r>
                </w:p>
              </w:tc>
              <w:tc>
                <w:tcPr>
                  <w:tcW w:w="1275" w:type="dxa"/>
                  <w:noWrap/>
                  <w:vAlign w:val="center"/>
                </w:tcPr>
                <w:p>
                  <w:pPr>
                    <w:pStyle w:val="63"/>
                  </w:pPr>
                  <w:r>
                    <w:t>0.08</w:t>
                  </w:r>
                </w:p>
              </w:tc>
              <w:tc>
                <w:tcPr>
                  <w:tcW w:w="1706" w:type="dxa"/>
                  <w:noWrap/>
                  <w:vAlign w:val="center"/>
                </w:tcPr>
                <w:p>
                  <w:pPr>
                    <w:pStyle w:val="63"/>
                  </w:pPr>
                  <w:r>
                    <w:t>8.82E-06</w:t>
                  </w:r>
                </w:p>
              </w:tc>
              <w:tc>
                <w:tcPr>
                  <w:tcW w:w="1274" w:type="dxa"/>
                  <w:noWrap/>
                  <w:vAlign w:val="center"/>
                </w:tcPr>
                <w:p>
                  <w:pPr>
                    <w:pStyle w:val="63"/>
                  </w:pPr>
                  <w: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rPr>
                      <w:rFonts w:hint="eastAsia"/>
                    </w:rPr>
                    <w:t>最大落地浓度/占标率</w:t>
                  </w:r>
                </w:p>
              </w:tc>
              <w:tc>
                <w:tcPr>
                  <w:tcW w:w="1516" w:type="dxa"/>
                  <w:noWrap/>
                  <w:vAlign w:val="center"/>
                </w:tcPr>
                <w:p>
                  <w:pPr>
                    <w:pStyle w:val="63"/>
                  </w:pPr>
                  <w:r>
                    <w:t>1.28E-02</w:t>
                  </w:r>
                </w:p>
              </w:tc>
              <w:tc>
                <w:tcPr>
                  <w:tcW w:w="1275" w:type="dxa"/>
                  <w:noWrap/>
                  <w:vAlign w:val="center"/>
                </w:tcPr>
                <w:p>
                  <w:pPr>
                    <w:pStyle w:val="63"/>
                  </w:pPr>
                  <w:r>
                    <w:t>6.42</w:t>
                  </w:r>
                </w:p>
              </w:tc>
              <w:tc>
                <w:tcPr>
                  <w:tcW w:w="1706" w:type="dxa"/>
                  <w:noWrap/>
                  <w:vAlign w:val="center"/>
                </w:tcPr>
                <w:p>
                  <w:pPr>
                    <w:pStyle w:val="63"/>
                  </w:pPr>
                  <w:r>
                    <w:t>7.24E-04</w:t>
                  </w:r>
                </w:p>
              </w:tc>
              <w:tc>
                <w:tcPr>
                  <w:tcW w:w="1274" w:type="dxa"/>
                  <w:noWrap/>
                  <w:vAlign w:val="center"/>
                </w:tcPr>
                <w:p>
                  <w:pPr>
                    <w:pStyle w:val="63"/>
                  </w:pPr>
                  <w:r>
                    <w:t>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rPr>
                      <w:rFonts w:hint="eastAsia"/>
                    </w:rPr>
                    <w:t>评价标准</w:t>
                  </w:r>
                </w:p>
              </w:tc>
              <w:tc>
                <w:tcPr>
                  <w:tcW w:w="1516" w:type="dxa"/>
                  <w:noWrap/>
                  <w:vAlign w:val="center"/>
                </w:tcPr>
                <w:p>
                  <w:pPr>
                    <w:pStyle w:val="63"/>
                  </w:pPr>
                  <w:r>
                    <w:rPr>
                      <w:rFonts w:hint="eastAsia"/>
                    </w:rPr>
                    <w:t>0.2</w:t>
                  </w:r>
                </w:p>
              </w:tc>
              <w:tc>
                <w:tcPr>
                  <w:tcW w:w="1275" w:type="dxa"/>
                  <w:noWrap/>
                  <w:vAlign w:val="center"/>
                </w:tcPr>
                <w:p>
                  <w:pPr>
                    <w:pStyle w:val="63"/>
                  </w:pPr>
                  <w:r>
                    <w:rPr>
                      <w:rFonts w:hint="eastAsia"/>
                    </w:rPr>
                    <w:t>-</w:t>
                  </w:r>
                </w:p>
              </w:tc>
              <w:tc>
                <w:tcPr>
                  <w:tcW w:w="1706" w:type="dxa"/>
                  <w:noWrap/>
                  <w:vAlign w:val="center"/>
                </w:tcPr>
                <w:p>
                  <w:pPr>
                    <w:pStyle w:val="63"/>
                  </w:pPr>
                  <w:r>
                    <w:rPr>
                      <w:rFonts w:hint="eastAsia"/>
                    </w:rPr>
                    <w:t>0.01</w:t>
                  </w:r>
                </w:p>
              </w:tc>
              <w:tc>
                <w:tcPr>
                  <w:tcW w:w="1274" w:type="dxa"/>
                  <w:noWrap/>
                  <w:vAlign w:val="center"/>
                </w:tcPr>
                <w:p>
                  <w:pPr>
                    <w:pStyle w:val="63"/>
                  </w:pPr>
                  <w:r>
                    <w:rPr>
                      <w:rFonts w:hint="eastAsia"/>
                    </w:rPr>
                    <w:t>-</w:t>
                  </w:r>
                </w:p>
              </w:tc>
            </w:tr>
          </w:tbl>
          <w:p/>
          <w:p>
            <w:pPr>
              <w:pStyle w:val="5"/>
              <w:ind w:firstLine="480"/>
            </w:pPr>
            <w:r>
              <w:rPr>
                <w:rFonts w:hint="eastAsia"/>
              </w:rPr>
              <w:t>无组织预测结果见</w:t>
            </w:r>
            <w:r>
              <w:fldChar w:fldCharType="begin"/>
            </w:r>
            <w:r>
              <w:instrText xml:space="preserve"> </w:instrText>
            </w:r>
            <w:r>
              <w:rPr>
                <w:rFonts w:hint="eastAsia"/>
              </w:rPr>
              <w:instrText xml:space="preserve">REF _Ref170203729 \h</w:instrText>
            </w:r>
            <w:r>
              <w:instrText xml:space="preserve"> </w:instrText>
            </w:r>
            <w:r>
              <w:fldChar w:fldCharType="separate"/>
            </w:r>
            <w:r>
              <w:t>表 4.2</w:t>
            </w:r>
            <w:r>
              <w:noBreakHyphen/>
            </w:r>
            <w:r>
              <w:t>9</w:t>
            </w:r>
            <w:r>
              <w:fldChar w:fldCharType="end"/>
            </w:r>
            <w:r>
              <w:rPr>
                <w:rFonts w:hint="eastAsia"/>
              </w:rPr>
              <w:t>。厂区无组织排放氨、硫化氢最大落地浓度位于下风向119m，浓度分别为2.26E-03</w:t>
            </w:r>
            <w:r>
              <w:t xml:space="preserve"> mg/m</w:t>
            </w:r>
            <w:r>
              <w:rPr>
                <w:vertAlign w:val="superscript"/>
              </w:rPr>
              <w:t>3</w:t>
            </w:r>
            <w:r>
              <w:rPr>
                <w:rFonts w:hint="eastAsia"/>
              </w:rPr>
              <w:t>、1.25</w:t>
            </w:r>
            <w:r>
              <w:t>E</w:t>
            </w:r>
            <w:r>
              <w:rPr>
                <w:rFonts w:hint="eastAsia"/>
              </w:rPr>
              <w:t>-04</w:t>
            </w:r>
            <w:r>
              <w:t>mg/m</w:t>
            </w:r>
            <w:r>
              <w:rPr>
                <w:vertAlign w:val="superscript"/>
              </w:rPr>
              <w:t>3</w:t>
            </w:r>
            <w:r>
              <w:rPr>
                <w:rFonts w:hint="eastAsia"/>
              </w:rPr>
              <w:t>，占标率为</w:t>
            </w:r>
            <w:r>
              <w:rPr>
                <w:rFonts w:hint="eastAsia"/>
                <w:szCs w:val="21"/>
              </w:rPr>
              <w:t>1.13</w:t>
            </w:r>
            <w:r>
              <w:rPr>
                <w:rFonts w:hint="eastAsia"/>
              </w:rPr>
              <w:t>%、</w:t>
            </w:r>
            <w:r>
              <w:rPr>
                <w:rFonts w:hint="eastAsia"/>
                <w:szCs w:val="21"/>
              </w:rPr>
              <w:t>1.25</w:t>
            </w:r>
            <w:r>
              <w:rPr>
                <w:rFonts w:hint="eastAsia"/>
              </w:rPr>
              <w:t>%。</w:t>
            </w:r>
          </w:p>
          <w:p>
            <w:pPr>
              <w:pStyle w:val="14"/>
              <w:keepNext/>
            </w:pPr>
            <w:bookmarkStart w:id="66" w:name="_Ref170203729"/>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9</w:t>
            </w:r>
            <w:r>
              <w:fldChar w:fldCharType="end"/>
            </w:r>
            <w:bookmarkEnd w:id="66"/>
            <w:r>
              <w:rPr>
                <w:rFonts w:hint="eastAsia"/>
              </w:rPr>
              <w:t xml:space="preserve">   无组织预测结果</w:t>
            </w:r>
          </w:p>
          <w:tbl>
            <w:tblPr>
              <w:tblStyle w:val="39"/>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516"/>
              <w:gridCol w:w="1275"/>
              <w:gridCol w:w="1706"/>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vMerge w:val="restart"/>
                  <w:noWrap/>
                  <w:vAlign w:val="center"/>
                </w:tcPr>
                <w:p>
                  <w:pPr>
                    <w:pStyle w:val="63"/>
                  </w:pPr>
                  <w:r>
                    <w:t>距离/m</w:t>
                  </w:r>
                </w:p>
              </w:tc>
              <w:tc>
                <w:tcPr>
                  <w:tcW w:w="2791" w:type="dxa"/>
                  <w:gridSpan w:val="2"/>
                  <w:noWrap/>
                  <w:vAlign w:val="center"/>
                </w:tcPr>
                <w:p>
                  <w:pPr>
                    <w:pStyle w:val="63"/>
                  </w:pPr>
                  <w:r>
                    <w:rPr>
                      <w:rFonts w:hint="eastAsia"/>
                    </w:rPr>
                    <w:t>氨</w:t>
                  </w:r>
                </w:p>
              </w:tc>
              <w:tc>
                <w:tcPr>
                  <w:tcW w:w="2980" w:type="dxa"/>
                  <w:gridSpan w:val="2"/>
                  <w:noWrap/>
                  <w:vAlign w:val="center"/>
                </w:tcPr>
                <w:p>
                  <w:pPr>
                    <w:pStyle w:val="63"/>
                  </w:pPr>
                  <w:r>
                    <w:rPr>
                      <w:rFonts w:hint="eastAsia"/>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vMerge w:val="continue"/>
                  <w:noWrap/>
                  <w:vAlign w:val="center"/>
                </w:tcPr>
                <w:p>
                  <w:pPr>
                    <w:pStyle w:val="63"/>
                  </w:pPr>
                </w:p>
              </w:tc>
              <w:tc>
                <w:tcPr>
                  <w:tcW w:w="1516" w:type="dxa"/>
                  <w:noWrap/>
                  <w:vAlign w:val="center"/>
                </w:tcPr>
                <w:p>
                  <w:pPr>
                    <w:pStyle w:val="63"/>
                    <w:rPr>
                      <w:rFonts w:eastAsia="等线" w:cs="Times New Roman"/>
                      <w:sz w:val="22"/>
                    </w:rPr>
                  </w:pPr>
                  <w:r>
                    <w:rPr>
                      <w:rFonts w:hint="eastAsia"/>
                    </w:rPr>
                    <w:t>浓度mg/m</w:t>
                  </w:r>
                  <w:r>
                    <w:rPr>
                      <w:rFonts w:hint="eastAsia"/>
                      <w:vertAlign w:val="superscript"/>
                    </w:rPr>
                    <w:t>3</w:t>
                  </w:r>
                </w:p>
              </w:tc>
              <w:tc>
                <w:tcPr>
                  <w:tcW w:w="1275" w:type="dxa"/>
                  <w:noWrap/>
                  <w:vAlign w:val="center"/>
                </w:tcPr>
                <w:p>
                  <w:pPr>
                    <w:pStyle w:val="63"/>
                  </w:pPr>
                  <w:r>
                    <w:t>占标率%</w:t>
                  </w:r>
                </w:p>
              </w:tc>
              <w:tc>
                <w:tcPr>
                  <w:tcW w:w="1706" w:type="dxa"/>
                  <w:noWrap/>
                  <w:vAlign w:val="center"/>
                </w:tcPr>
                <w:p>
                  <w:pPr>
                    <w:pStyle w:val="63"/>
                    <w:rPr>
                      <w:rFonts w:eastAsia="等线" w:cs="Times New Roman"/>
                      <w:sz w:val="22"/>
                    </w:rPr>
                  </w:pPr>
                  <w:r>
                    <w:rPr>
                      <w:rFonts w:hint="eastAsia"/>
                    </w:rPr>
                    <w:t>浓度mg/m</w:t>
                  </w:r>
                  <w:r>
                    <w:rPr>
                      <w:rFonts w:hint="eastAsia"/>
                      <w:vertAlign w:val="superscript"/>
                    </w:rPr>
                    <w:t>3</w:t>
                  </w:r>
                </w:p>
              </w:tc>
              <w:tc>
                <w:tcPr>
                  <w:tcW w:w="1274" w:type="dxa"/>
                  <w:noWrap/>
                  <w:vAlign w:val="center"/>
                </w:tcPr>
                <w:p>
                  <w:pPr>
                    <w:pStyle w:val="63"/>
                  </w:pPr>
                  <w: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25</w:t>
                  </w:r>
                </w:p>
              </w:tc>
              <w:tc>
                <w:tcPr>
                  <w:tcW w:w="1516" w:type="dxa"/>
                  <w:noWrap/>
                </w:tcPr>
                <w:p>
                  <w:pPr>
                    <w:pStyle w:val="63"/>
                  </w:pPr>
                  <w:r>
                    <w:t>1.40E-03</w:t>
                  </w:r>
                </w:p>
              </w:tc>
              <w:tc>
                <w:tcPr>
                  <w:tcW w:w="1275" w:type="dxa"/>
                  <w:noWrap/>
                </w:tcPr>
                <w:p>
                  <w:pPr>
                    <w:pStyle w:val="63"/>
                  </w:pPr>
                  <w:r>
                    <w:t>0.7</w:t>
                  </w:r>
                </w:p>
              </w:tc>
              <w:tc>
                <w:tcPr>
                  <w:tcW w:w="1706" w:type="dxa"/>
                  <w:noWrap/>
                </w:tcPr>
                <w:p>
                  <w:pPr>
                    <w:pStyle w:val="63"/>
                  </w:pPr>
                  <w:r>
                    <w:t>7.73E-05</w:t>
                  </w:r>
                </w:p>
              </w:tc>
              <w:tc>
                <w:tcPr>
                  <w:tcW w:w="1274" w:type="dxa"/>
                  <w:noWrap/>
                </w:tcPr>
                <w:p>
                  <w:pPr>
                    <w:pStyle w:val="63"/>
                  </w:pPr>
                  <w: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50</w:t>
                  </w:r>
                </w:p>
              </w:tc>
              <w:tc>
                <w:tcPr>
                  <w:tcW w:w="1516" w:type="dxa"/>
                  <w:noWrap/>
                </w:tcPr>
                <w:p>
                  <w:pPr>
                    <w:pStyle w:val="63"/>
                  </w:pPr>
                  <w:r>
                    <w:t>1.75E-03</w:t>
                  </w:r>
                </w:p>
              </w:tc>
              <w:tc>
                <w:tcPr>
                  <w:tcW w:w="1275" w:type="dxa"/>
                  <w:noWrap/>
                </w:tcPr>
                <w:p>
                  <w:pPr>
                    <w:pStyle w:val="63"/>
                  </w:pPr>
                  <w:r>
                    <w:t>0.88</w:t>
                  </w:r>
                </w:p>
              </w:tc>
              <w:tc>
                <w:tcPr>
                  <w:tcW w:w="1706" w:type="dxa"/>
                  <w:noWrap/>
                </w:tcPr>
                <w:p>
                  <w:pPr>
                    <w:pStyle w:val="63"/>
                  </w:pPr>
                  <w:r>
                    <w:t>9.64E-05</w:t>
                  </w:r>
                </w:p>
              </w:tc>
              <w:tc>
                <w:tcPr>
                  <w:tcW w:w="1274" w:type="dxa"/>
                  <w:noWrap/>
                </w:tcPr>
                <w:p>
                  <w:pPr>
                    <w:pStyle w:val="63"/>
                  </w:pPr>
                  <w: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100</w:t>
                  </w:r>
                </w:p>
              </w:tc>
              <w:tc>
                <w:tcPr>
                  <w:tcW w:w="1516" w:type="dxa"/>
                  <w:noWrap/>
                </w:tcPr>
                <w:p>
                  <w:pPr>
                    <w:pStyle w:val="63"/>
                  </w:pPr>
                  <w:r>
                    <w:t>2.25E-03</w:t>
                  </w:r>
                </w:p>
              </w:tc>
              <w:tc>
                <w:tcPr>
                  <w:tcW w:w="1275" w:type="dxa"/>
                  <w:noWrap/>
                </w:tcPr>
                <w:p>
                  <w:pPr>
                    <w:pStyle w:val="63"/>
                  </w:pPr>
                  <w:r>
                    <w:t>1.12</w:t>
                  </w:r>
                </w:p>
              </w:tc>
              <w:tc>
                <w:tcPr>
                  <w:tcW w:w="1706" w:type="dxa"/>
                  <w:noWrap/>
                </w:tcPr>
                <w:p>
                  <w:pPr>
                    <w:pStyle w:val="63"/>
                  </w:pPr>
                  <w:r>
                    <w:t>1.24E-04</w:t>
                  </w:r>
                </w:p>
              </w:tc>
              <w:tc>
                <w:tcPr>
                  <w:tcW w:w="1274" w:type="dxa"/>
                  <w:noWrap/>
                </w:tcPr>
                <w:p>
                  <w:pPr>
                    <w:pStyle w:val="63"/>
                  </w:pPr>
                  <w: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119</w:t>
                  </w:r>
                </w:p>
              </w:tc>
              <w:tc>
                <w:tcPr>
                  <w:tcW w:w="1516" w:type="dxa"/>
                  <w:noWrap/>
                </w:tcPr>
                <w:p>
                  <w:pPr>
                    <w:pStyle w:val="63"/>
                  </w:pPr>
                  <w:r>
                    <w:t>2.26E-03</w:t>
                  </w:r>
                </w:p>
              </w:tc>
              <w:tc>
                <w:tcPr>
                  <w:tcW w:w="1275" w:type="dxa"/>
                  <w:noWrap/>
                </w:tcPr>
                <w:p>
                  <w:pPr>
                    <w:pStyle w:val="63"/>
                  </w:pPr>
                  <w:r>
                    <w:t>1.13</w:t>
                  </w:r>
                </w:p>
              </w:tc>
              <w:tc>
                <w:tcPr>
                  <w:tcW w:w="1706" w:type="dxa"/>
                  <w:noWrap/>
                </w:tcPr>
                <w:p>
                  <w:pPr>
                    <w:pStyle w:val="63"/>
                  </w:pPr>
                  <w:r>
                    <w:t>1.25E-04</w:t>
                  </w:r>
                </w:p>
              </w:tc>
              <w:tc>
                <w:tcPr>
                  <w:tcW w:w="1274" w:type="dxa"/>
                  <w:noWrap/>
                </w:tcPr>
                <w:p>
                  <w:pPr>
                    <w:pStyle w:val="63"/>
                  </w:pPr>
                  <w: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200</w:t>
                  </w:r>
                </w:p>
              </w:tc>
              <w:tc>
                <w:tcPr>
                  <w:tcW w:w="1516" w:type="dxa"/>
                  <w:noWrap/>
                </w:tcPr>
                <w:p>
                  <w:pPr>
                    <w:pStyle w:val="63"/>
                  </w:pPr>
                  <w:r>
                    <w:t>1.95E-03</w:t>
                  </w:r>
                </w:p>
              </w:tc>
              <w:tc>
                <w:tcPr>
                  <w:tcW w:w="1275" w:type="dxa"/>
                  <w:noWrap/>
                </w:tcPr>
                <w:p>
                  <w:pPr>
                    <w:pStyle w:val="63"/>
                  </w:pPr>
                  <w:r>
                    <w:t>0.97</w:t>
                  </w:r>
                </w:p>
              </w:tc>
              <w:tc>
                <w:tcPr>
                  <w:tcW w:w="1706" w:type="dxa"/>
                  <w:noWrap/>
                </w:tcPr>
                <w:p>
                  <w:pPr>
                    <w:pStyle w:val="63"/>
                  </w:pPr>
                  <w:r>
                    <w:t>1.07E-04</w:t>
                  </w:r>
                </w:p>
              </w:tc>
              <w:tc>
                <w:tcPr>
                  <w:tcW w:w="1274" w:type="dxa"/>
                  <w:noWrap/>
                </w:tcPr>
                <w:p>
                  <w:pPr>
                    <w:pStyle w:val="63"/>
                  </w:pPr>
                  <w: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500</w:t>
                  </w:r>
                </w:p>
              </w:tc>
              <w:tc>
                <w:tcPr>
                  <w:tcW w:w="1516" w:type="dxa"/>
                  <w:noWrap/>
                </w:tcPr>
                <w:p>
                  <w:pPr>
                    <w:pStyle w:val="63"/>
                  </w:pPr>
                  <w:r>
                    <w:t>8.69E-04</w:t>
                  </w:r>
                </w:p>
              </w:tc>
              <w:tc>
                <w:tcPr>
                  <w:tcW w:w="1275" w:type="dxa"/>
                  <w:noWrap/>
                </w:tcPr>
                <w:p>
                  <w:pPr>
                    <w:pStyle w:val="63"/>
                  </w:pPr>
                  <w:r>
                    <w:t>0.43</w:t>
                  </w:r>
                </w:p>
              </w:tc>
              <w:tc>
                <w:tcPr>
                  <w:tcW w:w="1706" w:type="dxa"/>
                  <w:noWrap/>
                </w:tcPr>
                <w:p>
                  <w:pPr>
                    <w:pStyle w:val="63"/>
                  </w:pPr>
                  <w:r>
                    <w:t>4.79E-05</w:t>
                  </w:r>
                </w:p>
              </w:tc>
              <w:tc>
                <w:tcPr>
                  <w:tcW w:w="1274" w:type="dxa"/>
                  <w:noWrap/>
                </w:tcPr>
                <w:p>
                  <w:pPr>
                    <w:pStyle w:val="63"/>
                  </w:pPr>
                  <w: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1000</w:t>
                  </w:r>
                </w:p>
              </w:tc>
              <w:tc>
                <w:tcPr>
                  <w:tcW w:w="1516" w:type="dxa"/>
                  <w:noWrap/>
                </w:tcPr>
                <w:p>
                  <w:pPr>
                    <w:pStyle w:val="63"/>
                  </w:pPr>
                  <w:r>
                    <w:t>3.84E-04</w:t>
                  </w:r>
                </w:p>
              </w:tc>
              <w:tc>
                <w:tcPr>
                  <w:tcW w:w="1275" w:type="dxa"/>
                  <w:noWrap/>
                </w:tcPr>
                <w:p>
                  <w:pPr>
                    <w:pStyle w:val="63"/>
                  </w:pPr>
                  <w:r>
                    <w:t>0.19</w:t>
                  </w:r>
                </w:p>
              </w:tc>
              <w:tc>
                <w:tcPr>
                  <w:tcW w:w="1706" w:type="dxa"/>
                  <w:noWrap/>
                </w:tcPr>
                <w:p>
                  <w:pPr>
                    <w:pStyle w:val="63"/>
                  </w:pPr>
                  <w:r>
                    <w:t>2.12E-05</w:t>
                  </w:r>
                </w:p>
              </w:tc>
              <w:tc>
                <w:tcPr>
                  <w:tcW w:w="1274" w:type="dxa"/>
                  <w:noWrap/>
                </w:tcPr>
                <w:p>
                  <w:pPr>
                    <w:pStyle w:val="63"/>
                  </w:pPr>
                  <w: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1500</w:t>
                  </w:r>
                </w:p>
              </w:tc>
              <w:tc>
                <w:tcPr>
                  <w:tcW w:w="1516" w:type="dxa"/>
                  <w:noWrap/>
                </w:tcPr>
                <w:p>
                  <w:pPr>
                    <w:pStyle w:val="63"/>
                  </w:pPr>
                  <w:r>
                    <w:t>2.30E-04</w:t>
                  </w:r>
                </w:p>
              </w:tc>
              <w:tc>
                <w:tcPr>
                  <w:tcW w:w="1275" w:type="dxa"/>
                  <w:noWrap/>
                </w:tcPr>
                <w:p>
                  <w:pPr>
                    <w:pStyle w:val="63"/>
                  </w:pPr>
                  <w:r>
                    <w:t>0.11</w:t>
                  </w:r>
                </w:p>
              </w:tc>
              <w:tc>
                <w:tcPr>
                  <w:tcW w:w="1706" w:type="dxa"/>
                  <w:noWrap/>
                </w:tcPr>
                <w:p>
                  <w:pPr>
                    <w:pStyle w:val="63"/>
                  </w:pPr>
                  <w:r>
                    <w:t>1.27E-05</w:t>
                  </w:r>
                </w:p>
              </w:tc>
              <w:tc>
                <w:tcPr>
                  <w:tcW w:w="1274" w:type="dxa"/>
                  <w:noWrap/>
                </w:tcPr>
                <w:p>
                  <w:pPr>
                    <w:pStyle w:val="63"/>
                  </w:pPr>
                  <w: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2000</w:t>
                  </w:r>
                </w:p>
              </w:tc>
              <w:tc>
                <w:tcPr>
                  <w:tcW w:w="1516" w:type="dxa"/>
                  <w:noWrap/>
                </w:tcPr>
                <w:p>
                  <w:pPr>
                    <w:pStyle w:val="63"/>
                  </w:pPr>
                  <w:r>
                    <w:t>1.59E-04</w:t>
                  </w:r>
                </w:p>
              </w:tc>
              <w:tc>
                <w:tcPr>
                  <w:tcW w:w="1275" w:type="dxa"/>
                  <w:noWrap/>
                </w:tcPr>
                <w:p>
                  <w:pPr>
                    <w:pStyle w:val="63"/>
                  </w:pPr>
                  <w:r>
                    <w:t>0.08</w:t>
                  </w:r>
                </w:p>
              </w:tc>
              <w:tc>
                <w:tcPr>
                  <w:tcW w:w="1706" w:type="dxa"/>
                  <w:noWrap/>
                </w:tcPr>
                <w:p>
                  <w:pPr>
                    <w:pStyle w:val="63"/>
                  </w:pPr>
                  <w:r>
                    <w:t>8.73E-06</w:t>
                  </w:r>
                </w:p>
              </w:tc>
              <w:tc>
                <w:tcPr>
                  <w:tcW w:w="1274" w:type="dxa"/>
                  <w:noWrap/>
                </w:tcPr>
                <w:p>
                  <w:pPr>
                    <w:pStyle w:val="63"/>
                  </w:pPr>
                  <w: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tcPr>
                <w:p>
                  <w:pPr>
                    <w:pStyle w:val="63"/>
                  </w:pPr>
                  <w:r>
                    <w:t>2500</w:t>
                  </w:r>
                </w:p>
              </w:tc>
              <w:tc>
                <w:tcPr>
                  <w:tcW w:w="1516" w:type="dxa"/>
                  <w:noWrap/>
                </w:tcPr>
                <w:p>
                  <w:pPr>
                    <w:pStyle w:val="63"/>
                  </w:pPr>
                  <w:r>
                    <w:t>1.19E-04</w:t>
                  </w:r>
                </w:p>
              </w:tc>
              <w:tc>
                <w:tcPr>
                  <w:tcW w:w="1275" w:type="dxa"/>
                  <w:noWrap/>
                </w:tcPr>
                <w:p>
                  <w:pPr>
                    <w:pStyle w:val="63"/>
                  </w:pPr>
                  <w:r>
                    <w:t>0.06</w:t>
                  </w:r>
                </w:p>
              </w:tc>
              <w:tc>
                <w:tcPr>
                  <w:tcW w:w="1706" w:type="dxa"/>
                  <w:noWrap/>
                </w:tcPr>
                <w:p>
                  <w:pPr>
                    <w:pStyle w:val="63"/>
                  </w:pPr>
                  <w:r>
                    <w:t>6.53E-06</w:t>
                  </w:r>
                </w:p>
              </w:tc>
              <w:tc>
                <w:tcPr>
                  <w:tcW w:w="1274" w:type="dxa"/>
                  <w:noWrap/>
                </w:tcPr>
                <w:p>
                  <w:pPr>
                    <w:pStyle w:val="63"/>
                  </w:pPr>
                  <w: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rPr>
                      <w:rFonts w:hint="eastAsia"/>
                    </w:rPr>
                    <w:t>最大落地浓度/占标率</w:t>
                  </w:r>
                </w:p>
              </w:tc>
              <w:tc>
                <w:tcPr>
                  <w:tcW w:w="1516" w:type="dxa"/>
                  <w:noWrap/>
                  <w:vAlign w:val="center"/>
                </w:tcPr>
                <w:p>
                  <w:pPr>
                    <w:pStyle w:val="63"/>
                  </w:pPr>
                  <w:r>
                    <w:t>2.26E-03</w:t>
                  </w:r>
                </w:p>
              </w:tc>
              <w:tc>
                <w:tcPr>
                  <w:tcW w:w="1275" w:type="dxa"/>
                  <w:noWrap/>
                  <w:vAlign w:val="center"/>
                </w:tcPr>
                <w:p>
                  <w:pPr>
                    <w:pStyle w:val="63"/>
                  </w:pPr>
                  <w:r>
                    <w:t>1.13</w:t>
                  </w:r>
                </w:p>
              </w:tc>
              <w:tc>
                <w:tcPr>
                  <w:tcW w:w="1706" w:type="dxa"/>
                  <w:noWrap/>
                  <w:vAlign w:val="center"/>
                </w:tcPr>
                <w:p>
                  <w:pPr>
                    <w:pStyle w:val="63"/>
                  </w:pPr>
                  <w:r>
                    <w:t>1.25E-04</w:t>
                  </w:r>
                </w:p>
              </w:tc>
              <w:tc>
                <w:tcPr>
                  <w:tcW w:w="1274" w:type="dxa"/>
                  <w:noWrap/>
                  <w:vAlign w:val="center"/>
                </w:tcPr>
                <w:p>
                  <w:pPr>
                    <w:pStyle w:val="63"/>
                  </w:pPr>
                  <w: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165" w:type="dxa"/>
                  <w:noWrap/>
                  <w:vAlign w:val="center"/>
                </w:tcPr>
                <w:p>
                  <w:pPr>
                    <w:pStyle w:val="63"/>
                  </w:pPr>
                  <w:r>
                    <w:rPr>
                      <w:rFonts w:hint="eastAsia"/>
                    </w:rPr>
                    <w:t>评价标准</w:t>
                  </w:r>
                </w:p>
              </w:tc>
              <w:tc>
                <w:tcPr>
                  <w:tcW w:w="1516" w:type="dxa"/>
                  <w:noWrap/>
                  <w:vAlign w:val="center"/>
                </w:tcPr>
                <w:p>
                  <w:pPr>
                    <w:pStyle w:val="63"/>
                  </w:pPr>
                  <w:r>
                    <w:rPr>
                      <w:rFonts w:hint="eastAsia"/>
                    </w:rPr>
                    <w:t>0.2</w:t>
                  </w:r>
                </w:p>
              </w:tc>
              <w:tc>
                <w:tcPr>
                  <w:tcW w:w="1275" w:type="dxa"/>
                  <w:noWrap/>
                  <w:vAlign w:val="center"/>
                </w:tcPr>
                <w:p>
                  <w:pPr>
                    <w:pStyle w:val="63"/>
                  </w:pPr>
                  <w:r>
                    <w:rPr>
                      <w:rFonts w:hint="eastAsia"/>
                    </w:rPr>
                    <w:t>-</w:t>
                  </w:r>
                </w:p>
              </w:tc>
              <w:tc>
                <w:tcPr>
                  <w:tcW w:w="1706" w:type="dxa"/>
                  <w:noWrap/>
                  <w:vAlign w:val="center"/>
                </w:tcPr>
                <w:p>
                  <w:pPr>
                    <w:pStyle w:val="63"/>
                  </w:pPr>
                  <w:r>
                    <w:rPr>
                      <w:rFonts w:hint="eastAsia"/>
                    </w:rPr>
                    <w:t>0.01</w:t>
                  </w:r>
                </w:p>
              </w:tc>
              <w:tc>
                <w:tcPr>
                  <w:tcW w:w="1274" w:type="dxa"/>
                  <w:noWrap/>
                  <w:vAlign w:val="center"/>
                </w:tcPr>
                <w:p>
                  <w:pPr>
                    <w:pStyle w:val="63"/>
                  </w:pPr>
                  <w:r>
                    <w:rPr>
                      <w:rFonts w:hint="eastAsia"/>
                    </w:rPr>
                    <w:t>-</w:t>
                  </w:r>
                </w:p>
              </w:tc>
            </w:tr>
          </w:tbl>
          <w:p/>
          <w:p>
            <w:pPr>
              <w:pStyle w:val="5"/>
              <w:ind w:firstLine="480"/>
            </w:pPr>
            <w:r>
              <w:rPr>
                <w:rFonts w:hint="eastAsia"/>
              </w:rPr>
              <w:t>根据预测，</w:t>
            </w:r>
            <w:r>
              <w:t>本项目大气场界浓度满足大气污染物场界浓度限值，厂界外大气污染物短期浓度满足环境质量浓度限值，因此本项目</w:t>
            </w:r>
            <w:r>
              <w:rPr>
                <w:rFonts w:hint="eastAsia"/>
              </w:rPr>
              <w:t>不</w:t>
            </w:r>
            <w:r>
              <w:t>设置大气环境防护距离。</w:t>
            </w:r>
          </w:p>
          <w:p>
            <w:pPr>
              <w:pStyle w:val="5"/>
              <w:ind w:firstLine="480"/>
            </w:pPr>
            <w:r>
              <w:rPr>
                <w:rFonts w:hint="eastAsia"/>
              </w:rPr>
              <w:t>（2）卫生防护距离</w:t>
            </w:r>
          </w:p>
          <w:p>
            <w:pPr>
              <w:pStyle w:val="5"/>
              <w:ind w:firstLine="480"/>
            </w:pPr>
            <w:r>
              <w:rPr>
                <w:rFonts w:hint="eastAsia"/>
              </w:rPr>
              <w:t>根据《大气有害物质无组织排放卫生防护距离推导技术导则》（GB/T 39499-2020），计算项目卫生防护距离，计算公式如下：</w:t>
            </w:r>
          </w:p>
          <w:p>
            <w:pPr>
              <w:pStyle w:val="63"/>
            </w:pPr>
            <w:r>
              <w:drawing>
                <wp:inline distT="0" distB="0" distL="0" distR="0">
                  <wp:extent cx="4906645" cy="1445895"/>
                  <wp:effectExtent l="0" t="0" r="8255" b="1905"/>
                  <wp:docPr id="7286871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8715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06645" cy="1446254"/>
                          </a:xfrm>
                          <a:prstGeom prst="rect">
                            <a:avLst/>
                          </a:prstGeom>
                          <a:noFill/>
                        </pic:spPr>
                      </pic:pic>
                    </a:graphicData>
                  </a:graphic>
                </wp:inline>
              </w:drawing>
            </w:r>
          </w:p>
          <w:p>
            <w:pPr>
              <w:pStyle w:val="14"/>
              <w:keepNext/>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10</w:t>
            </w:r>
            <w:r>
              <w:fldChar w:fldCharType="end"/>
            </w:r>
            <w:r>
              <w:rPr>
                <w:rFonts w:hint="eastAsia"/>
              </w:rPr>
              <w:t xml:space="preserve">   卫生防护距离初值计算系数</w:t>
            </w:r>
          </w:p>
          <w:p>
            <w:pPr>
              <w:pStyle w:val="63"/>
            </w:pPr>
            <w:r>
              <w:drawing>
                <wp:inline distT="0" distB="0" distL="0" distR="0">
                  <wp:extent cx="3723005" cy="2744470"/>
                  <wp:effectExtent l="0" t="0" r="0" b="0"/>
                  <wp:docPr id="2538548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5485" name="图片 1" descr="表格&#10;&#10;描述已自动生成"/>
                          <pic:cNvPicPr>
                            <a:picLocks noChangeAspect="1"/>
                          </pic:cNvPicPr>
                        </pic:nvPicPr>
                        <pic:blipFill>
                          <a:blip r:embed="rId22"/>
                          <a:stretch>
                            <a:fillRect/>
                          </a:stretch>
                        </pic:blipFill>
                        <pic:spPr>
                          <a:xfrm>
                            <a:off x="0" y="0"/>
                            <a:ext cx="3723985" cy="2745389"/>
                          </a:xfrm>
                          <a:prstGeom prst="rect">
                            <a:avLst/>
                          </a:prstGeom>
                        </pic:spPr>
                      </pic:pic>
                    </a:graphicData>
                  </a:graphic>
                </wp:inline>
              </w:drawing>
            </w:r>
          </w:p>
          <w:p>
            <w:pPr>
              <w:pStyle w:val="5"/>
              <w:ind w:firstLine="480"/>
            </w:pPr>
            <w:r>
              <w:rPr>
                <w:rFonts w:hint="eastAsia"/>
              </w:rPr>
              <w:t>本项目计算参数选择见</w:t>
            </w:r>
            <w:r>
              <w:fldChar w:fldCharType="begin"/>
            </w:r>
            <w:r>
              <w:instrText xml:space="preserve"> </w:instrText>
            </w:r>
            <w:r>
              <w:rPr>
                <w:rFonts w:hint="eastAsia"/>
              </w:rPr>
              <w:instrText xml:space="preserve">REF _Ref171934484 \h</w:instrText>
            </w:r>
            <w:r>
              <w:instrText xml:space="preserve"> </w:instrText>
            </w:r>
            <w:r>
              <w:fldChar w:fldCharType="separate"/>
            </w:r>
            <w:r>
              <w:rPr>
                <w:rFonts w:hint="eastAsia"/>
              </w:rPr>
              <w:t xml:space="preserve">表 </w:t>
            </w:r>
            <w:r>
              <w:t>4.2</w:t>
            </w:r>
            <w:r>
              <w:noBreakHyphen/>
            </w:r>
            <w:r>
              <w:t>11</w:t>
            </w:r>
            <w:r>
              <w:fldChar w:fldCharType="end"/>
            </w:r>
            <w:r>
              <w:rPr>
                <w:rFonts w:hint="eastAsia"/>
              </w:rPr>
              <w:t>。</w:t>
            </w:r>
          </w:p>
          <w:p>
            <w:pPr>
              <w:pStyle w:val="14"/>
              <w:keepNext/>
            </w:pPr>
            <w:bookmarkStart w:id="67" w:name="_Ref171934484"/>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11</w:t>
            </w:r>
            <w:r>
              <w:fldChar w:fldCharType="end"/>
            </w:r>
            <w:bookmarkEnd w:id="67"/>
            <w:r>
              <w:rPr>
                <w:rFonts w:hint="eastAsia"/>
              </w:rPr>
              <w:t xml:space="preserve">   计算参数选择</w:t>
            </w:r>
          </w:p>
          <w:tbl>
            <w:tblPr>
              <w:tblStyle w:val="39"/>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760"/>
              <w:gridCol w:w="5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center"/>
                </w:tcPr>
                <w:p>
                  <w:pPr>
                    <w:pStyle w:val="63"/>
                  </w:pPr>
                  <w:r>
                    <w:rPr>
                      <w:rFonts w:hint="eastAsia"/>
                    </w:rPr>
                    <w:t>参数</w:t>
                  </w:r>
                </w:p>
              </w:tc>
              <w:tc>
                <w:tcPr>
                  <w:tcW w:w="1760" w:type="dxa"/>
                  <w:vAlign w:val="center"/>
                </w:tcPr>
                <w:p>
                  <w:pPr>
                    <w:pStyle w:val="63"/>
                  </w:pPr>
                  <w:r>
                    <w:rPr>
                      <w:rFonts w:hint="eastAsia"/>
                    </w:rPr>
                    <w:t>取值</w:t>
                  </w:r>
                </w:p>
              </w:tc>
              <w:tc>
                <w:tcPr>
                  <w:tcW w:w="5300"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center"/>
                </w:tcPr>
                <w:p>
                  <w:pPr>
                    <w:pStyle w:val="63"/>
                  </w:pPr>
                  <w:r>
                    <w:rPr>
                      <w:rFonts w:hint="eastAsia"/>
                    </w:rPr>
                    <w:t>Qc</w:t>
                  </w:r>
                </w:p>
              </w:tc>
              <w:tc>
                <w:tcPr>
                  <w:tcW w:w="1760" w:type="dxa"/>
                  <w:vAlign w:val="center"/>
                </w:tcPr>
                <w:p>
                  <w:pPr>
                    <w:pStyle w:val="63"/>
                  </w:pPr>
                  <w:r>
                    <w:rPr>
                      <w:rFonts w:hint="eastAsia"/>
                    </w:rPr>
                    <w:t>硫化氢0.0002kg/h</w:t>
                  </w:r>
                </w:p>
                <w:p>
                  <w:pPr>
                    <w:pStyle w:val="63"/>
                  </w:pPr>
                  <w:r>
                    <w:rPr>
                      <w:rFonts w:hint="eastAsia"/>
                    </w:rPr>
                    <w:t>氨0.00348kg/h</w:t>
                  </w:r>
                </w:p>
              </w:tc>
              <w:tc>
                <w:tcPr>
                  <w:tcW w:w="5300" w:type="dxa"/>
                  <w:vAlign w:val="center"/>
                </w:tcPr>
                <w:p>
                  <w:pPr>
                    <w:pStyle w:val="63"/>
                  </w:pPr>
                  <w:r>
                    <w:rPr>
                      <w:rFonts w:hint="eastAsia"/>
                    </w:rPr>
                    <w:t>项目大气有害物质为硫化氢和氨，无组织排放量分别为0.00168t/a，0.0304t/a，年运行时间8760h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center"/>
                </w:tcPr>
                <w:p>
                  <w:pPr>
                    <w:pStyle w:val="63"/>
                  </w:pPr>
                  <w:r>
                    <w:rPr>
                      <w:rFonts w:hint="eastAsia"/>
                    </w:rPr>
                    <w:t>Cm</w:t>
                  </w:r>
                </w:p>
              </w:tc>
              <w:tc>
                <w:tcPr>
                  <w:tcW w:w="1760" w:type="dxa"/>
                  <w:vAlign w:val="center"/>
                </w:tcPr>
                <w:p>
                  <w:pPr>
                    <w:pStyle w:val="63"/>
                  </w:pPr>
                  <w:r>
                    <w:rPr>
                      <w:rFonts w:hint="eastAsia"/>
                    </w:rPr>
                    <w:t>硫化氢0.01mg/m</w:t>
                  </w:r>
                  <w:r>
                    <w:rPr>
                      <w:rFonts w:hint="eastAsia"/>
                      <w:vertAlign w:val="superscript"/>
                    </w:rPr>
                    <w:t>3</w:t>
                  </w:r>
                </w:p>
                <w:p>
                  <w:pPr>
                    <w:pStyle w:val="63"/>
                  </w:pPr>
                  <w:r>
                    <w:rPr>
                      <w:rFonts w:hint="eastAsia"/>
                    </w:rPr>
                    <w:t>氨0.2 mg/m</w:t>
                  </w:r>
                  <w:r>
                    <w:rPr>
                      <w:rFonts w:hint="eastAsia"/>
                      <w:vertAlign w:val="superscript"/>
                    </w:rPr>
                    <w:t>3</w:t>
                  </w:r>
                </w:p>
              </w:tc>
              <w:tc>
                <w:tcPr>
                  <w:tcW w:w="5300" w:type="dxa"/>
                  <w:vAlign w:val="center"/>
                </w:tcPr>
                <w:p>
                  <w:pPr>
                    <w:pStyle w:val="63"/>
                  </w:pPr>
                  <w:r>
                    <w:rPr>
                      <w:rFonts w:hint="eastAsia"/>
                    </w:rPr>
                    <w:t>《环境影响评价技术导则 大气环境（HJ2.2-2018）》附录D的标准限值，1小时平均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center"/>
                </w:tcPr>
                <w:p>
                  <w:pPr>
                    <w:pStyle w:val="63"/>
                  </w:pPr>
                  <w:r>
                    <w:rPr>
                      <w:rFonts w:hint="eastAsia"/>
                    </w:rPr>
                    <w:t>r</w:t>
                  </w:r>
                </w:p>
              </w:tc>
              <w:tc>
                <w:tcPr>
                  <w:tcW w:w="1760" w:type="dxa"/>
                  <w:vAlign w:val="center"/>
                </w:tcPr>
                <w:p>
                  <w:pPr>
                    <w:pStyle w:val="63"/>
                  </w:pPr>
                  <w:r>
                    <w:rPr>
                      <w:rFonts w:hint="eastAsia"/>
                    </w:rPr>
                    <w:t>32.0m</w:t>
                  </w:r>
                </w:p>
              </w:tc>
              <w:tc>
                <w:tcPr>
                  <w:tcW w:w="5300" w:type="dxa"/>
                  <w:vAlign w:val="center"/>
                </w:tcPr>
                <w:p>
                  <w:pPr>
                    <w:pStyle w:val="63"/>
                  </w:pPr>
                  <m:oMath>
                    <m:r>
                      <w:rPr>
                        <w:rFonts w:hint="eastAsia" w:ascii="Cambria Math" w:hAnsi="Cambria Math"/>
                      </w:rPr>
                      <m:t>r</m:t>
                    </m:r>
                    <m:r>
                      <w:rPr>
                        <w:rFonts w:ascii="Cambria Math" w:hAnsi="Cambria Math"/>
                      </w:rPr>
                      <m:t>=</m:t>
                    </m:r>
                    <m:rad>
                      <m:radPr>
                        <m:degHide m:val="1"/>
                        <m:ctrlPr>
                          <w:rPr>
                            <w:rFonts w:ascii="Cambria Math" w:hAnsi="Cambria Math"/>
                            <w:i/>
                          </w:rPr>
                        </m:ctrlPr>
                      </m:radPr>
                      <m:deg>
                        <m:ctrlPr>
                          <w:rPr>
                            <w:rFonts w:ascii="Cambria Math" w:hAnsi="Cambria Math"/>
                            <w:i/>
                          </w:rPr>
                        </m:ctrlPr>
                      </m:deg>
                      <m:e>
                        <m:r>
                          <w:rPr>
                            <w:rFonts w:ascii="Cambria Math" w:hAnsi="Cambria Math"/>
                          </w:rPr>
                          <m:t>S/π</m:t>
                        </m:r>
                        <m:ctrlPr>
                          <w:rPr>
                            <w:rFonts w:ascii="Cambria Math" w:hAnsi="Cambria Math"/>
                            <w:i/>
                          </w:rPr>
                        </m:ctrlPr>
                      </m:e>
                    </m:rad>
                  </m:oMath>
                  <w:r>
                    <w:rPr>
                      <w:rFonts w:hint="eastAsia"/>
                    </w:rPr>
                    <w:t>,S为生产单元占地面积，m</w:t>
                  </w:r>
                  <w:r>
                    <w:rPr>
                      <w:rFonts w:hint="eastAsia"/>
                      <w:vertAlign w:val="superscript"/>
                    </w:rPr>
                    <w:t>2</w:t>
                  </w:r>
                  <w:r>
                    <w:rPr>
                      <w:rFonts w:hint="eastAsia"/>
                    </w:rPr>
                    <w:t>，本项目废气产臭单元主要为污水预处理区、污水二级处理区和污泥脱水污泥处理区，根据统计生产单元占地面积约3200m</w:t>
                  </w:r>
                  <w:r>
                    <w:rPr>
                      <w:rFonts w:hint="eastAsia"/>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center"/>
                </w:tcPr>
                <w:p>
                  <w:pPr>
                    <w:pStyle w:val="63"/>
                  </w:pPr>
                  <w:r>
                    <w:rPr>
                      <w:rFonts w:hint="eastAsia"/>
                    </w:rPr>
                    <w:t>ABCD</w:t>
                  </w:r>
                </w:p>
              </w:tc>
              <w:tc>
                <w:tcPr>
                  <w:tcW w:w="1760" w:type="dxa"/>
                  <w:vAlign w:val="center"/>
                </w:tcPr>
                <w:p>
                  <w:pPr>
                    <w:pStyle w:val="63"/>
                  </w:pPr>
                  <w:r>
                    <w:rPr>
                      <w:rFonts w:hint="eastAsia"/>
                    </w:rPr>
                    <w:t>A=400，B=0.01，C=1.85，D=0.78</w:t>
                  </w:r>
                </w:p>
              </w:tc>
              <w:tc>
                <w:tcPr>
                  <w:tcW w:w="5300" w:type="dxa"/>
                  <w:vAlign w:val="center"/>
                </w:tcPr>
                <w:p>
                  <w:pPr>
                    <w:pStyle w:val="63"/>
                  </w:pPr>
                  <w:r>
                    <w:rPr>
                      <w:rFonts w:hint="eastAsia"/>
                    </w:rPr>
                    <w:t>平均风速1.7m/s，项目臭气处理设施有组织排气筒氨和硫化氢排放速率小于GB14554-93二级标准规定排放速率的1/3，本项目工业企业大气污染源构成类型为</w:t>
                  </w:r>
                  <w:r>
                    <w:rPr>
                      <w:rFonts w:hint="eastAsia" w:ascii="宋体" w:hAnsi="宋体"/>
                    </w:rPr>
                    <w:t>Ⅱ</w:t>
                  </w:r>
                  <w:r>
                    <w:rPr>
                      <w:rFonts w:hint="eastAsia"/>
                    </w:rPr>
                    <w:t>类，L≤1000m</w:t>
                  </w:r>
                </w:p>
              </w:tc>
            </w:tr>
          </w:tbl>
          <w:p>
            <w:pPr>
              <w:pStyle w:val="14"/>
              <w:keepNext/>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12</w:t>
            </w:r>
            <w:r>
              <w:fldChar w:fldCharType="end"/>
            </w:r>
            <w:r>
              <w:rPr>
                <w:rFonts w:hint="eastAsia"/>
              </w:rPr>
              <w:t xml:space="preserve">   卫生防护距离终值级差范围表</w:t>
            </w:r>
          </w:p>
          <w:p>
            <w:pPr>
              <w:pStyle w:val="63"/>
            </w:pPr>
            <w:r>
              <w:drawing>
                <wp:inline distT="0" distB="0" distL="0" distR="0">
                  <wp:extent cx="4886960" cy="1049020"/>
                  <wp:effectExtent l="0" t="0" r="0" b="0"/>
                  <wp:docPr id="149974727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47274" name="图片 1" descr="表格&#10;&#10;描述已自动生成"/>
                          <pic:cNvPicPr>
                            <a:picLocks noChangeAspect="1"/>
                          </pic:cNvPicPr>
                        </pic:nvPicPr>
                        <pic:blipFill>
                          <a:blip r:embed="rId23"/>
                          <a:stretch>
                            <a:fillRect/>
                          </a:stretch>
                        </pic:blipFill>
                        <pic:spPr>
                          <a:xfrm>
                            <a:off x="0" y="0"/>
                            <a:ext cx="4907016" cy="1053928"/>
                          </a:xfrm>
                          <a:prstGeom prst="rect">
                            <a:avLst/>
                          </a:prstGeom>
                        </pic:spPr>
                      </pic:pic>
                    </a:graphicData>
                  </a:graphic>
                </wp:inline>
              </w:drawing>
            </w:r>
          </w:p>
          <w:p>
            <w:pPr>
              <w:pStyle w:val="5"/>
              <w:ind w:firstLine="480"/>
            </w:pPr>
            <w:r>
              <w:rPr>
                <w:rFonts w:hint="eastAsia"/>
              </w:rPr>
              <w:t>卫生防护距离计算见</w:t>
            </w:r>
            <w:r>
              <w:fldChar w:fldCharType="begin"/>
            </w:r>
            <w:r>
              <w:instrText xml:space="preserve"> </w:instrText>
            </w:r>
            <w:r>
              <w:rPr>
                <w:rFonts w:hint="eastAsia"/>
              </w:rPr>
              <w:instrText xml:space="preserve">REF _Ref171933719 \h</w:instrText>
            </w:r>
            <w:r>
              <w:instrText xml:space="preserve"> </w:instrText>
            </w:r>
            <w:r>
              <w:fldChar w:fldCharType="separate"/>
            </w:r>
            <w:r>
              <w:rPr>
                <w:rFonts w:hint="eastAsia"/>
              </w:rPr>
              <w:t xml:space="preserve">表 </w:t>
            </w:r>
            <w:r>
              <w:t>4.2</w:t>
            </w:r>
            <w:r>
              <w:noBreakHyphen/>
            </w:r>
            <w:r>
              <w:t>13</w:t>
            </w:r>
            <w:r>
              <w:fldChar w:fldCharType="end"/>
            </w:r>
            <w:r>
              <w:rPr>
                <w:rFonts w:hint="eastAsia"/>
              </w:rPr>
              <w:t>，根据GB/T 39499-2020，6.2，当企业某生产单元的无组织排放存在多种特征大气有害物质时,如果分别推导出的卫生防护距离初值在同一级别时,则该企业的卫生防护距离终值应提高一级，本次涉及两种特征大气有害物质，初值在同一级别，所以企业的卫生防护距离终值应提高一级。</w:t>
            </w:r>
          </w:p>
          <w:p>
            <w:pPr>
              <w:pStyle w:val="14"/>
              <w:keepNext/>
            </w:pPr>
            <w:bookmarkStart w:id="68" w:name="_Ref171933719"/>
            <w:bookmarkStart w:id="69" w:name="_Ref171933712"/>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13</w:t>
            </w:r>
            <w:r>
              <w:fldChar w:fldCharType="end"/>
            </w:r>
            <w:bookmarkEnd w:id="68"/>
            <w:r>
              <w:rPr>
                <w:rFonts w:hint="eastAsia"/>
              </w:rPr>
              <w:t xml:space="preserve">   氨和硫化氢卫生防护距离计算  m</w:t>
            </w:r>
            <w:bookmarkEnd w:id="69"/>
          </w:p>
          <w:tbl>
            <w:tblPr>
              <w:tblStyle w:val="39"/>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87"/>
              <w:gridCol w:w="1587"/>
              <w:gridCol w:w="1587"/>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pStyle w:val="63"/>
                  </w:pPr>
                  <w:r>
                    <w:rPr>
                      <w:rFonts w:hint="eastAsia"/>
                    </w:rPr>
                    <w:t>污染物</w:t>
                  </w:r>
                </w:p>
              </w:tc>
              <w:tc>
                <w:tcPr>
                  <w:tcW w:w="1587" w:type="dxa"/>
                  <w:vAlign w:val="center"/>
                </w:tcPr>
                <w:p>
                  <w:pPr>
                    <w:pStyle w:val="63"/>
                  </w:pPr>
                  <w:r>
                    <w:rPr>
                      <w:rFonts w:hint="eastAsia"/>
                    </w:rPr>
                    <w:t>L初值结果</w:t>
                  </w:r>
                </w:p>
              </w:tc>
              <w:tc>
                <w:tcPr>
                  <w:tcW w:w="1587" w:type="dxa"/>
                  <w:vAlign w:val="center"/>
                </w:tcPr>
                <w:p>
                  <w:pPr>
                    <w:pStyle w:val="63"/>
                  </w:pPr>
                  <w:r>
                    <w:rPr>
                      <w:rFonts w:hint="eastAsia"/>
                    </w:rPr>
                    <w:t>终值</w:t>
                  </w:r>
                </w:p>
              </w:tc>
              <w:tc>
                <w:tcPr>
                  <w:tcW w:w="1587" w:type="dxa"/>
                  <w:vAlign w:val="center"/>
                </w:tcPr>
                <w:p>
                  <w:pPr>
                    <w:pStyle w:val="63"/>
                  </w:pPr>
                  <w:r>
                    <w:rPr>
                      <w:rFonts w:hint="eastAsia"/>
                    </w:rPr>
                    <w:t>是否提级</w:t>
                  </w:r>
                </w:p>
              </w:tc>
              <w:tc>
                <w:tcPr>
                  <w:tcW w:w="1587" w:type="dxa"/>
                  <w:vAlign w:val="center"/>
                </w:tcPr>
                <w:p>
                  <w:pPr>
                    <w:pStyle w:val="63"/>
                  </w:pPr>
                  <w:r>
                    <w:rPr>
                      <w:rFonts w:hint="eastAsia"/>
                    </w:rPr>
                    <w:t>最终防护距离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pStyle w:val="63"/>
                  </w:pPr>
                  <w:r>
                    <w:rPr>
                      <w:rFonts w:hint="eastAsia"/>
                    </w:rPr>
                    <w:t>氨</w:t>
                  </w:r>
                </w:p>
              </w:tc>
              <w:tc>
                <w:tcPr>
                  <w:tcW w:w="1587" w:type="dxa"/>
                  <w:vAlign w:val="center"/>
                </w:tcPr>
                <w:p>
                  <w:pPr>
                    <w:pStyle w:val="63"/>
                  </w:pPr>
                  <w:r>
                    <w:rPr>
                      <w:rFonts w:hint="eastAsia"/>
                    </w:rPr>
                    <w:t>0.366</w:t>
                  </w:r>
                </w:p>
              </w:tc>
              <w:tc>
                <w:tcPr>
                  <w:tcW w:w="1587" w:type="dxa"/>
                  <w:vAlign w:val="center"/>
                </w:tcPr>
                <w:p>
                  <w:pPr>
                    <w:pStyle w:val="63"/>
                  </w:pPr>
                  <w:r>
                    <w:rPr>
                      <w:rFonts w:hint="eastAsia"/>
                    </w:rPr>
                    <w:t>50</w:t>
                  </w:r>
                </w:p>
              </w:tc>
              <w:tc>
                <w:tcPr>
                  <w:tcW w:w="1587" w:type="dxa"/>
                  <w:vMerge w:val="restart"/>
                  <w:vAlign w:val="center"/>
                </w:tcPr>
                <w:p>
                  <w:pPr>
                    <w:pStyle w:val="63"/>
                  </w:pPr>
                  <w:r>
                    <w:rPr>
                      <w:rFonts w:hint="eastAsia"/>
                    </w:rPr>
                    <w:t>是</w:t>
                  </w:r>
                </w:p>
              </w:tc>
              <w:tc>
                <w:tcPr>
                  <w:tcW w:w="1587" w:type="dxa"/>
                  <w:vMerge w:val="restart"/>
                  <w:vAlign w:val="center"/>
                </w:tcPr>
                <w:p>
                  <w:pPr>
                    <w:pStyle w:val="6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trPr>
              <w:tc>
                <w:tcPr>
                  <w:tcW w:w="1588" w:type="dxa"/>
                  <w:vAlign w:val="center"/>
                </w:tcPr>
                <w:p>
                  <w:pPr>
                    <w:pStyle w:val="63"/>
                  </w:pPr>
                  <w:r>
                    <w:rPr>
                      <w:rFonts w:hint="eastAsia"/>
                    </w:rPr>
                    <w:t>硫化氢</w:t>
                  </w:r>
                </w:p>
              </w:tc>
              <w:tc>
                <w:tcPr>
                  <w:tcW w:w="1587" w:type="dxa"/>
                  <w:vAlign w:val="center"/>
                </w:tcPr>
                <w:p>
                  <w:pPr>
                    <w:pStyle w:val="63"/>
                  </w:pPr>
                  <w:r>
                    <w:rPr>
                      <w:rFonts w:hint="eastAsia"/>
                    </w:rPr>
                    <w:t>0.427</w:t>
                  </w:r>
                </w:p>
              </w:tc>
              <w:tc>
                <w:tcPr>
                  <w:tcW w:w="1587" w:type="dxa"/>
                  <w:vAlign w:val="center"/>
                </w:tcPr>
                <w:p>
                  <w:pPr>
                    <w:pStyle w:val="63"/>
                  </w:pPr>
                  <w:r>
                    <w:rPr>
                      <w:rFonts w:hint="eastAsia"/>
                    </w:rPr>
                    <w:t>50</w:t>
                  </w:r>
                </w:p>
              </w:tc>
              <w:tc>
                <w:tcPr>
                  <w:tcW w:w="1587" w:type="dxa"/>
                  <w:vMerge w:val="continue"/>
                  <w:vAlign w:val="center"/>
                </w:tcPr>
                <w:p>
                  <w:pPr>
                    <w:pStyle w:val="63"/>
                  </w:pPr>
                </w:p>
              </w:tc>
              <w:tc>
                <w:tcPr>
                  <w:tcW w:w="1587" w:type="dxa"/>
                  <w:vMerge w:val="continue"/>
                  <w:vAlign w:val="center"/>
                </w:tcPr>
                <w:p>
                  <w:pPr>
                    <w:pStyle w:val="63"/>
                  </w:pPr>
                </w:p>
              </w:tc>
            </w:tr>
          </w:tbl>
          <w:p>
            <w:pPr>
              <w:pStyle w:val="63"/>
            </w:pPr>
          </w:p>
          <w:p>
            <w:pPr>
              <w:pStyle w:val="5"/>
              <w:ind w:firstLine="480"/>
            </w:pPr>
            <w:r>
              <w:rPr>
                <w:rFonts w:hint="eastAsia"/>
              </w:rPr>
              <w:t>根据计算，本次项目卫生防护距离为污水预处理区、污水二级处理区和污泥脱水污泥处理区外扩100m范围。</w:t>
            </w:r>
          </w:p>
          <w:p>
            <w:pPr>
              <w:pStyle w:val="5"/>
              <w:ind w:firstLine="480"/>
            </w:pPr>
            <w:r>
              <w:rPr>
                <w:rFonts w:hint="eastAsia"/>
              </w:rPr>
              <w:t>（3）项目防护距离确定</w:t>
            </w:r>
          </w:p>
          <w:p>
            <w:pPr>
              <w:pStyle w:val="5"/>
              <w:ind w:firstLine="480"/>
            </w:pPr>
            <w:r>
              <w:rPr>
                <w:rFonts w:hint="eastAsia"/>
              </w:rPr>
              <w:t>根据计算项目防护距离情况见</w:t>
            </w:r>
            <w:r>
              <w:fldChar w:fldCharType="begin"/>
            </w:r>
            <w:r>
              <w:instrText xml:space="preserve"> </w:instrText>
            </w:r>
            <w:r>
              <w:rPr>
                <w:rFonts w:hint="eastAsia"/>
              </w:rPr>
              <w:instrText xml:space="preserve">REF _Ref171934690 \h</w:instrText>
            </w:r>
            <w:r>
              <w:instrText xml:space="preserve"> </w:instrText>
            </w:r>
            <w:r>
              <w:fldChar w:fldCharType="separate"/>
            </w:r>
            <w:r>
              <w:rPr>
                <w:rFonts w:hint="eastAsia"/>
              </w:rPr>
              <w:t xml:space="preserve">表 </w:t>
            </w:r>
            <w:r>
              <w:t>4.2</w:t>
            </w:r>
            <w:r>
              <w:noBreakHyphen/>
            </w:r>
            <w:r>
              <w:t>14</w:t>
            </w:r>
            <w:r>
              <w:fldChar w:fldCharType="end"/>
            </w:r>
            <w:r>
              <w:rPr>
                <w:rFonts w:hint="eastAsia"/>
              </w:rPr>
              <w:t>。</w:t>
            </w:r>
          </w:p>
          <w:p>
            <w:pPr>
              <w:pStyle w:val="14"/>
              <w:keepNext/>
            </w:pPr>
            <w:bookmarkStart w:id="70" w:name="_Ref171934690"/>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14</w:t>
            </w:r>
            <w:r>
              <w:fldChar w:fldCharType="end"/>
            </w:r>
            <w:bookmarkEnd w:id="70"/>
            <w:r>
              <w:rPr>
                <w:rFonts w:hint="eastAsia"/>
              </w:rPr>
              <w:t xml:space="preserve">   项目防护距离计算结果一览表</w:t>
            </w:r>
          </w:p>
          <w:tbl>
            <w:tblPr>
              <w:tblStyle w:val="39"/>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4"/>
              <w:gridCol w:w="2646"/>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4" w:type="dxa"/>
                </w:tcPr>
                <w:p>
                  <w:pPr>
                    <w:pStyle w:val="63"/>
                  </w:pPr>
                  <w:r>
                    <w:rPr>
                      <w:rFonts w:hint="eastAsia"/>
                    </w:rPr>
                    <w:t>名称</w:t>
                  </w:r>
                </w:p>
              </w:tc>
              <w:tc>
                <w:tcPr>
                  <w:tcW w:w="2646" w:type="dxa"/>
                </w:tcPr>
                <w:p>
                  <w:pPr>
                    <w:pStyle w:val="63"/>
                  </w:pPr>
                  <w:r>
                    <w:rPr>
                      <w:rFonts w:hint="eastAsia"/>
                    </w:rPr>
                    <w:t>防护距离/m</w:t>
                  </w:r>
                </w:p>
              </w:tc>
              <w:tc>
                <w:tcPr>
                  <w:tcW w:w="2646" w:type="dxa"/>
                </w:tcPr>
                <w:p>
                  <w:pPr>
                    <w:pStyle w:val="63"/>
                  </w:pPr>
                  <w:r>
                    <w:rPr>
                      <w:rFonts w:hint="eastAsia"/>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4" w:type="dxa"/>
                </w:tcPr>
                <w:p>
                  <w:pPr>
                    <w:pStyle w:val="63"/>
                  </w:pPr>
                  <w:r>
                    <w:rPr>
                      <w:rFonts w:hint="eastAsia"/>
                    </w:rPr>
                    <w:t>大气环境防护距离</w:t>
                  </w:r>
                </w:p>
              </w:tc>
              <w:tc>
                <w:tcPr>
                  <w:tcW w:w="2646" w:type="dxa"/>
                </w:tcPr>
                <w:p>
                  <w:pPr>
                    <w:pStyle w:val="63"/>
                  </w:pPr>
                  <w:r>
                    <w:rPr>
                      <w:rFonts w:hint="eastAsia"/>
                    </w:rPr>
                    <w:t>0</w:t>
                  </w:r>
                </w:p>
              </w:tc>
              <w:tc>
                <w:tcPr>
                  <w:tcW w:w="2646" w:type="dxa"/>
                </w:tcPr>
                <w:p>
                  <w:pPr>
                    <w:pStyle w:val="63"/>
                  </w:pPr>
                  <w:r>
                    <w:t>HJ2.2-2018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44" w:type="dxa"/>
                </w:tcPr>
                <w:p>
                  <w:pPr>
                    <w:pStyle w:val="63"/>
                  </w:pPr>
                  <w:r>
                    <w:rPr>
                      <w:rFonts w:hint="eastAsia"/>
                    </w:rPr>
                    <w:t>卫生防护距离</w:t>
                  </w:r>
                </w:p>
              </w:tc>
              <w:tc>
                <w:tcPr>
                  <w:tcW w:w="2646" w:type="dxa"/>
                </w:tcPr>
                <w:p>
                  <w:pPr>
                    <w:pStyle w:val="63"/>
                  </w:pPr>
                  <w:r>
                    <w:rPr>
                      <w:rFonts w:hint="eastAsia"/>
                    </w:rPr>
                    <w:t>100</w:t>
                  </w:r>
                </w:p>
              </w:tc>
              <w:tc>
                <w:tcPr>
                  <w:tcW w:w="2646" w:type="dxa"/>
                </w:tcPr>
                <w:p>
                  <w:pPr>
                    <w:pStyle w:val="63"/>
                  </w:pPr>
                  <w:r>
                    <w:rPr>
                      <w:rFonts w:hint="eastAsia"/>
                    </w:rPr>
                    <w:t>GB/T 39499-2020</w:t>
                  </w:r>
                </w:p>
              </w:tc>
            </w:tr>
          </w:tbl>
          <w:p>
            <w:pPr>
              <w:pStyle w:val="63"/>
            </w:pPr>
          </w:p>
          <w:p>
            <w:pPr>
              <w:pStyle w:val="5"/>
              <w:ind w:firstLine="480"/>
            </w:pPr>
            <w:r>
              <w:rPr>
                <w:rFonts w:hint="eastAsia"/>
              </w:rPr>
              <w:t>重庆唐家沱污水处理厂处理能力40万m</w:t>
            </w:r>
            <w:r>
              <w:rPr>
                <w:rFonts w:hint="eastAsia"/>
                <w:vertAlign w:val="superscript"/>
              </w:rPr>
              <w:t>3</w:t>
            </w:r>
            <w:r>
              <w:rPr>
                <w:rFonts w:hint="eastAsia"/>
              </w:rPr>
              <w:t>/d，处理工艺采用格栅+沉砂池+初沉池+AAO+二沉池+高效沉淀池+滤池+接触消毒工艺，出水标准执行GB18918-2002一级A，该厂实施加盖除臭工程，对产臭单元进行加盖收集废气，收集废气收集后生物除臭处理后有组织排放，并划定100m防护距离。本项目处理工艺与重庆唐家沱污水处理厂基本相同，产臭池体加盖收集臭气，收集废气收集后生物除臭处理后有组织排放，所以工程划定100m卫生防护距离可满足要求。</w:t>
            </w:r>
          </w:p>
          <w:p>
            <w:pPr>
              <w:pStyle w:val="5"/>
              <w:ind w:firstLine="480"/>
            </w:pPr>
            <w:r>
              <w:rPr>
                <w:rFonts w:hint="eastAsia"/>
              </w:rPr>
              <w:t>综合考虑，本次项目防护距离为污水预处理区、污水二级处理区和污泥脱水污泥处理区外扩100m范围，根据现场调查，现状防护距离内西南侧正在进行拆迁，其他区域无居民点分布，</w:t>
            </w:r>
            <w:r>
              <w:rPr>
                <w:rFonts w:hint="eastAsia"/>
                <w:szCs w:val="21"/>
              </w:rPr>
              <w:t>防护距离内不得安排住宅、学校、医院等敏感性用途的建设用地。</w:t>
            </w:r>
          </w:p>
          <w:p>
            <w:pPr>
              <w:pStyle w:val="6"/>
              <w:spacing w:before="120" w:after="120"/>
            </w:pPr>
            <w:r>
              <w:rPr>
                <w:rFonts w:hint="eastAsia"/>
              </w:rPr>
              <w:t>自行监测计划</w:t>
            </w:r>
          </w:p>
          <w:p>
            <w:pPr>
              <w:pStyle w:val="5"/>
              <w:ind w:firstLine="480"/>
            </w:pPr>
            <w:r>
              <w:rPr>
                <w:rFonts w:hint="eastAsia"/>
              </w:rPr>
              <w:t>根据《排污单位自行监测技术指南</w:t>
            </w:r>
            <w:r>
              <w:t xml:space="preserve"> 水处理》（HJ 1083-2020）要求</w:t>
            </w:r>
            <w:r>
              <w:rPr>
                <w:rFonts w:hint="eastAsia"/>
              </w:rPr>
              <w:t>，废气监测计划见</w:t>
            </w:r>
            <w:r>
              <w:fldChar w:fldCharType="begin"/>
            </w:r>
            <w:r>
              <w:instrText xml:space="preserve"> </w:instrText>
            </w:r>
            <w:r>
              <w:rPr>
                <w:rFonts w:hint="eastAsia"/>
              </w:rPr>
              <w:instrText xml:space="preserve">REF _Ref170487853 \h</w:instrText>
            </w:r>
            <w:r>
              <w:instrText xml:space="preserve"> </w:instrText>
            </w:r>
            <w:r>
              <w:fldChar w:fldCharType="separate"/>
            </w:r>
            <w:r>
              <w:t>表 4.2</w:t>
            </w:r>
            <w:r>
              <w:noBreakHyphen/>
            </w:r>
            <w:r>
              <w:t>15</w:t>
            </w:r>
            <w:r>
              <w:fldChar w:fldCharType="end"/>
            </w:r>
            <w:r>
              <w:rPr>
                <w:rFonts w:hint="eastAsia"/>
              </w:rPr>
              <w:t>、</w:t>
            </w:r>
            <w:r>
              <w:fldChar w:fldCharType="begin"/>
            </w:r>
            <w:r>
              <w:instrText xml:space="preserve"> </w:instrText>
            </w:r>
            <w:r>
              <w:rPr>
                <w:rFonts w:hint="eastAsia"/>
              </w:rPr>
              <w:instrText xml:space="preserve">REF _Ref170488632 \h</w:instrText>
            </w:r>
            <w:r>
              <w:instrText xml:space="preserve"> </w:instrText>
            </w:r>
            <w:r>
              <w:fldChar w:fldCharType="separate"/>
            </w:r>
            <w:r>
              <w:t>表 4.2</w:t>
            </w:r>
            <w:r>
              <w:noBreakHyphen/>
            </w:r>
            <w:r>
              <w:t>16</w:t>
            </w:r>
            <w:r>
              <w:fldChar w:fldCharType="end"/>
            </w:r>
            <w:r>
              <w:rPr>
                <w:rFonts w:hint="eastAsia"/>
              </w:rPr>
              <w:t>。</w:t>
            </w:r>
          </w:p>
          <w:p>
            <w:pPr>
              <w:pStyle w:val="14"/>
              <w:keepNext/>
            </w:pPr>
            <w:bookmarkStart w:id="71" w:name="_Ref170487853"/>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15</w:t>
            </w:r>
            <w:r>
              <w:fldChar w:fldCharType="end"/>
            </w:r>
            <w:bookmarkEnd w:id="71"/>
            <w:r>
              <w:rPr>
                <w:rFonts w:hint="eastAsia"/>
              </w:rPr>
              <w:t xml:space="preserve">   有组织废气排放监测指标及最低监测频次</w:t>
            </w:r>
          </w:p>
          <w:tbl>
            <w:tblPr>
              <w:tblStyle w:val="39"/>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6"/>
              <w:gridCol w:w="2665"/>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36" w:type="dxa"/>
                </w:tcPr>
                <w:p>
                  <w:pPr>
                    <w:pStyle w:val="63"/>
                  </w:pPr>
                  <w:r>
                    <w:rPr>
                      <w:rFonts w:hint="eastAsia"/>
                    </w:rPr>
                    <w:t>监测点位</w:t>
                  </w:r>
                </w:p>
              </w:tc>
              <w:tc>
                <w:tcPr>
                  <w:tcW w:w="2665" w:type="dxa"/>
                </w:tcPr>
                <w:p>
                  <w:pPr>
                    <w:pStyle w:val="63"/>
                  </w:pPr>
                  <w:r>
                    <w:rPr>
                      <w:rFonts w:hint="eastAsia"/>
                    </w:rPr>
                    <w:t>监测指标</w:t>
                  </w:r>
                </w:p>
              </w:tc>
              <w:tc>
                <w:tcPr>
                  <w:tcW w:w="2637" w:type="dxa"/>
                </w:tcPr>
                <w:p>
                  <w:pPr>
                    <w:pStyle w:val="63"/>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36" w:type="dxa"/>
                </w:tcPr>
                <w:p>
                  <w:pPr>
                    <w:pStyle w:val="63"/>
                  </w:pPr>
                  <w:r>
                    <w:rPr>
                      <w:rFonts w:hint="eastAsia"/>
                    </w:rPr>
                    <w:t>除臭装置排气筒</w:t>
                  </w:r>
                </w:p>
              </w:tc>
              <w:tc>
                <w:tcPr>
                  <w:tcW w:w="2665" w:type="dxa"/>
                </w:tcPr>
                <w:p>
                  <w:pPr>
                    <w:pStyle w:val="63"/>
                  </w:pPr>
                  <w:r>
                    <w:rPr>
                      <w:rFonts w:hint="eastAsia"/>
                    </w:rPr>
                    <w:t>臭气浓度、硫化氢、氨</w:t>
                  </w:r>
                </w:p>
              </w:tc>
              <w:tc>
                <w:tcPr>
                  <w:tcW w:w="2637" w:type="dxa"/>
                </w:tcPr>
                <w:p>
                  <w:pPr>
                    <w:pStyle w:val="63"/>
                  </w:pPr>
                  <w:r>
                    <w:rPr>
                      <w:rFonts w:hint="eastAsia"/>
                    </w:rPr>
                    <w:t>半年</w:t>
                  </w:r>
                </w:p>
              </w:tc>
            </w:tr>
          </w:tbl>
          <w:p>
            <w:pPr>
              <w:pStyle w:val="14"/>
              <w:keepNext/>
            </w:pPr>
            <w:bookmarkStart w:id="72" w:name="_Ref170488632"/>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16</w:t>
            </w:r>
            <w:r>
              <w:fldChar w:fldCharType="end"/>
            </w:r>
            <w:bookmarkEnd w:id="72"/>
            <w:r>
              <w:rPr>
                <w:rFonts w:hint="eastAsia"/>
              </w:rPr>
              <w:t xml:space="preserve">   无组织废气排放监测点位、监测指标及最低监测频次</w:t>
            </w:r>
          </w:p>
          <w:tbl>
            <w:tblPr>
              <w:tblStyle w:val="39"/>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3"/>
              <w:gridCol w:w="2905"/>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63" w:type="dxa"/>
                </w:tcPr>
                <w:p>
                  <w:pPr>
                    <w:pStyle w:val="63"/>
                  </w:pPr>
                  <w:r>
                    <w:rPr>
                      <w:rFonts w:hint="eastAsia"/>
                    </w:rPr>
                    <w:t>监测点位</w:t>
                  </w:r>
                </w:p>
              </w:tc>
              <w:tc>
                <w:tcPr>
                  <w:tcW w:w="2905" w:type="dxa"/>
                </w:tcPr>
                <w:p>
                  <w:pPr>
                    <w:pStyle w:val="63"/>
                  </w:pPr>
                  <w:r>
                    <w:rPr>
                      <w:rFonts w:hint="eastAsia"/>
                    </w:rPr>
                    <w:t>监测指标</w:t>
                  </w:r>
                </w:p>
              </w:tc>
              <w:tc>
                <w:tcPr>
                  <w:tcW w:w="1670" w:type="dxa"/>
                </w:tcPr>
                <w:p>
                  <w:pPr>
                    <w:pStyle w:val="63"/>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63" w:type="dxa"/>
                </w:tcPr>
                <w:p>
                  <w:pPr>
                    <w:pStyle w:val="63"/>
                  </w:pPr>
                  <w:r>
                    <w:rPr>
                      <w:rFonts w:hint="eastAsia"/>
                    </w:rPr>
                    <w:t>厂界或防护带边缘的浓度最高点</w:t>
                  </w:r>
                  <w:r>
                    <w:rPr>
                      <w:rFonts w:hint="eastAsia"/>
                      <w:vertAlign w:val="superscript"/>
                    </w:rPr>
                    <w:t>a</w:t>
                  </w:r>
                </w:p>
              </w:tc>
              <w:tc>
                <w:tcPr>
                  <w:tcW w:w="2905" w:type="dxa"/>
                </w:tcPr>
                <w:p>
                  <w:pPr>
                    <w:pStyle w:val="63"/>
                  </w:pPr>
                  <w:r>
                    <w:rPr>
                      <w:rFonts w:hint="eastAsia"/>
                    </w:rPr>
                    <w:t>氨、硫化氢、臭气浓度</w:t>
                  </w:r>
                </w:p>
              </w:tc>
              <w:tc>
                <w:tcPr>
                  <w:tcW w:w="1670" w:type="dxa"/>
                </w:tcPr>
                <w:p>
                  <w:pPr>
                    <w:pStyle w:val="63"/>
                  </w:pPr>
                  <w:r>
                    <w:rPr>
                      <w:rFonts w:hint="eastAsia"/>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63" w:type="dxa"/>
                </w:tcPr>
                <w:p>
                  <w:pPr>
                    <w:pStyle w:val="63"/>
                  </w:pPr>
                  <w:r>
                    <w:rPr>
                      <w:rFonts w:hint="eastAsia"/>
                    </w:rPr>
                    <w:t>厂区甲烷体积浓度最高处</w:t>
                  </w:r>
                  <w:r>
                    <w:rPr>
                      <w:rFonts w:hint="eastAsia"/>
                      <w:vertAlign w:val="superscript"/>
                    </w:rPr>
                    <w:t>b</w:t>
                  </w:r>
                </w:p>
              </w:tc>
              <w:tc>
                <w:tcPr>
                  <w:tcW w:w="2905" w:type="dxa"/>
                </w:tcPr>
                <w:p>
                  <w:pPr>
                    <w:pStyle w:val="63"/>
                  </w:pPr>
                  <w:r>
                    <w:rPr>
                      <w:rFonts w:hint="eastAsia"/>
                    </w:rPr>
                    <w:t>甲烷</w:t>
                  </w:r>
                  <w:r>
                    <w:rPr>
                      <w:rFonts w:hint="eastAsia"/>
                      <w:vertAlign w:val="superscript"/>
                    </w:rPr>
                    <w:t>c</w:t>
                  </w:r>
                </w:p>
              </w:tc>
              <w:tc>
                <w:tcPr>
                  <w:tcW w:w="1670" w:type="dxa"/>
                </w:tcPr>
                <w:p>
                  <w:pPr>
                    <w:pStyle w:val="63"/>
                  </w:pPr>
                  <w:r>
                    <w:rPr>
                      <w:rFonts w:hint="eastAsia"/>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8" w:type="dxa"/>
                  <w:gridSpan w:val="3"/>
                </w:tcPr>
                <w:p>
                  <w:pPr>
                    <w:pStyle w:val="64"/>
                  </w:pPr>
                  <w:r>
                    <w:rPr>
                      <w:rFonts w:hint="eastAsia"/>
                    </w:rPr>
                    <w:t>a防护带边缘的浓度最高点，通常位于靠近污泥脱水机房附近。</w:t>
                  </w:r>
                </w:p>
                <w:p>
                  <w:pPr>
                    <w:pStyle w:val="64"/>
                  </w:pPr>
                  <w:r>
                    <w:t>B</w:t>
                  </w:r>
                  <w:r>
                    <w:rPr>
                      <w:rFonts w:hint="eastAsia"/>
                    </w:rPr>
                    <w:t>通常位于格栅、初沉池、污泥消化池、污泥浓缩池、污泥脱水机房等位置，选取浓度最高点设置监测点位。</w:t>
                  </w:r>
                </w:p>
                <w:p>
                  <w:pPr>
                    <w:pStyle w:val="64"/>
                  </w:pPr>
                  <w:r>
                    <w:t>C</w:t>
                  </w:r>
                  <w:r>
                    <w:rPr>
                      <w:rFonts w:hint="eastAsia"/>
                    </w:rPr>
                    <w:t>，执行GB18918的排污单位执行</w:t>
                  </w:r>
                </w:p>
              </w:tc>
            </w:tr>
          </w:tbl>
          <w:p>
            <w:pPr>
              <w:pStyle w:val="5"/>
              <w:ind w:firstLine="480"/>
            </w:pPr>
          </w:p>
          <w:p>
            <w:pPr>
              <w:pStyle w:val="6"/>
              <w:spacing w:before="120" w:after="120"/>
            </w:pPr>
            <w:r>
              <w:rPr>
                <w:rFonts w:hint="eastAsia"/>
              </w:rPr>
              <w:t>影响分析结论</w:t>
            </w:r>
          </w:p>
          <w:p>
            <w:pPr>
              <w:pStyle w:val="5"/>
              <w:ind w:firstLine="480"/>
            </w:pPr>
            <w:r>
              <w:t>本项目运营期产生的大气污染物主要为污水处理区和污泥处理区产生的臭气</w:t>
            </w:r>
            <w:r>
              <w:rPr>
                <w:rFonts w:hint="eastAsia"/>
              </w:rPr>
              <w:t>，项目采取构筑物加盖收集，收集废气生物除臭处理后排放，同时加强厂区绿化，同时加强管理，减少臭气物质排放，所以项目营运排放的氨和硫化氢对周围空气环境影响小，环境可接受。</w:t>
            </w:r>
          </w:p>
          <w:p>
            <w:pPr>
              <w:pStyle w:val="4"/>
              <w:spacing w:before="120" w:after="120"/>
            </w:pPr>
            <w:r>
              <w:rPr>
                <w:rFonts w:hint="eastAsia"/>
              </w:rPr>
              <w:t>废水</w:t>
            </w:r>
          </w:p>
          <w:p>
            <w:pPr>
              <w:pStyle w:val="5"/>
              <w:ind w:firstLine="480"/>
            </w:pPr>
            <w:r>
              <w:rPr>
                <w:rFonts w:hint="eastAsia"/>
              </w:rPr>
              <w:t>根据本评价地表水专项评价内容，项目处理工艺为预处理+二级处理+深度处理+消毒，污水达到《城镇污水处理厂污染物排放标准》（GB18918-2002）一级A标准后排入朱衣河，项目的实施利于水体水质的保护，具有较大的环境正效益。当污水处理厂正常运行，出水水质满足《城镇污水处理厂污染物排放标准》（</w:t>
            </w:r>
            <w:r>
              <w:t>GB18918-2002）一级A标准，排放口下游河段COD、NH</w:t>
            </w:r>
            <w:r>
              <w:rPr>
                <w:vertAlign w:val="subscript"/>
              </w:rPr>
              <w:t>3</w:t>
            </w:r>
            <w:r>
              <w:t>-N、TP均满足《地表水环境质量标准》（GB3838-2002)III类水质标准。</w:t>
            </w:r>
            <w:r>
              <w:rPr>
                <w:rFonts w:hint="eastAsia"/>
              </w:rPr>
              <w:t>项目供电采用单电源+备用电源供电，工作电源与备用电源满足全厂</w:t>
            </w:r>
            <w:r>
              <w:t>100%负荷供电，</w:t>
            </w:r>
            <w:r>
              <w:rPr>
                <w:rFonts w:hint="eastAsia"/>
              </w:rPr>
              <w:t>其次项目水处理构筑物采用多套并联运行，同时厂区内设置事故池可暂存收集污水，当出现事故情况时可将多余污水导入事故池内暂存，并使用剩余构筑物和事故应急处理构筑物保证污水处理，不会发生事故期间污水未经处理排放，并及时进行设施设备修复，事故情况时间持续短。所以项目发生事故情况下项目排水可控。</w:t>
            </w:r>
          </w:p>
          <w:p>
            <w:pPr>
              <w:pStyle w:val="4"/>
              <w:spacing w:before="120" w:after="120"/>
            </w:pPr>
            <w:r>
              <w:rPr>
                <w:rFonts w:hint="eastAsia"/>
              </w:rPr>
              <w:t>噪声</w:t>
            </w:r>
          </w:p>
          <w:p>
            <w:pPr>
              <w:pStyle w:val="6"/>
              <w:spacing w:before="120" w:after="120"/>
            </w:pPr>
            <w:r>
              <w:rPr>
                <w:rFonts w:hint="eastAsia"/>
              </w:rPr>
              <w:t>噪声源强</w:t>
            </w:r>
          </w:p>
          <w:p>
            <w:pPr>
              <w:pStyle w:val="5"/>
              <w:ind w:firstLine="480"/>
            </w:pPr>
            <w:r>
              <w:rPr>
                <w:rFonts w:hint="eastAsia"/>
              </w:rPr>
              <w:t>运营期主要噪声源主要为污水处理厂的泵类、风机、空压机等，噪声值在70</w:t>
            </w:r>
            <w:r>
              <w:t>~</w:t>
            </w:r>
            <w:r>
              <w:rPr>
                <w:rFonts w:hint="eastAsia"/>
              </w:rPr>
              <w:t>85</w:t>
            </w:r>
            <w:r>
              <w:t>dB。</w:t>
            </w:r>
            <w:r>
              <w:rPr>
                <w:rFonts w:hint="eastAsia"/>
              </w:rPr>
              <w:t>室内、室外噪声源强见</w:t>
            </w:r>
            <w:r>
              <w:fldChar w:fldCharType="begin"/>
            </w:r>
            <w:r>
              <w:instrText xml:space="preserve"> </w:instrText>
            </w:r>
            <w:r>
              <w:rPr>
                <w:rFonts w:hint="eastAsia"/>
              </w:rPr>
              <w:instrText xml:space="preserve">REF _Ref171501484 \h</w:instrText>
            </w:r>
            <w:r>
              <w:instrText xml:space="preserve"> </w:instrText>
            </w:r>
            <w:r>
              <w:fldChar w:fldCharType="separate"/>
            </w:r>
            <w:r>
              <w:t>表 4.2</w:t>
            </w:r>
            <w:r>
              <w:noBreakHyphen/>
            </w:r>
            <w:r>
              <w:t>17</w:t>
            </w:r>
            <w:r>
              <w:fldChar w:fldCharType="end"/>
            </w:r>
            <w:r>
              <w:rPr>
                <w:rFonts w:hint="eastAsia"/>
              </w:rPr>
              <w:t>、</w:t>
            </w:r>
            <w:r>
              <w:fldChar w:fldCharType="begin"/>
            </w:r>
            <w:r>
              <w:instrText xml:space="preserve"> </w:instrText>
            </w:r>
            <w:r>
              <w:rPr>
                <w:rFonts w:hint="eastAsia"/>
              </w:rPr>
              <w:instrText xml:space="preserve">REF _Ref171501497 \h</w:instrText>
            </w:r>
            <w:r>
              <w:instrText xml:space="preserve"> </w:instrText>
            </w:r>
            <w:r>
              <w:fldChar w:fldCharType="separate"/>
            </w:r>
            <w:r>
              <w:t>表 4.2</w:t>
            </w:r>
            <w:r>
              <w:noBreakHyphen/>
            </w:r>
            <w:r>
              <w:t>18</w:t>
            </w:r>
            <w:r>
              <w:fldChar w:fldCharType="end"/>
            </w:r>
            <w:r>
              <w:rPr>
                <w:rFonts w:hint="eastAsia"/>
              </w:rPr>
              <w:t>。</w:t>
            </w:r>
          </w:p>
        </w:tc>
      </w:tr>
    </w:tbl>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14"/>
        <w:keepNext/>
      </w:pPr>
      <w:bookmarkStart w:id="73" w:name="_Ref171501484"/>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17</w:t>
      </w:r>
      <w:r>
        <w:fldChar w:fldCharType="end"/>
      </w:r>
      <w:bookmarkEnd w:id="73"/>
      <w:r>
        <w:rPr>
          <w:rFonts w:hint="eastAsia"/>
        </w:rPr>
        <w:t xml:space="preserve">   工业企业噪声源强调查清单（室内声源）</w:t>
      </w:r>
    </w:p>
    <w:tbl>
      <w:tblPr>
        <w:tblStyle w:val="39"/>
        <w:tblW w:w="13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139"/>
        <w:gridCol w:w="1110"/>
        <w:gridCol w:w="2135"/>
        <w:gridCol w:w="549"/>
        <w:gridCol w:w="546"/>
        <w:gridCol w:w="530"/>
        <w:gridCol w:w="1027"/>
        <w:gridCol w:w="1394"/>
        <w:gridCol w:w="1048"/>
        <w:gridCol w:w="1136"/>
        <w:gridCol w:w="1043"/>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vMerge w:val="restart"/>
            <w:noWrap/>
            <w:vAlign w:val="center"/>
          </w:tcPr>
          <w:p>
            <w:pPr>
              <w:pStyle w:val="63"/>
              <w:rPr>
                <w:rFonts w:hint="eastAsia" w:ascii="宋体" w:hAnsi="宋体" w:cs="宋体"/>
                <w:szCs w:val="21"/>
              </w:rPr>
            </w:pPr>
            <w:r>
              <w:rPr>
                <w:rFonts w:hint="eastAsia"/>
                <w:szCs w:val="21"/>
              </w:rPr>
              <w:t>序号</w:t>
            </w:r>
          </w:p>
        </w:tc>
        <w:tc>
          <w:tcPr>
            <w:tcW w:w="1139" w:type="dxa"/>
            <w:vMerge w:val="restart"/>
            <w:noWrap/>
            <w:vAlign w:val="center"/>
          </w:tcPr>
          <w:p>
            <w:pPr>
              <w:pStyle w:val="63"/>
              <w:rPr>
                <w:szCs w:val="21"/>
              </w:rPr>
            </w:pPr>
            <w:r>
              <w:rPr>
                <w:rFonts w:hint="eastAsia"/>
                <w:szCs w:val="21"/>
              </w:rPr>
              <w:t>建筑物名称</w:t>
            </w:r>
          </w:p>
        </w:tc>
        <w:tc>
          <w:tcPr>
            <w:tcW w:w="1110" w:type="dxa"/>
            <w:vMerge w:val="restart"/>
            <w:noWrap/>
            <w:vAlign w:val="center"/>
          </w:tcPr>
          <w:p>
            <w:pPr>
              <w:pStyle w:val="63"/>
              <w:rPr>
                <w:szCs w:val="21"/>
              </w:rPr>
            </w:pPr>
            <w:r>
              <w:rPr>
                <w:rFonts w:hint="eastAsia"/>
                <w:szCs w:val="21"/>
              </w:rPr>
              <w:t>声源名称</w:t>
            </w:r>
          </w:p>
        </w:tc>
        <w:tc>
          <w:tcPr>
            <w:tcW w:w="2135" w:type="dxa"/>
            <w:noWrap/>
            <w:vAlign w:val="center"/>
          </w:tcPr>
          <w:p>
            <w:pPr>
              <w:pStyle w:val="63"/>
              <w:rPr>
                <w:szCs w:val="21"/>
              </w:rPr>
            </w:pPr>
            <w:r>
              <w:rPr>
                <w:rFonts w:hint="eastAsia"/>
                <w:szCs w:val="21"/>
              </w:rPr>
              <w:t>声源源强</w:t>
            </w:r>
          </w:p>
        </w:tc>
        <w:tc>
          <w:tcPr>
            <w:tcW w:w="1625" w:type="dxa"/>
            <w:gridSpan w:val="3"/>
            <w:noWrap/>
            <w:vAlign w:val="center"/>
          </w:tcPr>
          <w:p>
            <w:pPr>
              <w:pStyle w:val="63"/>
              <w:rPr>
                <w:szCs w:val="21"/>
              </w:rPr>
            </w:pPr>
            <w:r>
              <w:rPr>
                <w:rFonts w:hint="eastAsia"/>
                <w:szCs w:val="21"/>
              </w:rPr>
              <w:t>空间相对位置/m</w:t>
            </w:r>
          </w:p>
        </w:tc>
        <w:tc>
          <w:tcPr>
            <w:tcW w:w="1027" w:type="dxa"/>
            <w:vMerge w:val="restart"/>
            <w:noWrap/>
            <w:vAlign w:val="center"/>
          </w:tcPr>
          <w:p>
            <w:pPr>
              <w:pStyle w:val="63"/>
              <w:rPr>
                <w:szCs w:val="21"/>
              </w:rPr>
            </w:pPr>
            <w:r>
              <w:rPr>
                <w:rFonts w:hint="eastAsia"/>
                <w:szCs w:val="21"/>
              </w:rPr>
              <w:t>距室内边界距离/m</w:t>
            </w:r>
          </w:p>
        </w:tc>
        <w:tc>
          <w:tcPr>
            <w:tcW w:w="1394" w:type="dxa"/>
            <w:vMerge w:val="restart"/>
            <w:noWrap/>
            <w:vAlign w:val="center"/>
          </w:tcPr>
          <w:p>
            <w:pPr>
              <w:pStyle w:val="63"/>
              <w:rPr>
                <w:szCs w:val="21"/>
              </w:rPr>
            </w:pPr>
            <w:r>
              <w:rPr>
                <w:rFonts w:hint="eastAsia"/>
                <w:szCs w:val="21"/>
              </w:rPr>
              <w:t>室内边界声级/dB（A）</w:t>
            </w:r>
          </w:p>
        </w:tc>
        <w:tc>
          <w:tcPr>
            <w:tcW w:w="1048" w:type="dxa"/>
            <w:vMerge w:val="restart"/>
            <w:noWrap/>
            <w:vAlign w:val="center"/>
          </w:tcPr>
          <w:p>
            <w:pPr>
              <w:pStyle w:val="63"/>
              <w:rPr>
                <w:szCs w:val="21"/>
              </w:rPr>
            </w:pPr>
            <w:r>
              <w:rPr>
                <w:rFonts w:hint="eastAsia"/>
                <w:szCs w:val="21"/>
              </w:rPr>
              <w:t>运行时段</w:t>
            </w:r>
          </w:p>
        </w:tc>
        <w:tc>
          <w:tcPr>
            <w:tcW w:w="1136" w:type="dxa"/>
            <w:vMerge w:val="restart"/>
            <w:noWrap/>
            <w:vAlign w:val="center"/>
          </w:tcPr>
          <w:p>
            <w:pPr>
              <w:pStyle w:val="63"/>
              <w:rPr>
                <w:szCs w:val="21"/>
              </w:rPr>
            </w:pPr>
            <w:r>
              <w:rPr>
                <w:rFonts w:hint="eastAsia"/>
                <w:szCs w:val="21"/>
              </w:rPr>
              <w:t>建筑物插入损失/dB（A）</w:t>
            </w:r>
          </w:p>
        </w:tc>
        <w:tc>
          <w:tcPr>
            <w:tcW w:w="1948" w:type="dxa"/>
            <w:gridSpan w:val="2"/>
            <w:noWrap/>
            <w:vAlign w:val="center"/>
          </w:tcPr>
          <w:p>
            <w:pPr>
              <w:pStyle w:val="63"/>
              <w:rPr>
                <w:szCs w:val="21"/>
              </w:rPr>
            </w:pPr>
            <w:r>
              <w:rPr>
                <w:rFonts w:hint="eastAsia"/>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vMerge w:val="continue"/>
            <w:noWrap/>
            <w:vAlign w:val="center"/>
          </w:tcPr>
          <w:p>
            <w:pPr>
              <w:pStyle w:val="63"/>
              <w:rPr>
                <w:szCs w:val="21"/>
              </w:rPr>
            </w:pPr>
          </w:p>
        </w:tc>
        <w:tc>
          <w:tcPr>
            <w:tcW w:w="1139" w:type="dxa"/>
            <w:vMerge w:val="continue"/>
            <w:noWrap/>
            <w:vAlign w:val="center"/>
          </w:tcPr>
          <w:p>
            <w:pPr>
              <w:pStyle w:val="63"/>
              <w:rPr>
                <w:rFonts w:eastAsia="Times New Roman" w:cs="Times New Roman"/>
                <w:szCs w:val="21"/>
              </w:rPr>
            </w:pPr>
          </w:p>
        </w:tc>
        <w:tc>
          <w:tcPr>
            <w:tcW w:w="1110" w:type="dxa"/>
            <w:vMerge w:val="continue"/>
            <w:noWrap/>
            <w:vAlign w:val="center"/>
          </w:tcPr>
          <w:p>
            <w:pPr>
              <w:pStyle w:val="63"/>
              <w:rPr>
                <w:rFonts w:eastAsia="Times New Roman" w:cs="Times New Roman"/>
                <w:szCs w:val="21"/>
              </w:rPr>
            </w:pPr>
          </w:p>
        </w:tc>
        <w:tc>
          <w:tcPr>
            <w:tcW w:w="2135" w:type="dxa"/>
            <w:noWrap/>
            <w:vAlign w:val="center"/>
          </w:tcPr>
          <w:p>
            <w:pPr>
              <w:pStyle w:val="63"/>
              <w:rPr>
                <w:rFonts w:hint="eastAsia" w:ascii="宋体" w:hAnsi="宋体" w:cs="宋体"/>
                <w:szCs w:val="21"/>
              </w:rPr>
            </w:pPr>
            <w:r>
              <w:rPr>
                <w:rFonts w:hint="eastAsia"/>
                <w:szCs w:val="21"/>
              </w:rPr>
              <w:t>声压级/距声源距离）/（dB（A）/m）</w:t>
            </w:r>
          </w:p>
        </w:tc>
        <w:tc>
          <w:tcPr>
            <w:tcW w:w="549" w:type="dxa"/>
            <w:noWrap/>
            <w:vAlign w:val="center"/>
          </w:tcPr>
          <w:p>
            <w:pPr>
              <w:pStyle w:val="63"/>
              <w:rPr>
                <w:szCs w:val="21"/>
              </w:rPr>
            </w:pPr>
            <w:r>
              <w:rPr>
                <w:rFonts w:hint="eastAsia"/>
                <w:szCs w:val="21"/>
              </w:rPr>
              <w:t>X</w:t>
            </w:r>
          </w:p>
        </w:tc>
        <w:tc>
          <w:tcPr>
            <w:tcW w:w="546" w:type="dxa"/>
            <w:noWrap/>
            <w:vAlign w:val="center"/>
          </w:tcPr>
          <w:p>
            <w:pPr>
              <w:pStyle w:val="63"/>
              <w:rPr>
                <w:szCs w:val="21"/>
              </w:rPr>
            </w:pPr>
            <w:r>
              <w:rPr>
                <w:rFonts w:hint="eastAsia"/>
                <w:szCs w:val="21"/>
              </w:rPr>
              <w:t>Y</w:t>
            </w:r>
          </w:p>
        </w:tc>
        <w:tc>
          <w:tcPr>
            <w:tcW w:w="530" w:type="dxa"/>
            <w:noWrap/>
            <w:vAlign w:val="center"/>
          </w:tcPr>
          <w:p>
            <w:pPr>
              <w:pStyle w:val="63"/>
              <w:rPr>
                <w:szCs w:val="21"/>
              </w:rPr>
            </w:pPr>
            <w:r>
              <w:rPr>
                <w:rFonts w:hint="eastAsia"/>
                <w:szCs w:val="21"/>
              </w:rPr>
              <w:t>Z</w:t>
            </w:r>
          </w:p>
        </w:tc>
        <w:tc>
          <w:tcPr>
            <w:tcW w:w="1027" w:type="dxa"/>
            <w:vMerge w:val="continue"/>
            <w:noWrap/>
            <w:vAlign w:val="center"/>
          </w:tcPr>
          <w:p>
            <w:pPr>
              <w:pStyle w:val="63"/>
              <w:rPr>
                <w:szCs w:val="21"/>
              </w:rPr>
            </w:pPr>
          </w:p>
        </w:tc>
        <w:tc>
          <w:tcPr>
            <w:tcW w:w="1394" w:type="dxa"/>
            <w:vMerge w:val="continue"/>
            <w:noWrap/>
            <w:vAlign w:val="center"/>
          </w:tcPr>
          <w:p>
            <w:pPr>
              <w:pStyle w:val="63"/>
              <w:rPr>
                <w:szCs w:val="21"/>
              </w:rPr>
            </w:pPr>
          </w:p>
        </w:tc>
        <w:tc>
          <w:tcPr>
            <w:tcW w:w="1048" w:type="dxa"/>
            <w:vMerge w:val="continue"/>
            <w:noWrap/>
            <w:vAlign w:val="center"/>
          </w:tcPr>
          <w:p>
            <w:pPr>
              <w:pStyle w:val="63"/>
              <w:rPr>
                <w:szCs w:val="21"/>
              </w:rPr>
            </w:pPr>
          </w:p>
        </w:tc>
        <w:tc>
          <w:tcPr>
            <w:tcW w:w="1136" w:type="dxa"/>
            <w:vMerge w:val="continue"/>
            <w:noWrap/>
            <w:vAlign w:val="center"/>
          </w:tcPr>
          <w:p>
            <w:pPr>
              <w:pStyle w:val="63"/>
              <w:rPr>
                <w:szCs w:val="21"/>
              </w:rPr>
            </w:pPr>
          </w:p>
        </w:tc>
        <w:tc>
          <w:tcPr>
            <w:tcW w:w="1043" w:type="dxa"/>
            <w:noWrap/>
            <w:vAlign w:val="center"/>
          </w:tcPr>
          <w:p>
            <w:pPr>
              <w:pStyle w:val="63"/>
              <w:rPr>
                <w:szCs w:val="21"/>
              </w:rPr>
            </w:pPr>
            <w:r>
              <w:rPr>
                <w:rFonts w:hint="eastAsia"/>
                <w:szCs w:val="21"/>
              </w:rPr>
              <w:t>声压级/dB（A）</w:t>
            </w:r>
          </w:p>
        </w:tc>
        <w:tc>
          <w:tcPr>
            <w:tcW w:w="905" w:type="dxa"/>
            <w:noWrap/>
            <w:vAlign w:val="center"/>
          </w:tcPr>
          <w:p>
            <w:pPr>
              <w:pStyle w:val="63"/>
              <w:rPr>
                <w:szCs w:val="21"/>
              </w:rPr>
            </w:pPr>
            <w:r>
              <w:rPr>
                <w:rFonts w:hint="eastAsia"/>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PAC投料泵1</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113</w:t>
            </w:r>
          </w:p>
        </w:tc>
        <w:tc>
          <w:tcPr>
            <w:tcW w:w="546" w:type="dxa"/>
            <w:noWrap/>
            <w:vAlign w:val="center"/>
          </w:tcPr>
          <w:p>
            <w:pPr>
              <w:pStyle w:val="63"/>
              <w:rPr>
                <w:szCs w:val="21"/>
              </w:rPr>
            </w:pPr>
            <w:r>
              <w:rPr>
                <w:rFonts w:hint="eastAsia"/>
                <w:szCs w:val="21"/>
              </w:rPr>
              <w:t>20</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11.79</w:t>
            </w:r>
          </w:p>
        </w:tc>
        <w:tc>
          <w:tcPr>
            <w:tcW w:w="1394" w:type="dxa"/>
            <w:noWrap/>
            <w:vAlign w:val="center"/>
          </w:tcPr>
          <w:p>
            <w:pPr>
              <w:pStyle w:val="63"/>
              <w:rPr>
                <w:szCs w:val="21"/>
              </w:rPr>
            </w:pPr>
            <w:r>
              <w:rPr>
                <w:rFonts w:hint="eastAsia"/>
                <w:szCs w:val="21"/>
              </w:rPr>
              <w:t>76.4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PAC投料泵2</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112</w:t>
            </w:r>
          </w:p>
        </w:tc>
        <w:tc>
          <w:tcPr>
            <w:tcW w:w="546" w:type="dxa"/>
            <w:noWrap/>
            <w:vAlign w:val="center"/>
          </w:tcPr>
          <w:p>
            <w:pPr>
              <w:pStyle w:val="63"/>
              <w:rPr>
                <w:szCs w:val="21"/>
              </w:rPr>
            </w:pPr>
            <w:r>
              <w:rPr>
                <w:rFonts w:hint="eastAsia"/>
                <w:szCs w:val="21"/>
              </w:rPr>
              <w:t>20</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10.15</w:t>
            </w:r>
          </w:p>
        </w:tc>
        <w:tc>
          <w:tcPr>
            <w:tcW w:w="1394" w:type="dxa"/>
            <w:noWrap/>
            <w:vAlign w:val="center"/>
          </w:tcPr>
          <w:p>
            <w:pPr>
              <w:pStyle w:val="63"/>
              <w:rPr>
                <w:szCs w:val="21"/>
              </w:rPr>
            </w:pPr>
            <w:r>
              <w:rPr>
                <w:rFonts w:hint="eastAsia"/>
                <w:szCs w:val="21"/>
              </w:rPr>
              <w:t>76.4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PAC投料泵3</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110</w:t>
            </w:r>
          </w:p>
        </w:tc>
        <w:tc>
          <w:tcPr>
            <w:tcW w:w="546" w:type="dxa"/>
            <w:noWrap/>
            <w:vAlign w:val="center"/>
          </w:tcPr>
          <w:p>
            <w:pPr>
              <w:pStyle w:val="63"/>
              <w:rPr>
                <w:szCs w:val="21"/>
              </w:rPr>
            </w:pPr>
            <w:r>
              <w:rPr>
                <w:rFonts w:hint="eastAsia"/>
                <w:szCs w:val="21"/>
              </w:rPr>
              <w:t>21</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8.44</w:t>
            </w:r>
          </w:p>
        </w:tc>
        <w:tc>
          <w:tcPr>
            <w:tcW w:w="1394" w:type="dxa"/>
            <w:noWrap/>
            <w:vAlign w:val="center"/>
          </w:tcPr>
          <w:p>
            <w:pPr>
              <w:pStyle w:val="63"/>
              <w:rPr>
                <w:szCs w:val="21"/>
              </w:rPr>
            </w:pPr>
            <w:r>
              <w:rPr>
                <w:rFonts w:hint="eastAsia"/>
                <w:szCs w:val="21"/>
              </w:rPr>
              <w:t>76.5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PAC投料泵4</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109</w:t>
            </w:r>
          </w:p>
        </w:tc>
        <w:tc>
          <w:tcPr>
            <w:tcW w:w="546" w:type="dxa"/>
            <w:noWrap/>
            <w:vAlign w:val="center"/>
          </w:tcPr>
          <w:p>
            <w:pPr>
              <w:pStyle w:val="63"/>
              <w:rPr>
                <w:szCs w:val="21"/>
              </w:rPr>
            </w:pPr>
            <w:r>
              <w:rPr>
                <w:rFonts w:hint="eastAsia"/>
                <w:szCs w:val="21"/>
              </w:rPr>
              <w:t>22</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6.68</w:t>
            </w:r>
          </w:p>
        </w:tc>
        <w:tc>
          <w:tcPr>
            <w:tcW w:w="1394" w:type="dxa"/>
            <w:noWrap/>
            <w:vAlign w:val="center"/>
          </w:tcPr>
          <w:p>
            <w:pPr>
              <w:pStyle w:val="63"/>
              <w:rPr>
                <w:szCs w:val="21"/>
              </w:rPr>
            </w:pPr>
            <w:r>
              <w:rPr>
                <w:rFonts w:hint="eastAsia"/>
                <w:szCs w:val="21"/>
              </w:rPr>
              <w:t>76.5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PAC投料泵5</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107</w:t>
            </w:r>
          </w:p>
        </w:tc>
        <w:tc>
          <w:tcPr>
            <w:tcW w:w="546" w:type="dxa"/>
            <w:noWrap/>
            <w:vAlign w:val="center"/>
          </w:tcPr>
          <w:p>
            <w:pPr>
              <w:pStyle w:val="63"/>
              <w:rPr>
                <w:szCs w:val="21"/>
              </w:rPr>
            </w:pPr>
            <w:r>
              <w:rPr>
                <w:rFonts w:hint="eastAsia"/>
                <w:szCs w:val="21"/>
              </w:rPr>
              <w:t>23</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4.66</w:t>
            </w:r>
          </w:p>
        </w:tc>
        <w:tc>
          <w:tcPr>
            <w:tcW w:w="1394" w:type="dxa"/>
            <w:noWrap/>
            <w:vAlign w:val="center"/>
          </w:tcPr>
          <w:p>
            <w:pPr>
              <w:pStyle w:val="63"/>
              <w:rPr>
                <w:szCs w:val="21"/>
              </w:rPr>
            </w:pPr>
            <w:r>
              <w:rPr>
                <w:rFonts w:hint="eastAsia"/>
                <w:szCs w:val="21"/>
              </w:rPr>
              <w:t>76.6</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50.6</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PAM投料泵1</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114</w:t>
            </w:r>
          </w:p>
        </w:tc>
        <w:tc>
          <w:tcPr>
            <w:tcW w:w="546" w:type="dxa"/>
            <w:noWrap/>
            <w:vAlign w:val="center"/>
          </w:tcPr>
          <w:p>
            <w:pPr>
              <w:pStyle w:val="63"/>
              <w:rPr>
                <w:szCs w:val="21"/>
              </w:rPr>
            </w:pPr>
            <w:r>
              <w:rPr>
                <w:rFonts w:hint="eastAsia"/>
                <w:szCs w:val="21"/>
              </w:rPr>
              <w:t>21</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11.82</w:t>
            </w:r>
          </w:p>
        </w:tc>
        <w:tc>
          <w:tcPr>
            <w:tcW w:w="1394" w:type="dxa"/>
            <w:noWrap/>
            <w:vAlign w:val="center"/>
          </w:tcPr>
          <w:p>
            <w:pPr>
              <w:pStyle w:val="63"/>
              <w:rPr>
                <w:szCs w:val="21"/>
              </w:rPr>
            </w:pPr>
            <w:r>
              <w:rPr>
                <w:rFonts w:hint="eastAsia"/>
                <w:szCs w:val="21"/>
              </w:rPr>
              <w:t>76.4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PAM投料泵2</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116</w:t>
            </w:r>
          </w:p>
        </w:tc>
        <w:tc>
          <w:tcPr>
            <w:tcW w:w="546" w:type="dxa"/>
            <w:noWrap/>
            <w:vAlign w:val="center"/>
          </w:tcPr>
          <w:p>
            <w:pPr>
              <w:pStyle w:val="63"/>
              <w:rPr>
                <w:szCs w:val="21"/>
              </w:rPr>
            </w:pPr>
            <w:r>
              <w:rPr>
                <w:rFonts w:hint="eastAsia"/>
                <w:szCs w:val="21"/>
              </w:rPr>
              <w:t>21</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13.68</w:t>
            </w:r>
          </w:p>
        </w:tc>
        <w:tc>
          <w:tcPr>
            <w:tcW w:w="1394" w:type="dxa"/>
            <w:noWrap/>
            <w:vAlign w:val="center"/>
          </w:tcPr>
          <w:p>
            <w:pPr>
              <w:pStyle w:val="63"/>
              <w:rPr>
                <w:szCs w:val="21"/>
              </w:rPr>
            </w:pPr>
            <w:r>
              <w:rPr>
                <w:rFonts w:hint="eastAsia"/>
                <w:szCs w:val="21"/>
              </w:rPr>
              <w:t>76.4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PAM投料泵3</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118</w:t>
            </w:r>
          </w:p>
        </w:tc>
        <w:tc>
          <w:tcPr>
            <w:tcW w:w="546" w:type="dxa"/>
            <w:noWrap/>
            <w:vAlign w:val="center"/>
          </w:tcPr>
          <w:p>
            <w:pPr>
              <w:pStyle w:val="63"/>
              <w:rPr>
                <w:szCs w:val="21"/>
              </w:rPr>
            </w:pPr>
            <w:r>
              <w:rPr>
                <w:rFonts w:hint="eastAsia"/>
                <w:szCs w:val="21"/>
              </w:rPr>
              <w:t>20</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15.58</w:t>
            </w:r>
          </w:p>
        </w:tc>
        <w:tc>
          <w:tcPr>
            <w:tcW w:w="1394" w:type="dxa"/>
            <w:noWrap/>
            <w:vAlign w:val="center"/>
          </w:tcPr>
          <w:p>
            <w:pPr>
              <w:pStyle w:val="63"/>
              <w:rPr>
                <w:szCs w:val="21"/>
              </w:rPr>
            </w:pPr>
            <w:r>
              <w:rPr>
                <w:rFonts w:hint="eastAsia"/>
                <w:szCs w:val="21"/>
              </w:rPr>
              <w:t>76.4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PAM投料泵4</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117</w:t>
            </w:r>
          </w:p>
        </w:tc>
        <w:tc>
          <w:tcPr>
            <w:tcW w:w="546" w:type="dxa"/>
            <w:noWrap/>
            <w:vAlign w:val="center"/>
          </w:tcPr>
          <w:p>
            <w:pPr>
              <w:pStyle w:val="63"/>
              <w:rPr>
                <w:szCs w:val="21"/>
              </w:rPr>
            </w:pPr>
            <w:r>
              <w:rPr>
                <w:rFonts w:hint="eastAsia"/>
                <w:szCs w:val="21"/>
              </w:rPr>
              <w:t>18</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16.07</w:t>
            </w:r>
          </w:p>
        </w:tc>
        <w:tc>
          <w:tcPr>
            <w:tcW w:w="1394" w:type="dxa"/>
            <w:noWrap/>
            <w:vAlign w:val="center"/>
          </w:tcPr>
          <w:p>
            <w:pPr>
              <w:pStyle w:val="63"/>
              <w:rPr>
                <w:szCs w:val="21"/>
              </w:rPr>
            </w:pPr>
            <w:r>
              <w:rPr>
                <w:rFonts w:hint="eastAsia"/>
                <w:szCs w:val="21"/>
              </w:rPr>
              <w:t>76.4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PAM投料泵5</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114</w:t>
            </w:r>
          </w:p>
        </w:tc>
        <w:tc>
          <w:tcPr>
            <w:tcW w:w="546" w:type="dxa"/>
            <w:noWrap/>
            <w:vAlign w:val="center"/>
          </w:tcPr>
          <w:p>
            <w:pPr>
              <w:pStyle w:val="63"/>
              <w:rPr>
                <w:szCs w:val="21"/>
              </w:rPr>
            </w:pPr>
            <w:r>
              <w:rPr>
                <w:rFonts w:hint="eastAsia"/>
                <w:szCs w:val="21"/>
              </w:rPr>
              <w:t>19</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13.38</w:t>
            </w:r>
          </w:p>
        </w:tc>
        <w:tc>
          <w:tcPr>
            <w:tcW w:w="1394" w:type="dxa"/>
            <w:noWrap/>
            <w:vAlign w:val="center"/>
          </w:tcPr>
          <w:p>
            <w:pPr>
              <w:pStyle w:val="63"/>
              <w:rPr>
                <w:szCs w:val="21"/>
              </w:rPr>
            </w:pPr>
            <w:r>
              <w:rPr>
                <w:rFonts w:hint="eastAsia"/>
                <w:szCs w:val="21"/>
              </w:rPr>
              <w:t>76.4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硫酸卸料泵</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118</w:t>
            </w:r>
          </w:p>
        </w:tc>
        <w:tc>
          <w:tcPr>
            <w:tcW w:w="546" w:type="dxa"/>
            <w:noWrap/>
            <w:vAlign w:val="center"/>
          </w:tcPr>
          <w:p>
            <w:pPr>
              <w:pStyle w:val="63"/>
              <w:rPr>
                <w:szCs w:val="21"/>
              </w:rPr>
            </w:pPr>
            <w:r>
              <w:rPr>
                <w:rFonts w:hint="eastAsia"/>
                <w:szCs w:val="21"/>
              </w:rPr>
              <w:t>21</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14.91</w:t>
            </w:r>
          </w:p>
        </w:tc>
        <w:tc>
          <w:tcPr>
            <w:tcW w:w="1394" w:type="dxa"/>
            <w:noWrap/>
            <w:vAlign w:val="center"/>
          </w:tcPr>
          <w:p>
            <w:pPr>
              <w:pStyle w:val="63"/>
              <w:rPr>
                <w:szCs w:val="21"/>
              </w:rPr>
            </w:pPr>
            <w:r>
              <w:rPr>
                <w:rFonts w:hint="eastAsia"/>
                <w:szCs w:val="21"/>
              </w:rPr>
              <w:t>76.4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双氧水卸料泵1</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110</w:t>
            </w:r>
          </w:p>
        </w:tc>
        <w:tc>
          <w:tcPr>
            <w:tcW w:w="546" w:type="dxa"/>
            <w:noWrap/>
            <w:vAlign w:val="center"/>
          </w:tcPr>
          <w:p>
            <w:pPr>
              <w:pStyle w:val="63"/>
              <w:rPr>
                <w:szCs w:val="21"/>
              </w:rPr>
            </w:pPr>
            <w:r>
              <w:rPr>
                <w:rFonts w:hint="eastAsia"/>
                <w:szCs w:val="21"/>
              </w:rPr>
              <w:t>26</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5.44</w:t>
            </w:r>
          </w:p>
        </w:tc>
        <w:tc>
          <w:tcPr>
            <w:tcW w:w="1394" w:type="dxa"/>
            <w:noWrap/>
            <w:vAlign w:val="center"/>
          </w:tcPr>
          <w:p>
            <w:pPr>
              <w:pStyle w:val="63"/>
              <w:rPr>
                <w:szCs w:val="21"/>
              </w:rPr>
            </w:pPr>
            <w:r>
              <w:rPr>
                <w:rFonts w:hint="eastAsia"/>
                <w:szCs w:val="21"/>
              </w:rPr>
              <w:t>76.5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双氧水卸料泵2</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108</w:t>
            </w:r>
          </w:p>
        </w:tc>
        <w:tc>
          <w:tcPr>
            <w:tcW w:w="546" w:type="dxa"/>
            <w:noWrap/>
            <w:vAlign w:val="center"/>
          </w:tcPr>
          <w:p>
            <w:pPr>
              <w:pStyle w:val="63"/>
              <w:rPr>
                <w:szCs w:val="21"/>
              </w:rPr>
            </w:pPr>
            <w:r>
              <w:rPr>
                <w:rFonts w:hint="eastAsia"/>
                <w:szCs w:val="21"/>
              </w:rPr>
              <w:t>27</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3.29</w:t>
            </w:r>
          </w:p>
        </w:tc>
        <w:tc>
          <w:tcPr>
            <w:tcW w:w="1394" w:type="dxa"/>
            <w:noWrap/>
            <w:vAlign w:val="center"/>
          </w:tcPr>
          <w:p>
            <w:pPr>
              <w:pStyle w:val="63"/>
              <w:rPr>
                <w:szCs w:val="21"/>
              </w:rPr>
            </w:pPr>
            <w:r>
              <w:rPr>
                <w:rFonts w:hint="eastAsia"/>
                <w:szCs w:val="21"/>
              </w:rPr>
              <w:t>76.7</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50.7</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双氧水投料泵1</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106</w:t>
            </w:r>
          </w:p>
        </w:tc>
        <w:tc>
          <w:tcPr>
            <w:tcW w:w="546" w:type="dxa"/>
            <w:noWrap/>
            <w:vAlign w:val="center"/>
          </w:tcPr>
          <w:p>
            <w:pPr>
              <w:pStyle w:val="63"/>
              <w:rPr>
                <w:szCs w:val="21"/>
              </w:rPr>
            </w:pPr>
            <w:r>
              <w:rPr>
                <w:rFonts w:hint="eastAsia"/>
                <w:szCs w:val="21"/>
              </w:rPr>
              <w:t>25</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3.03</w:t>
            </w:r>
          </w:p>
        </w:tc>
        <w:tc>
          <w:tcPr>
            <w:tcW w:w="1394" w:type="dxa"/>
            <w:noWrap/>
            <w:vAlign w:val="center"/>
          </w:tcPr>
          <w:p>
            <w:pPr>
              <w:pStyle w:val="63"/>
              <w:rPr>
                <w:szCs w:val="21"/>
              </w:rPr>
            </w:pPr>
            <w:r>
              <w:rPr>
                <w:rFonts w:hint="eastAsia"/>
                <w:szCs w:val="21"/>
              </w:rPr>
              <w:t>76.7</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50.7</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双氧水投料泵2</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109</w:t>
            </w:r>
          </w:p>
        </w:tc>
        <w:tc>
          <w:tcPr>
            <w:tcW w:w="546" w:type="dxa"/>
            <w:noWrap/>
            <w:vAlign w:val="center"/>
          </w:tcPr>
          <w:p>
            <w:pPr>
              <w:pStyle w:val="63"/>
              <w:rPr>
                <w:szCs w:val="21"/>
              </w:rPr>
            </w:pPr>
            <w:r>
              <w:rPr>
                <w:rFonts w:hint="eastAsia"/>
                <w:szCs w:val="21"/>
              </w:rPr>
              <w:t>25</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5.31</w:t>
            </w:r>
          </w:p>
        </w:tc>
        <w:tc>
          <w:tcPr>
            <w:tcW w:w="1394" w:type="dxa"/>
            <w:noWrap/>
            <w:vAlign w:val="center"/>
          </w:tcPr>
          <w:p>
            <w:pPr>
              <w:pStyle w:val="63"/>
              <w:rPr>
                <w:szCs w:val="21"/>
              </w:rPr>
            </w:pPr>
            <w:r>
              <w:rPr>
                <w:rFonts w:hint="eastAsia"/>
                <w:szCs w:val="21"/>
              </w:rPr>
              <w:t>76.5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氢氧化钠投料泵1</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110</w:t>
            </w:r>
          </w:p>
        </w:tc>
        <w:tc>
          <w:tcPr>
            <w:tcW w:w="546" w:type="dxa"/>
            <w:noWrap/>
            <w:vAlign w:val="center"/>
          </w:tcPr>
          <w:p>
            <w:pPr>
              <w:pStyle w:val="63"/>
              <w:rPr>
                <w:szCs w:val="21"/>
              </w:rPr>
            </w:pPr>
            <w:r>
              <w:rPr>
                <w:rFonts w:hint="eastAsia"/>
                <w:szCs w:val="21"/>
              </w:rPr>
              <w:t>23</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7.37</w:t>
            </w:r>
          </w:p>
        </w:tc>
        <w:tc>
          <w:tcPr>
            <w:tcW w:w="1394" w:type="dxa"/>
            <w:noWrap/>
            <w:vAlign w:val="center"/>
          </w:tcPr>
          <w:p>
            <w:pPr>
              <w:pStyle w:val="63"/>
              <w:rPr>
                <w:szCs w:val="21"/>
              </w:rPr>
            </w:pPr>
            <w:r>
              <w:rPr>
                <w:rFonts w:hint="eastAsia"/>
                <w:szCs w:val="21"/>
              </w:rPr>
              <w:t>76.5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氢氧化钠投料泵2</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112</w:t>
            </w:r>
          </w:p>
        </w:tc>
        <w:tc>
          <w:tcPr>
            <w:tcW w:w="546" w:type="dxa"/>
            <w:noWrap/>
            <w:vAlign w:val="center"/>
          </w:tcPr>
          <w:p>
            <w:pPr>
              <w:pStyle w:val="63"/>
              <w:rPr>
                <w:szCs w:val="21"/>
              </w:rPr>
            </w:pPr>
            <w:r>
              <w:rPr>
                <w:rFonts w:hint="eastAsia"/>
                <w:szCs w:val="21"/>
              </w:rPr>
              <w:t>22</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9.61</w:t>
            </w:r>
          </w:p>
        </w:tc>
        <w:tc>
          <w:tcPr>
            <w:tcW w:w="1394" w:type="dxa"/>
            <w:noWrap/>
            <w:vAlign w:val="center"/>
          </w:tcPr>
          <w:p>
            <w:pPr>
              <w:pStyle w:val="63"/>
              <w:rPr>
                <w:szCs w:val="21"/>
              </w:rPr>
            </w:pPr>
            <w:r>
              <w:rPr>
                <w:rFonts w:hint="eastAsia"/>
                <w:szCs w:val="21"/>
              </w:rPr>
              <w:t>76.5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硫酸亚铁投料泵1</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106</w:t>
            </w:r>
          </w:p>
        </w:tc>
        <w:tc>
          <w:tcPr>
            <w:tcW w:w="546" w:type="dxa"/>
            <w:noWrap/>
            <w:vAlign w:val="center"/>
          </w:tcPr>
          <w:p>
            <w:pPr>
              <w:pStyle w:val="63"/>
              <w:rPr>
                <w:szCs w:val="21"/>
              </w:rPr>
            </w:pPr>
            <w:r>
              <w:rPr>
                <w:rFonts w:hint="eastAsia"/>
                <w:szCs w:val="21"/>
              </w:rPr>
              <w:t>22</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5.07</w:t>
            </w:r>
          </w:p>
        </w:tc>
        <w:tc>
          <w:tcPr>
            <w:tcW w:w="1394" w:type="dxa"/>
            <w:noWrap/>
            <w:vAlign w:val="center"/>
          </w:tcPr>
          <w:p>
            <w:pPr>
              <w:pStyle w:val="63"/>
              <w:rPr>
                <w:szCs w:val="21"/>
              </w:rPr>
            </w:pPr>
            <w:r>
              <w:rPr>
                <w:rFonts w:hint="eastAsia"/>
                <w:szCs w:val="21"/>
              </w:rPr>
              <w:t>76.5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硫酸亚铁投料泵2</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108</w:t>
            </w:r>
          </w:p>
        </w:tc>
        <w:tc>
          <w:tcPr>
            <w:tcW w:w="546" w:type="dxa"/>
            <w:noWrap/>
            <w:vAlign w:val="center"/>
          </w:tcPr>
          <w:p>
            <w:pPr>
              <w:pStyle w:val="63"/>
              <w:rPr>
                <w:szCs w:val="21"/>
              </w:rPr>
            </w:pPr>
            <w:r>
              <w:rPr>
                <w:rFonts w:hint="eastAsia"/>
                <w:szCs w:val="21"/>
              </w:rPr>
              <w:t>21</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6.81</w:t>
            </w:r>
          </w:p>
        </w:tc>
        <w:tc>
          <w:tcPr>
            <w:tcW w:w="1394" w:type="dxa"/>
            <w:noWrap/>
            <w:vAlign w:val="center"/>
          </w:tcPr>
          <w:p>
            <w:pPr>
              <w:pStyle w:val="63"/>
              <w:rPr>
                <w:szCs w:val="21"/>
              </w:rPr>
            </w:pPr>
            <w:r>
              <w:rPr>
                <w:rFonts w:hint="eastAsia"/>
                <w:szCs w:val="21"/>
              </w:rPr>
              <w:t>76.5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硫酸投料泵1</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115</w:t>
            </w:r>
          </w:p>
        </w:tc>
        <w:tc>
          <w:tcPr>
            <w:tcW w:w="546" w:type="dxa"/>
            <w:noWrap/>
            <w:vAlign w:val="center"/>
          </w:tcPr>
          <w:p>
            <w:pPr>
              <w:pStyle w:val="63"/>
              <w:rPr>
                <w:szCs w:val="21"/>
              </w:rPr>
            </w:pPr>
            <w:r>
              <w:rPr>
                <w:rFonts w:hint="eastAsia"/>
                <w:szCs w:val="21"/>
              </w:rPr>
              <w:t>22</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11.73</w:t>
            </w:r>
          </w:p>
        </w:tc>
        <w:tc>
          <w:tcPr>
            <w:tcW w:w="1394" w:type="dxa"/>
            <w:noWrap/>
            <w:vAlign w:val="center"/>
          </w:tcPr>
          <w:p>
            <w:pPr>
              <w:pStyle w:val="63"/>
              <w:rPr>
                <w:szCs w:val="21"/>
              </w:rPr>
            </w:pPr>
            <w:r>
              <w:rPr>
                <w:rFonts w:hint="eastAsia"/>
                <w:szCs w:val="21"/>
              </w:rPr>
              <w:t>76.4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硫酸投料泵2</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112</w:t>
            </w:r>
          </w:p>
        </w:tc>
        <w:tc>
          <w:tcPr>
            <w:tcW w:w="546" w:type="dxa"/>
            <w:noWrap/>
            <w:vAlign w:val="center"/>
          </w:tcPr>
          <w:p>
            <w:pPr>
              <w:pStyle w:val="63"/>
              <w:rPr>
                <w:szCs w:val="21"/>
              </w:rPr>
            </w:pPr>
            <w:r>
              <w:rPr>
                <w:rFonts w:hint="eastAsia"/>
                <w:szCs w:val="21"/>
              </w:rPr>
              <w:t>24</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8.45</w:t>
            </w:r>
          </w:p>
        </w:tc>
        <w:tc>
          <w:tcPr>
            <w:tcW w:w="1394" w:type="dxa"/>
            <w:noWrap/>
            <w:vAlign w:val="center"/>
          </w:tcPr>
          <w:p>
            <w:pPr>
              <w:pStyle w:val="63"/>
              <w:rPr>
                <w:szCs w:val="21"/>
              </w:rPr>
            </w:pPr>
            <w:r>
              <w:rPr>
                <w:rFonts w:hint="eastAsia"/>
                <w:szCs w:val="21"/>
              </w:rPr>
              <w:t>76.5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50.5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加药间</w:t>
            </w:r>
          </w:p>
        </w:tc>
        <w:tc>
          <w:tcPr>
            <w:tcW w:w="1110" w:type="dxa"/>
            <w:noWrap/>
            <w:vAlign w:val="center"/>
          </w:tcPr>
          <w:p>
            <w:pPr>
              <w:pStyle w:val="63"/>
              <w:rPr>
                <w:szCs w:val="21"/>
              </w:rPr>
            </w:pPr>
            <w:r>
              <w:rPr>
                <w:rFonts w:hint="eastAsia"/>
                <w:szCs w:val="21"/>
              </w:rPr>
              <w:t>轴流风机1</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109</w:t>
            </w:r>
          </w:p>
        </w:tc>
        <w:tc>
          <w:tcPr>
            <w:tcW w:w="546" w:type="dxa"/>
            <w:noWrap/>
            <w:vAlign w:val="center"/>
          </w:tcPr>
          <w:p>
            <w:pPr>
              <w:pStyle w:val="63"/>
              <w:rPr>
                <w:szCs w:val="21"/>
              </w:rPr>
            </w:pPr>
            <w:r>
              <w:rPr>
                <w:rFonts w:hint="eastAsia"/>
                <w:szCs w:val="21"/>
              </w:rPr>
              <w:t>20</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8.88</w:t>
            </w:r>
          </w:p>
        </w:tc>
        <w:tc>
          <w:tcPr>
            <w:tcW w:w="1394" w:type="dxa"/>
            <w:noWrap/>
            <w:vAlign w:val="center"/>
          </w:tcPr>
          <w:p>
            <w:pPr>
              <w:pStyle w:val="63"/>
              <w:rPr>
                <w:szCs w:val="21"/>
              </w:rPr>
            </w:pPr>
            <w:r>
              <w:rPr>
                <w:rFonts w:hint="eastAsia"/>
                <w:szCs w:val="21"/>
              </w:rPr>
              <w:t>81.5</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55.5</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维修房</w:t>
            </w:r>
          </w:p>
        </w:tc>
        <w:tc>
          <w:tcPr>
            <w:tcW w:w="1110" w:type="dxa"/>
            <w:noWrap/>
            <w:vAlign w:val="center"/>
          </w:tcPr>
          <w:p>
            <w:pPr>
              <w:pStyle w:val="63"/>
              <w:rPr>
                <w:szCs w:val="21"/>
              </w:rPr>
            </w:pPr>
            <w:r>
              <w:rPr>
                <w:rFonts w:hint="eastAsia"/>
                <w:szCs w:val="21"/>
              </w:rPr>
              <w:t>轴流风机1</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90</w:t>
            </w:r>
          </w:p>
        </w:tc>
        <w:tc>
          <w:tcPr>
            <w:tcW w:w="546" w:type="dxa"/>
            <w:noWrap/>
            <w:vAlign w:val="center"/>
          </w:tcPr>
          <w:p>
            <w:pPr>
              <w:pStyle w:val="63"/>
              <w:rPr>
                <w:szCs w:val="21"/>
              </w:rPr>
            </w:pPr>
            <w:r>
              <w:rPr>
                <w:rFonts w:hint="eastAsia"/>
                <w:szCs w:val="21"/>
              </w:rPr>
              <w:t>-34</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11.54</w:t>
            </w:r>
          </w:p>
        </w:tc>
        <w:tc>
          <w:tcPr>
            <w:tcW w:w="1394" w:type="dxa"/>
            <w:noWrap/>
            <w:vAlign w:val="center"/>
          </w:tcPr>
          <w:p>
            <w:pPr>
              <w:pStyle w:val="63"/>
              <w:rPr>
                <w:szCs w:val="21"/>
              </w:rPr>
            </w:pPr>
            <w:r>
              <w:rPr>
                <w:rFonts w:hint="eastAsia"/>
                <w:szCs w:val="21"/>
              </w:rPr>
              <w:t>80.3</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54.3</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维修房</w:t>
            </w:r>
          </w:p>
        </w:tc>
        <w:tc>
          <w:tcPr>
            <w:tcW w:w="1110" w:type="dxa"/>
            <w:noWrap/>
            <w:vAlign w:val="center"/>
          </w:tcPr>
          <w:p>
            <w:pPr>
              <w:pStyle w:val="63"/>
              <w:rPr>
                <w:szCs w:val="21"/>
              </w:rPr>
            </w:pPr>
            <w:r>
              <w:rPr>
                <w:rFonts w:hint="eastAsia"/>
                <w:szCs w:val="21"/>
              </w:rPr>
              <w:t>轴流风机1</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90</w:t>
            </w:r>
          </w:p>
        </w:tc>
        <w:tc>
          <w:tcPr>
            <w:tcW w:w="546" w:type="dxa"/>
            <w:noWrap/>
            <w:vAlign w:val="center"/>
          </w:tcPr>
          <w:p>
            <w:pPr>
              <w:pStyle w:val="63"/>
              <w:rPr>
                <w:szCs w:val="21"/>
              </w:rPr>
            </w:pPr>
            <w:r>
              <w:rPr>
                <w:rFonts w:hint="eastAsia"/>
                <w:szCs w:val="21"/>
              </w:rPr>
              <w:t>-34</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2.97</w:t>
            </w:r>
          </w:p>
        </w:tc>
        <w:tc>
          <w:tcPr>
            <w:tcW w:w="1394" w:type="dxa"/>
            <w:noWrap/>
            <w:vAlign w:val="center"/>
          </w:tcPr>
          <w:p>
            <w:pPr>
              <w:pStyle w:val="63"/>
              <w:rPr>
                <w:szCs w:val="21"/>
              </w:rPr>
            </w:pPr>
            <w:r>
              <w:rPr>
                <w:rFonts w:hint="eastAsia"/>
                <w:szCs w:val="21"/>
              </w:rPr>
              <w:t>80.7</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54.7</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维修房</w:t>
            </w:r>
          </w:p>
        </w:tc>
        <w:tc>
          <w:tcPr>
            <w:tcW w:w="1110" w:type="dxa"/>
            <w:noWrap/>
            <w:vAlign w:val="center"/>
          </w:tcPr>
          <w:p>
            <w:pPr>
              <w:pStyle w:val="63"/>
              <w:rPr>
                <w:szCs w:val="21"/>
              </w:rPr>
            </w:pPr>
            <w:r>
              <w:rPr>
                <w:rFonts w:hint="eastAsia"/>
                <w:szCs w:val="21"/>
              </w:rPr>
              <w:t>轴流风机2</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87</w:t>
            </w:r>
          </w:p>
        </w:tc>
        <w:tc>
          <w:tcPr>
            <w:tcW w:w="546" w:type="dxa"/>
            <w:noWrap/>
            <w:vAlign w:val="center"/>
          </w:tcPr>
          <w:p>
            <w:pPr>
              <w:pStyle w:val="63"/>
              <w:rPr>
                <w:szCs w:val="21"/>
              </w:rPr>
            </w:pPr>
            <w:r>
              <w:rPr>
                <w:rFonts w:hint="eastAsia"/>
                <w:szCs w:val="21"/>
              </w:rPr>
              <w:t>-32</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8.91</w:t>
            </w:r>
          </w:p>
        </w:tc>
        <w:tc>
          <w:tcPr>
            <w:tcW w:w="1394" w:type="dxa"/>
            <w:noWrap/>
            <w:vAlign w:val="center"/>
          </w:tcPr>
          <w:p>
            <w:pPr>
              <w:pStyle w:val="63"/>
              <w:rPr>
                <w:szCs w:val="21"/>
              </w:rPr>
            </w:pPr>
            <w:r>
              <w:rPr>
                <w:rFonts w:hint="eastAsia"/>
                <w:szCs w:val="21"/>
              </w:rPr>
              <w:t>80.3</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54.3</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维修房</w:t>
            </w:r>
          </w:p>
        </w:tc>
        <w:tc>
          <w:tcPr>
            <w:tcW w:w="1110" w:type="dxa"/>
            <w:noWrap/>
            <w:vAlign w:val="center"/>
          </w:tcPr>
          <w:p>
            <w:pPr>
              <w:pStyle w:val="63"/>
              <w:rPr>
                <w:szCs w:val="21"/>
              </w:rPr>
            </w:pPr>
            <w:r>
              <w:rPr>
                <w:rFonts w:hint="eastAsia"/>
                <w:szCs w:val="21"/>
              </w:rPr>
              <w:t>轴流风机3</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84</w:t>
            </w:r>
          </w:p>
        </w:tc>
        <w:tc>
          <w:tcPr>
            <w:tcW w:w="546" w:type="dxa"/>
            <w:noWrap/>
            <w:vAlign w:val="center"/>
          </w:tcPr>
          <w:p>
            <w:pPr>
              <w:pStyle w:val="63"/>
              <w:rPr>
                <w:szCs w:val="21"/>
              </w:rPr>
            </w:pPr>
            <w:r>
              <w:rPr>
                <w:rFonts w:hint="eastAsia"/>
                <w:szCs w:val="21"/>
              </w:rPr>
              <w:t>-31</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2.81</w:t>
            </w:r>
          </w:p>
        </w:tc>
        <w:tc>
          <w:tcPr>
            <w:tcW w:w="1394" w:type="dxa"/>
            <w:noWrap/>
            <w:vAlign w:val="center"/>
          </w:tcPr>
          <w:p>
            <w:pPr>
              <w:pStyle w:val="63"/>
              <w:rPr>
                <w:szCs w:val="21"/>
              </w:rPr>
            </w:pPr>
            <w:r>
              <w:rPr>
                <w:rFonts w:hint="eastAsia"/>
                <w:szCs w:val="21"/>
              </w:rPr>
              <w:t>80.8</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54.8</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维修房</w:t>
            </w:r>
          </w:p>
        </w:tc>
        <w:tc>
          <w:tcPr>
            <w:tcW w:w="1110" w:type="dxa"/>
            <w:noWrap/>
            <w:vAlign w:val="center"/>
          </w:tcPr>
          <w:p>
            <w:pPr>
              <w:pStyle w:val="63"/>
              <w:rPr>
                <w:szCs w:val="21"/>
              </w:rPr>
            </w:pPr>
            <w:r>
              <w:rPr>
                <w:rFonts w:hint="eastAsia"/>
                <w:szCs w:val="21"/>
              </w:rPr>
              <w:t>轴流风机4</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80</w:t>
            </w:r>
          </w:p>
        </w:tc>
        <w:tc>
          <w:tcPr>
            <w:tcW w:w="546" w:type="dxa"/>
            <w:noWrap/>
            <w:vAlign w:val="center"/>
          </w:tcPr>
          <w:p>
            <w:pPr>
              <w:pStyle w:val="63"/>
              <w:rPr>
                <w:szCs w:val="21"/>
              </w:rPr>
            </w:pPr>
            <w:r>
              <w:rPr>
                <w:rFonts w:hint="eastAsia"/>
                <w:szCs w:val="21"/>
              </w:rPr>
              <w:t>-32</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13.90</w:t>
            </w:r>
          </w:p>
        </w:tc>
        <w:tc>
          <w:tcPr>
            <w:tcW w:w="1394" w:type="dxa"/>
            <w:noWrap/>
            <w:vAlign w:val="center"/>
          </w:tcPr>
          <w:p>
            <w:pPr>
              <w:pStyle w:val="63"/>
              <w:rPr>
                <w:szCs w:val="21"/>
              </w:rPr>
            </w:pPr>
            <w:r>
              <w:rPr>
                <w:rFonts w:hint="eastAsia"/>
                <w:szCs w:val="21"/>
              </w:rPr>
              <w:t>80.3</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54.3</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维修房</w:t>
            </w:r>
          </w:p>
        </w:tc>
        <w:tc>
          <w:tcPr>
            <w:tcW w:w="1110" w:type="dxa"/>
            <w:noWrap/>
            <w:vAlign w:val="center"/>
          </w:tcPr>
          <w:p>
            <w:pPr>
              <w:pStyle w:val="63"/>
              <w:rPr>
                <w:szCs w:val="21"/>
              </w:rPr>
            </w:pPr>
            <w:r>
              <w:rPr>
                <w:rFonts w:hint="eastAsia"/>
                <w:szCs w:val="21"/>
              </w:rPr>
              <w:t>轴流风机5</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84</w:t>
            </w:r>
          </w:p>
        </w:tc>
        <w:tc>
          <w:tcPr>
            <w:tcW w:w="546" w:type="dxa"/>
            <w:noWrap/>
            <w:vAlign w:val="center"/>
          </w:tcPr>
          <w:p>
            <w:pPr>
              <w:pStyle w:val="63"/>
              <w:rPr>
                <w:szCs w:val="21"/>
              </w:rPr>
            </w:pPr>
            <w:r>
              <w:rPr>
                <w:rFonts w:hint="eastAsia"/>
                <w:szCs w:val="21"/>
              </w:rPr>
              <w:t>-34</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5.82</w:t>
            </w:r>
          </w:p>
        </w:tc>
        <w:tc>
          <w:tcPr>
            <w:tcW w:w="1394" w:type="dxa"/>
            <w:noWrap/>
            <w:vAlign w:val="center"/>
          </w:tcPr>
          <w:p>
            <w:pPr>
              <w:pStyle w:val="63"/>
              <w:rPr>
                <w:szCs w:val="21"/>
              </w:rPr>
            </w:pPr>
            <w:r>
              <w:rPr>
                <w:rFonts w:hint="eastAsia"/>
                <w:szCs w:val="21"/>
              </w:rPr>
              <w:t>80.4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54.4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维修房</w:t>
            </w:r>
          </w:p>
        </w:tc>
        <w:tc>
          <w:tcPr>
            <w:tcW w:w="1110" w:type="dxa"/>
            <w:noWrap/>
            <w:vAlign w:val="center"/>
          </w:tcPr>
          <w:p>
            <w:pPr>
              <w:pStyle w:val="63"/>
              <w:rPr>
                <w:szCs w:val="21"/>
              </w:rPr>
            </w:pPr>
            <w:r>
              <w:rPr>
                <w:rFonts w:hint="eastAsia"/>
                <w:szCs w:val="21"/>
              </w:rPr>
              <w:t>轴流风机5</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84</w:t>
            </w:r>
          </w:p>
        </w:tc>
        <w:tc>
          <w:tcPr>
            <w:tcW w:w="546" w:type="dxa"/>
            <w:noWrap/>
            <w:vAlign w:val="center"/>
          </w:tcPr>
          <w:p>
            <w:pPr>
              <w:pStyle w:val="63"/>
              <w:rPr>
                <w:szCs w:val="21"/>
              </w:rPr>
            </w:pPr>
            <w:r>
              <w:rPr>
                <w:rFonts w:hint="eastAsia"/>
                <w:szCs w:val="21"/>
              </w:rPr>
              <w:t>-34</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5.32</w:t>
            </w:r>
          </w:p>
        </w:tc>
        <w:tc>
          <w:tcPr>
            <w:tcW w:w="1394" w:type="dxa"/>
            <w:noWrap/>
            <w:vAlign w:val="center"/>
          </w:tcPr>
          <w:p>
            <w:pPr>
              <w:pStyle w:val="63"/>
              <w:rPr>
                <w:szCs w:val="21"/>
              </w:rPr>
            </w:pPr>
            <w:r>
              <w:rPr>
                <w:rFonts w:hint="eastAsia"/>
                <w:szCs w:val="21"/>
              </w:rPr>
              <w:t>80.4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54.4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维修房</w:t>
            </w:r>
          </w:p>
        </w:tc>
        <w:tc>
          <w:tcPr>
            <w:tcW w:w="1110" w:type="dxa"/>
            <w:noWrap/>
            <w:vAlign w:val="center"/>
          </w:tcPr>
          <w:p>
            <w:pPr>
              <w:pStyle w:val="63"/>
              <w:rPr>
                <w:szCs w:val="21"/>
              </w:rPr>
            </w:pPr>
            <w:r>
              <w:rPr>
                <w:rFonts w:hint="eastAsia"/>
                <w:szCs w:val="21"/>
              </w:rPr>
              <w:t>轴流风机6</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86</w:t>
            </w:r>
          </w:p>
        </w:tc>
        <w:tc>
          <w:tcPr>
            <w:tcW w:w="546" w:type="dxa"/>
            <w:noWrap/>
            <w:vAlign w:val="center"/>
          </w:tcPr>
          <w:p>
            <w:pPr>
              <w:pStyle w:val="63"/>
              <w:rPr>
                <w:szCs w:val="21"/>
              </w:rPr>
            </w:pPr>
            <w:r>
              <w:rPr>
                <w:rFonts w:hint="eastAsia"/>
                <w:szCs w:val="21"/>
              </w:rPr>
              <w:t>-34</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6.77</w:t>
            </w:r>
          </w:p>
        </w:tc>
        <w:tc>
          <w:tcPr>
            <w:tcW w:w="1394" w:type="dxa"/>
            <w:noWrap/>
            <w:vAlign w:val="center"/>
          </w:tcPr>
          <w:p>
            <w:pPr>
              <w:pStyle w:val="63"/>
              <w:rPr>
                <w:szCs w:val="21"/>
              </w:rPr>
            </w:pPr>
            <w:r>
              <w:rPr>
                <w:rFonts w:hint="eastAsia"/>
                <w:szCs w:val="21"/>
              </w:rPr>
              <w:t>80.4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54.4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维修房</w:t>
            </w:r>
          </w:p>
        </w:tc>
        <w:tc>
          <w:tcPr>
            <w:tcW w:w="1110" w:type="dxa"/>
            <w:noWrap/>
            <w:vAlign w:val="center"/>
          </w:tcPr>
          <w:p>
            <w:pPr>
              <w:pStyle w:val="63"/>
              <w:rPr>
                <w:szCs w:val="21"/>
              </w:rPr>
            </w:pPr>
            <w:r>
              <w:rPr>
                <w:rFonts w:hint="eastAsia"/>
                <w:szCs w:val="21"/>
              </w:rPr>
              <w:t>轴流风机7</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89</w:t>
            </w:r>
          </w:p>
        </w:tc>
        <w:tc>
          <w:tcPr>
            <w:tcW w:w="546" w:type="dxa"/>
            <w:noWrap/>
            <w:vAlign w:val="center"/>
          </w:tcPr>
          <w:p>
            <w:pPr>
              <w:pStyle w:val="63"/>
              <w:rPr>
                <w:szCs w:val="21"/>
              </w:rPr>
            </w:pPr>
            <w:r>
              <w:rPr>
                <w:rFonts w:hint="eastAsia"/>
                <w:szCs w:val="21"/>
              </w:rPr>
              <w:t>-35</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4.76</w:t>
            </w:r>
          </w:p>
        </w:tc>
        <w:tc>
          <w:tcPr>
            <w:tcW w:w="1394" w:type="dxa"/>
            <w:noWrap/>
            <w:vAlign w:val="center"/>
          </w:tcPr>
          <w:p>
            <w:pPr>
              <w:pStyle w:val="63"/>
              <w:rPr>
                <w:szCs w:val="21"/>
              </w:rPr>
            </w:pPr>
            <w:r>
              <w:rPr>
                <w:rFonts w:hint="eastAsia"/>
                <w:szCs w:val="21"/>
              </w:rPr>
              <w:t>80.4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54.4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脱水机房</w:t>
            </w:r>
          </w:p>
        </w:tc>
        <w:tc>
          <w:tcPr>
            <w:tcW w:w="1110" w:type="dxa"/>
            <w:noWrap/>
            <w:vAlign w:val="center"/>
          </w:tcPr>
          <w:p>
            <w:pPr>
              <w:pStyle w:val="63"/>
              <w:rPr>
                <w:szCs w:val="21"/>
              </w:rPr>
            </w:pPr>
            <w:r>
              <w:rPr>
                <w:rFonts w:hint="eastAsia"/>
                <w:szCs w:val="21"/>
              </w:rPr>
              <w:t>压滤机</w:t>
            </w:r>
          </w:p>
        </w:tc>
        <w:tc>
          <w:tcPr>
            <w:tcW w:w="2135" w:type="dxa"/>
            <w:noWrap/>
            <w:vAlign w:val="center"/>
          </w:tcPr>
          <w:p>
            <w:pPr>
              <w:pStyle w:val="63"/>
              <w:rPr>
                <w:szCs w:val="21"/>
              </w:rPr>
            </w:pPr>
            <w:r>
              <w:rPr>
                <w:rFonts w:hint="eastAsia"/>
                <w:szCs w:val="21"/>
              </w:rPr>
              <w:t>70/1</w:t>
            </w:r>
          </w:p>
        </w:tc>
        <w:tc>
          <w:tcPr>
            <w:tcW w:w="549" w:type="dxa"/>
            <w:noWrap/>
            <w:vAlign w:val="center"/>
          </w:tcPr>
          <w:p>
            <w:pPr>
              <w:pStyle w:val="63"/>
              <w:rPr>
                <w:szCs w:val="21"/>
              </w:rPr>
            </w:pPr>
            <w:r>
              <w:rPr>
                <w:rFonts w:hint="eastAsia"/>
                <w:szCs w:val="21"/>
              </w:rPr>
              <w:t>102</w:t>
            </w:r>
          </w:p>
        </w:tc>
        <w:tc>
          <w:tcPr>
            <w:tcW w:w="546" w:type="dxa"/>
            <w:noWrap/>
            <w:vAlign w:val="center"/>
          </w:tcPr>
          <w:p>
            <w:pPr>
              <w:pStyle w:val="63"/>
              <w:rPr>
                <w:szCs w:val="21"/>
              </w:rPr>
            </w:pPr>
            <w:r>
              <w:rPr>
                <w:rFonts w:hint="eastAsia"/>
                <w:szCs w:val="21"/>
              </w:rPr>
              <w:t>2</w:t>
            </w:r>
          </w:p>
        </w:tc>
        <w:tc>
          <w:tcPr>
            <w:tcW w:w="530" w:type="dxa"/>
            <w:noWrap/>
            <w:vAlign w:val="center"/>
          </w:tcPr>
          <w:p>
            <w:pPr>
              <w:pStyle w:val="63"/>
              <w:rPr>
                <w:szCs w:val="21"/>
              </w:rPr>
            </w:pPr>
            <w:r>
              <w:rPr>
                <w:rFonts w:hint="eastAsia"/>
                <w:szCs w:val="21"/>
              </w:rPr>
              <w:t>4.58</w:t>
            </w:r>
          </w:p>
        </w:tc>
        <w:tc>
          <w:tcPr>
            <w:tcW w:w="1027" w:type="dxa"/>
            <w:noWrap/>
            <w:vAlign w:val="center"/>
          </w:tcPr>
          <w:p>
            <w:pPr>
              <w:pStyle w:val="63"/>
              <w:rPr>
                <w:szCs w:val="21"/>
              </w:rPr>
            </w:pPr>
            <w:r>
              <w:rPr>
                <w:rFonts w:hint="eastAsia"/>
                <w:szCs w:val="21"/>
              </w:rPr>
              <w:t>5.36</w:t>
            </w:r>
          </w:p>
        </w:tc>
        <w:tc>
          <w:tcPr>
            <w:tcW w:w="1394" w:type="dxa"/>
            <w:noWrap/>
            <w:vAlign w:val="center"/>
          </w:tcPr>
          <w:p>
            <w:pPr>
              <w:pStyle w:val="63"/>
              <w:rPr>
                <w:szCs w:val="21"/>
              </w:rPr>
            </w:pPr>
            <w:r>
              <w:rPr>
                <w:rFonts w:hint="eastAsia"/>
                <w:szCs w:val="21"/>
              </w:rPr>
              <w:t>64.2</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38.2</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脱水机房</w:t>
            </w:r>
          </w:p>
        </w:tc>
        <w:tc>
          <w:tcPr>
            <w:tcW w:w="1110" w:type="dxa"/>
            <w:noWrap/>
            <w:vAlign w:val="center"/>
          </w:tcPr>
          <w:p>
            <w:pPr>
              <w:pStyle w:val="63"/>
              <w:rPr>
                <w:szCs w:val="21"/>
              </w:rPr>
            </w:pPr>
            <w:r>
              <w:rPr>
                <w:rFonts w:hint="eastAsia"/>
                <w:szCs w:val="21"/>
              </w:rPr>
              <w:t>压滤机</w:t>
            </w:r>
          </w:p>
        </w:tc>
        <w:tc>
          <w:tcPr>
            <w:tcW w:w="2135" w:type="dxa"/>
            <w:noWrap/>
            <w:vAlign w:val="center"/>
          </w:tcPr>
          <w:p>
            <w:pPr>
              <w:pStyle w:val="63"/>
              <w:rPr>
                <w:szCs w:val="21"/>
              </w:rPr>
            </w:pPr>
            <w:r>
              <w:rPr>
                <w:rFonts w:hint="eastAsia"/>
                <w:szCs w:val="21"/>
              </w:rPr>
              <w:t>70/1</w:t>
            </w:r>
          </w:p>
        </w:tc>
        <w:tc>
          <w:tcPr>
            <w:tcW w:w="549" w:type="dxa"/>
            <w:noWrap/>
            <w:vAlign w:val="center"/>
          </w:tcPr>
          <w:p>
            <w:pPr>
              <w:pStyle w:val="63"/>
              <w:rPr>
                <w:szCs w:val="21"/>
              </w:rPr>
            </w:pPr>
            <w:r>
              <w:rPr>
                <w:rFonts w:hint="eastAsia"/>
                <w:szCs w:val="21"/>
              </w:rPr>
              <w:t>102</w:t>
            </w:r>
          </w:p>
        </w:tc>
        <w:tc>
          <w:tcPr>
            <w:tcW w:w="546" w:type="dxa"/>
            <w:noWrap/>
            <w:vAlign w:val="center"/>
          </w:tcPr>
          <w:p>
            <w:pPr>
              <w:pStyle w:val="63"/>
              <w:rPr>
                <w:szCs w:val="21"/>
              </w:rPr>
            </w:pPr>
            <w:r>
              <w:rPr>
                <w:rFonts w:hint="eastAsia"/>
                <w:szCs w:val="21"/>
              </w:rPr>
              <w:t>2</w:t>
            </w:r>
          </w:p>
        </w:tc>
        <w:tc>
          <w:tcPr>
            <w:tcW w:w="530" w:type="dxa"/>
            <w:noWrap/>
            <w:vAlign w:val="center"/>
          </w:tcPr>
          <w:p>
            <w:pPr>
              <w:pStyle w:val="63"/>
              <w:rPr>
                <w:szCs w:val="21"/>
              </w:rPr>
            </w:pPr>
            <w:r>
              <w:rPr>
                <w:rFonts w:hint="eastAsia"/>
                <w:szCs w:val="21"/>
              </w:rPr>
              <w:t>4.58</w:t>
            </w:r>
          </w:p>
        </w:tc>
        <w:tc>
          <w:tcPr>
            <w:tcW w:w="1027" w:type="dxa"/>
            <w:noWrap/>
            <w:vAlign w:val="center"/>
          </w:tcPr>
          <w:p>
            <w:pPr>
              <w:pStyle w:val="63"/>
              <w:rPr>
                <w:szCs w:val="21"/>
              </w:rPr>
            </w:pPr>
            <w:r>
              <w:rPr>
                <w:rFonts w:hint="eastAsia"/>
                <w:szCs w:val="21"/>
              </w:rPr>
              <w:t>12.78</w:t>
            </w:r>
          </w:p>
        </w:tc>
        <w:tc>
          <w:tcPr>
            <w:tcW w:w="1394" w:type="dxa"/>
            <w:noWrap/>
            <w:vAlign w:val="center"/>
          </w:tcPr>
          <w:p>
            <w:pPr>
              <w:pStyle w:val="63"/>
              <w:rPr>
                <w:szCs w:val="21"/>
              </w:rPr>
            </w:pPr>
            <w:r>
              <w:rPr>
                <w:rFonts w:hint="eastAsia"/>
                <w:szCs w:val="21"/>
              </w:rPr>
              <w:t>64.2</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38.2</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脱水机房</w:t>
            </w:r>
          </w:p>
        </w:tc>
        <w:tc>
          <w:tcPr>
            <w:tcW w:w="1110" w:type="dxa"/>
            <w:noWrap/>
            <w:vAlign w:val="center"/>
          </w:tcPr>
          <w:p>
            <w:pPr>
              <w:pStyle w:val="63"/>
              <w:rPr>
                <w:szCs w:val="21"/>
              </w:rPr>
            </w:pPr>
            <w:r>
              <w:rPr>
                <w:rFonts w:hint="eastAsia"/>
                <w:szCs w:val="21"/>
              </w:rPr>
              <w:t>污泥泵</w:t>
            </w:r>
          </w:p>
        </w:tc>
        <w:tc>
          <w:tcPr>
            <w:tcW w:w="2135" w:type="dxa"/>
            <w:noWrap/>
            <w:vAlign w:val="center"/>
          </w:tcPr>
          <w:p>
            <w:pPr>
              <w:pStyle w:val="63"/>
              <w:rPr>
                <w:szCs w:val="21"/>
              </w:rPr>
            </w:pPr>
            <w:r>
              <w:rPr>
                <w:rFonts w:hint="eastAsia"/>
                <w:szCs w:val="21"/>
              </w:rPr>
              <w:t>80/1</w:t>
            </w:r>
          </w:p>
        </w:tc>
        <w:tc>
          <w:tcPr>
            <w:tcW w:w="549" w:type="dxa"/>
            <w:noWrap/>
            <w:vAlign w:val="center"/>
          </w:tcPr>
          <w:p>
            <w:pPr>
              <w:pStyle w:val="63"/>
              <w:rPr>
                <w:szCs w:val="21"/>
              </w:rPr>
            </w:pPr>
            <w:r>
              <w:rPr>
                <w:rFonts w:hint="eastAsia"/>
                <w:szCs w:val="21"/>
              </w:rPr>
              <w:t>109</w:t>
            </w:r>
          </w:p>
        </w:tc>
        <w:tc>
          <w:tcPr>
            <w:tcW w:w="546" w:type="dxa"/>
            <w:noWrap/>
            <w:vAlign w:val="center"/>
          </w:tcPr>
          <w:p>
            <w:pPr>
              <w:pStyle w:val="63"/>
              <w:rPr>
                <w:szCs w:val="21"/>
              </w:rPr>
            </w:pPr>
            <w:r>
              <w:rPr>
                <w:rFonts w:hint="eastAsia"/>
                <w:szCs w:val="21"/>
              </w:rPr>
              <w:t>1</w:t>
            </w:r>
          </w:p>
        </w:tc>
        <w:tc>
          <w:tcPr>
            <w:tcW w:w="530" w:type="dxa"/>
            <w:noWrap/>
            <w:vAlign w:val="center"/>
          </w:tcPr>
          <w:p>
            <w:pPr>
              <w:pStyle w:val="63"/>
              <w:rPr>
                <w:szCs w:val="21"/>
              </w:rPr>
            </w:pPr>
            <w:r>
              <w:rPr>
                <w:rFonts w:hint="eastAsia"/>
                <w:szCs w:val="21"/>
              </w:rPr>
              <w:t>4.58</w:t>
            </w:r>
          </w:p>
        </w:tc>
        <w:tc>
          <w:tcPr>
            <w:tcW w:w="1027" w:type="dxa"/>
            <w:noWrap/>
            <w:vAlign w:val="center"/>
          </w:tcPr>
          <w:p>
            <w:pPr>
              <w:pStyle w:val="63"/>
              <w:rPr>
                <w:szCs w:val="21"/>
              </w:rPr>
            </w:pPr>
            <w:r>
              <w:rPr>
                <w:rFonts w:hint="eastAsia"/>
                <w:szCs w:val="21"/>
              </w:rPr>
              <w:t>16.60</w:t>
            </w:r>
          </w:p>
        </w:tc>
        <w:tc>
          <w:tcPr>
            <w:tcW w:w="1394" w:type="dxa"/>
            <w:noWrap/>
            <w:vAlign w:val="center"/>
          </w:tcPr>
          <w:p>
            <w:pPr>
              <w:pStyle w:val="63"/>
              <w:rPr>
                <w:szCs w:val="21"/>
              </w:rPr>
            </w:pPr>
            <w:r>
              <w:rPr>
                <w:rFonts w:hint="eastAsia"/>
                <w:szCs w:val="21"/>
              </w:rPr>
              <w:t>74.2</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48.2</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鼓风机1</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93</w:t>
            </w:r>
          </w:p>
        </w:tc>
        <w:tc>
          <w:tcPr>
            <w:tcW w:w="546" w:type="dxa"/>
            <w:noWrap/>
            <w:vAlign w:val="center"/>
          </w:tcPr>
          <w:p>
            <w:pPr>
              <w:pStyle w:val="63"/>
              <w:rPr>
                <w:szCs w:val="21"/>
              </w:rPr>
            </w:pPr>
            <w:r>
              <w:rPr>
                <w:rFonts w:hint="eastAsia"/>
                <w:szCs w:val="21"/>
              </w:rPr>
              <w:t>-22</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7.14</w:t>
            </w:r>
          </w:p>
        </w:tc>
        <w:tc>
          <w:tcPr>
            <w:tcW w:w="1394" w:type="dxa"/>
            <w:noWrap/>
            <w:vAlign w:val="center"/>
          </w:tcPr>
          <w:p>
            <w:pPr>
              <w:pStyle w:val="63"/>
              <w:rPr>
                <w:szCs w:val="21"/>
              </w:rPr>
            </w:pPr>
            <w:r>
              <w:rPr>
                <w:rFonts w:hint="eastAsia"/>
                <w:szCs w:val="21"/>
              </w:rPr>
              <w:t>73.3</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47.3</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鼓风机2</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97</w:t>
            </w:r>
          </w:p>
        </w:tc>
        <w:tc>
          <w:tcPr>
            <w:tcW w:w="546" w:type="dxa"/>
            <w:noWrap/>
            <w:vAlign w:val="center"/>
          </w:tcPr>
          <w:p>
            <w:pPr>
              <w:pStyle w:val="63"/>
              <w:rPr>
                <w:szCs w:val="21"/>
              </w:rPr>
            </w:pPr>
            <w:r>
              <w:rPr>
                <w:rFonts w:hint="eastAsia"/>
                <w:szCs w:val="21"/>
              </w:rPr>
              <w:t>-18</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6.31</w:t>
            </w:r>
          </w:p>
        </w:tc>
        <w:tc>
          <w:tcPr>
            <w:tcW w:w="1394" w:type="dxa"/>
            <w:noWrap/>
            <w:vAlign w:val="center"/>
          </w:tcPr>
          <w:p>
            <w:pPr>
              <w:pStyle w:val="63"/>
              <w:rPr>
                <w:szCs w:val="21"/>
              </w:rPr>
            </w:pPr>
            <w:r>
              <w:rPr>
                <w:rFonts w:hint="eastAsia"/>
                <w:szCs w:val="21"/>
              </w:rPr>
              <w:t>73.4</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47.4</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鼓风机3</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92</w:t>
            </w:r>
          </w:p>
        </w:tc>
        <w:tc>
          <w:tcPr>
            <w:tcW w:w="546" w:type="dxa"/>
            <w:noWrap/>
            <w:vAlign w:val="center"/>
          </w:tcPr>
          <w:p>
            <w:pPr>
              <w:pStyle w:val="63"/>
              <w:rPr>
                <w:szCs w:val="21"/>
              </w:rPr>
            </w:pPr>
            <w:r>
              <w:rPr>
                <w:rFonts w:hint="eastAsia"/>
                <w:szCs w:val="21"/>
              </w:rPr>
              <w:t>-18</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10.44</w:t>
            </w:r>
          </w:p>
        </w:tc>
        <w:tc>
          <w:tcPr>
            <w:tcW w:w="1394" w:type="dxa"/>
            <w:noWrap/>
            <w:vAlign w:val="center"/>
          </w:tcPr>
          <w:p>
            <w:pPr>
              <w:pStyle w:val="63"/>
              <w:rPr>
                <w:szCs w:val="21"/>
              </w:rPr>
            </w:pPr>
            <w:r>
              <w:rPr>
                <w:rFonts w:hint="eastAsia"/>
                <w:szCs w:val="21"/>
              </w:rPr>
              <w:t>73.1</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47.1</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轴流风机10</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90</w:t>
            </w:r>
          </w:p>
        </w:tc>
        <w:tc>
          <w:tcPr>
            <w:tcW w:w="546" w:type="dxa"/>
            <w:noWrap/>
            <w:vAlign w:val="center"/>
          </w:tcPr>
          <w:p>
            <w:pPr>
              <w:pStyle w:val="63"/>
              <w:rPr>
                <w:szCs w:val="21"/>
              </w:rPr>
            </w:pPr>
            <w:r>
              <w:rPr>
                <w:rFonts w:hint="eastAsia"/>
                <w:szCs w:val="21"/>
              </w:rPr>
              <w:t>-18</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11.59</w:t>
            </w:r>
          </w:p>
        </w:tc>
        <w:tc>
          <w:tcPr>
            <w:tcW w:w="1394" w:type="dxa"/>
            <w:noWrap/>
            <w:vAlign w:val="center"/>
          </w:tcPr>
          <w:p>
            <w:pPr>
              <w:pStyle w:val="63"/>
              <w:rPr>
                <w:szCs w:val="21"/>
              </w:rPr>
            </w:pPr>
            <w:r>
              <w:rPr>
                <w:rFonts w:hint="eastAsia"/>
                <w:szCs w:val="21"/>
              </w:rPr>
              <w:t>73.0</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47.0</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轴流风机1</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92</w:t>
            </w:r>
          </w:p>
        </w:tc>
        <w:tc>
          <w:tcPr>
            <w:tcW w:w="546" w:type="dxa"/>
            <w:noWrap/>
            <w:vAlign w:val="center"/>
          </w:tcPr>
          <w:p>
            <w:pPr>
              <w:pStyle w:val="63"/>
              <w:rPr>
                <w:szCs w:val="21"/>
              </w:rPr>
            </w:pPr>
            <w:r>
              <w:rPr>
                <w:rFonts w:hint="eastAsia"/>
                <w:szCs w:val="21"/>
              </w:rPr>
              <w:t>-15</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11.83</w:t>
            </w:r>
          </w:p>
        </w:tc>
        <w:tc>
          <w:tcPr>
            <w:tcW w:w="1394" w:type="dxa"/>
            <w:noWrap/>
            <w:vAlign w:val="center"/>
          </w:tcPr>
          <w:p>
            <w:pPr>
              <w:pStyle w:val="63"/>
              <w:rPr>
                <w:szCs w:val="21"/>
              </w:rPr>
            </w:pPr>
            <w:r>
              <w:rPr>
                <w:rFonts w:hint="eastAsia"/>
                <w:szCs w:val="21"/>
              </w:rPr>
              <w:t>73.0</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47.0</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轴流风机2</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89</w:t>
            </w:r>
          </w:p>
        </w:tc>
        <w:tc>
          <w:tcPr>
            <w:tcW w:w="546" w:type="dxa"/>
            <w:noWrap/>
            <w:vAlign w:val="center"/>
          </w:tcPr>
          <w:p>
            <w:pPr>
              <w:pStyle w:val="63"/>
              <w:rPr>
                <w:szCs w:val="21"/>
              </w:rPr>
            </w:pPr>
            <w:r>
              <w:rPr>
                <w:rFonts w:hint="eastAsia"/>
                <w:szCs w:val="21"/>
              </w:rPr>
              <w:t>-14</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14.64</w:t>
            </w:r>
          </w:p>
        </w:tc>
        <w:tc>
          <w:tcPr>
            <w:tcW w:w="1394" w:type="dxa"/>
            <w:noWrap/>
            <w:vAlign w:val="center"/>
          </w:tcPr>
          <w:p>
            <w:pPr>
              <w:pStyle w:val="63"/>
              <w:rPr>
                <w:szCs w:val="21"/>
              </w:rPr>
            </w:pPr>
            <w:r>
              <w:rPr>
                <w:rFonts w:hint="eastAsia"/>
                <w:szCs w:val="21"/>
              </w:rPr>
              <w:t>73.0</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47.0</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轴流风机3</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87</w:t>
            </w:r>
          </w:p>
        </w:tc>
        <w:tc>
          <w:tcPr>
            <w:tcW w:w="546" w:type="dxa"/>
            <w:noWrap/>
            <w:vAlign w:val="center"/>
          </w:tcPr>
          <w:p>
            <w:pPr>
              <w:pStyle w:val="63"/>
              <w:rPr>
                <w:szCs w:val="21"/>
              </w:rPr>
            </w:pPr>
            <w:r>
              <w:rPr>
                <w:rFonts w:hint="eastAsia"/>
                <w:szCs w:val="21"/>
              </w:rPr>
              <w:t>-13</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17.05</w:t>
            </w:r>
          </w:p>
        </w:tc>
        <w:tc>
          <w:tcPr>
            <w:tcW w:w="1394" w:type="dxa"/>
            <w:noWrap/>
            <w:vAlign w:val="center"/>
          </w:tcPr>
          <w:p>
            <w:pPr>
              <w:pStyle w:val="63"/>
              <w:rPr>
                <w:szCs w:val="21"/>
              </w:rPr>
            </w:pPr>
            <w:r>
              <w:rPr>
                <w:rFonts w:hint="eastAsia"/>
                <w:szCs w:val="21"/>
              </w:rPr>
              <w:t>73.0</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47.0</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轴流风机4</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85</w:t>
            </w:r>
          </w:p>
        </w:tc>
        <w:tc>
          <w:tcPr>
            <w:tcW w:w="546" w:type="dxa"/>
            <w:noWrap/>
            <w:vAlign w:val="center"/>
          </w:tcPr>
          <w:p>
            <w:pPr>
              <w:pStyle w:val="63"/>
              <w:rPr>
                <w:szCs w:val="21"/>
              </w:rPr>
            </w:pPr>
            <w:r>
              <w:rPr>
                <w:rFonts w:hint="eastAsia"/>
                <w:szCs w:val="21"/>
              </w:rPr>
              <w:t>-11</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19.91</w:t>
            </w:r>
          </w:p>
        </w:tc>
        <w:tc>
          <w:tcPr>
            <w:tcW w:w="1394" w:type="dxa"/>
            <w:noWrap/>
            <w:vAlign w:val="center"/>
          </w:tcPr>
          <w:p>
            <w:pPr>
              <w:pStyle w:val="63"/>
              <w:rPr>
                <w:szCs w:val="21"/>
              </w:rPr>
            </w:pPr>
            <w:r>
              <w:rPr>
                <w:rFonts w:hint="eastAsia"/>
                <w:szCs w:val="21"/>
              </w:rPr>
              <w:t>72.9</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46.9</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轴流风机5</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81</w:t>
            </w:r>
          </w:p>
        </w:tc>
        <w:tc>
          <w:tcPr>
            <w:tcW w:w="546" w:type="dxa"/>
            <w:noWrap/>
            <w:vAlign w:val="center"/>
          </w:tcPr>
          <w:p>
            <w:pPr>
              <w:pStyle w:val="63"/>
              <w:rPr>
                <w:szCs w:val="21"/>
              </w:rPr>
            </w:pPr>
            <w:r>
              <w:rPr>
                <w:rFonts w:hint="eastAsia"/>
                <w:szCs w:val="21"/>
              </w:rPr>
              <w:t>-11</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22.87</w:t>
            </w:r>
          </w:p>
        </w:tc>
        <w:tc>
          <w:tcPr>
            <w:tcW w:w="1394" w:type="dxa"/>
            <w:noWrap/>
            <w:vAlign w:val="center"/>
          </w:tcPr>
          <w:p>
            <w:pPr>
              <w:pStyle w:val="63"/>
              <w:rPr>
                <w:szCs w:val="21"/>
              </w:rPr>
            </w:pPr>
            <w:r>
              <w:rPr>
                <w:rFonts w:hint="eastAsia"/>
                <w:szCs w:val="21"/>
              </w:rPr>
              <w:t>72.9</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46.9</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轴流风机6</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80</w:t>
            </w:r>
          </w:p>
        </w:tc>
        <w:tc>
          <w:tcPr>
            <w:tcW w:w="546" w:type="dxa"/>
            <w:noWrap/>
            <w:vAlign w:val="center"/>
          </w:tcPr>
          <w:p>
            <w:pPr>
              <w:pStyle w:val="63"/>
              <w:rPr>
                <w:szCs w:val="21"/>
              </w:rPr>
            </w:pPr>
            <w:r>
              <w:rPr>
                <w:rFonts w:hint="eastAsia"/>
                <w:szCs w:val="21"/>
              </w:rPr>
              <w:t>-14</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22.31</w:t>
            </w:r>
          </w:p>
        </w:tc>
        <w:tc>
          <w:tcPr>
            <w:tcW w:w="1394" w:type="dxa"/>
            <w:noWrap/>
            <w:vAlign w:val="center"/>
          </w:tcPr>
          <w:p>
            <w:pPr>
              <w:pStyle w:val="63"/>
              <w:rPr>
                <w:szCs w:val="21"/>
              </w:rPr>
            </w:pPr>
            <w:r>
              <w:rPr>
                <w:rFonts w:hint="eastAsia"/>
                <w:szCs w:val="21"/>
              </w:rPr>
              <w:t>72.9</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46.9</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轴流风机7</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83</w:t>
            </w:r>
          </w:p>
        </w:tc>
        <w:tc>
          <w:tcPr>
            <w:tcW w:w="546" w:type="dxa"/>
            <w:noWrap/>
            <w:vAlign w:val="center"/>
          </w:tcPr>
          <w:p>
            <w:pPr>
              <w:pStyle w:val="63"/>
              <w:rPr>
                <w:szCs w:val="21"/>
              </w:rPr>
            </w:pPr>
            <w:r>
              <w:rPr>
                <w:rFonts w:hint="eastAsia"/>
                <w:szCs w:val="21"/>
              </w:rPr>
              <w:t>-15</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19.79</w:t>
            </w:r>
          </w:p>
        </w:tc>
        <w:tc>
          <w:tcPr>
            <w:tcW w:w="1394" w:type="dxa"/>
            <w:noWrap/>
            <w:vAlign w:val="center"/>
          </w:tcPr>
          <w:p>
            <w:pPr>
              <w:pStyle w:val="63"/>
              <w:rPr>
                <w:szCs w:val="21"/>
              </w:rPr>
            </w:pPr>
            <w:r>
              <w:rPr>
                <w:rFonts w:hint="eastAsia"/>
                <w:szCs w:val="21"/>
              </w:rPr>
              <w:t>72.9</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46.9</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轴流风机8</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85</w:t>
            </w:r>
          </w:p>
        </w:tc>
        <w:tc>
          <w:tcPr>
            <w:tcW w:w="546" w:type="dxa"/>
            <w:noWrap/>
            <w:vAlign w:val="center"/>
          </w:tcPr>
          <w:p>
            <w:pPr>
              <w:pStyle w:val="63"/>
              <w:rPr>
                <w:szCs w:val="21"/>
              </w:rPr>
            </w:pPr>
            <w:r>
              <w:rPr>
                <w:rFonts w:hint="eastAsia"/>
                <w:szCs w:val="21"/>
              </w:rPr>
              <w:t>-16</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17.15</w:t>
            </w:r>
          </w:p>
        </w:tc>
        <w:tc>
          <w:tcPr>
            <w:tcW w:w="1394" w:type="dxa"/>
            <w:noWrap/>
            <w:vAlign w:val="center"/>
          </w:tcPr>
          <w:p>
            <w:pPr>
              <w:pStyle w:val="63"/>
              <w:rPr>
                <w:szCs w:val="21"/>
              </w:rPr>
            </w:pPr>
            <w:r>
              <w:rPr>
                <w:rFonts w:hint="eastAsia"/>
                <w:szCs w:val="21"/>
              </w:rPr>
              <w:t>73.0</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47.0</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40" w:type="dxa"/>
            <w:noWrap/>
            <w:vAlign w:val="center"/>
          </w:tcPr>
          <w:p>
            <w:pPr>
              <w:pStyle w:val="63"/>
              <w:numPr>
                <w:ilvl w:val="0"/>
                <w:numId w:val="10"/>
              </w:numPr>
              <w:rPr>
                <w:szCs w:val="21"/>
              </w:rPr>
            </w:pPr>
          </w:p>
        </w:tc>
        <w:tc>
          <w:tcPr>
            <w:tcW w:w="1139" w:type="dxa"/>
            <w:noWrap/>
            <w:vAlign w:val="center"/>
          </w:tcPr>
          <w:p>
            <w:pPr>
              <w:pStyle w:val="63"/>
              <w:rPr>
                <w:szCs w:val="21"/>
              </w:rPr>
            </w:pPr>
            <w:r>
              <w:rPr>
                <w:rFonts w:hint="eastAsia"/>
                <w:szCs w:val="21"/>
              </w:rPr>
              <w:t>鼓风和变配电机房</w:t>
            </w:r>
          </w:p>
        </w:tc>
        <w:tc>
          <w:tcPr>
            <w:tcW w:w="1110" w:type="dxa"/>
            <w:noWrap/>
            <w:vAlign w:val="center"/>
          </w:tcPr>
          <w:p>
            <w:pPr>
              <w:pStyle w:val="63"/>
              <w:rPr>
                <w:szCs w:val="21"/>
              </w:rPr>
            </w:pPr>
            <w:r>
              <w:rPr>
                <w:rFonts w:hint="eastAsia"/>
                <w:szCs w:val="21"/>
              </w:rPr>
              <w:t>轴流风机9</w:t>
            </w:r>
          </w:p>
        </w:tc>
        <w:tc>
          <w:tcPr>
            <w:tcW w:w="2135" w:type="dxa"/>
            <w:noWrap/>
            <w:vAlign w:val="center"/>
          </w:tcPr>
          <w:p>
            <w:pPr>
              <w:pStyle w:val="63"/>
              <w:rPr>
                <w:szCs w:val="21"/>
              </w:rPr>
            </w:pPr>
            <w:r>
              <w:rPr>
                <w:rFonts w:hint="eastAsia"/>
                <w:szCs w:val="21"/>
              </w:rPr>
              <w:t>85/1</w:t>
            </w:r>
          </w:p>
        </w:tc>
        <w:tc>
          <w:tcPr>
            <w:tcW w:w="549" w:type="dxa"/>
            <w:noWrap/>
            <w:vAlign w:val="center"/>
          </w:tcPr>
          <w:p>
            <w:pPr>
              <w:pStyle w:val="63"/>
              <w:rPr>
                <w:szCs w:val="21"/>
              </w:rPr>
            </w:pPr>
            <w:r>
              <w:rPr>
                <w:rFonts w:hint="eastAsia"/>
                <w:szCs w:val="21"/>
              </w:rPr>
              <w:t>87</w:t>
            </w:r>
          </w:p>
        </w:tc>
        <w:tc>
          <w:tcPr>
            <w:tcW w:w="546" w:type="dxa"/>
            <w:noWrap/>
            <w:vAlign w:val="center"/>
          </w:tcPr>
          <w:p>
            <w:pPr>
              <w:pStyle w:val="63"/>
              <w:rPr>
                <w:szCs w:val="21"/>
              </w:rPr>
            </w:pPr>
            <w:r>
              <w:rPr>
                <w:rFonts w:hint="eastAsia"/>
                <w:szCs w:val="21"/>
              </w:rPr>
              <w:t>-17</w:t>
            </w:r>
          </w:p>
        </w:tc>
        <w:tc>
          <w:tcPr>
            <w:tcW w:w="530" w:type="dxa"/>
            <w:noWrap/>
            <w:vAlign w:val="center"/>
          </w:tcPr>
          <w:p>
            <w:pPr>
              <w:pStyle w:val="63"/>
              <w:rPr>
                <w:szCs w:val="21"/>
              </w:rPr>
            </w:pPr>
            <w:r>
              <w:rPr>
                <w:rFonts w:hint="eastAsia"/>
                <w:szCs w:val="21"/>
              </w:rPr>
              <w:t>0.5</w:t>
            </w:r>
          </w:p>
        </w:tc>
        <w:tc>
          <w:tcPr>
            <w:tcW w:w="1027" w:type="dxa"/>
            <w:noWrap/>
            <w:vAlign w:val="center"/>
          </w:tcPr>
          <w:p>
            <w:pPr>
              <w:pStyle w:val="63"/>
              <w:rPr>
                <w:szCs w:val="21"/>
              </w:rPr>
            </w:pPr>
            <w:r>
              <w:rPr>
                <w:rFonts w:hint="eastAsia"/>
                <w:szCs w:val="21"/>
              </w:rPr>
              <w:t>14.89</w:t>
            </w:r>
          </w:p>
        </w:tc>
        <w:tc>
          <w:tcPr>
            <w:tcW w:w="1394" w:type="dxa"/>
            <w:noWrap/>
            <w:vAlign w:val="center"/>
          </w:tcPr>
          <w:p>
            <w:pPr>
              <w:pStyle w:val="63"/>
              <w:rPr>
                <w:szCs w:val="21"/>
              </w:rPr>
            </w:pPr>
            <w:r>
              <w:rPr>
                <w:rFonts w:hint="eastAsia"/>
                <w:szCs w:val="21"/>
              </w:rPr>
              <w:t>73.0</w:t>
            </w:r>
          </w:p>
        </w:tc>
        <w:tc>
          <w:tcPr>
            <w:tcW w:w="1048" w:type="dxa"/>
            <w:noWrap/>
            <w:vAlign w:val="center"/>
          </w:tcPr>
          <w:p>
            <w:pPr>
              <w:pStyle w:val="63"/>
              <w:rPr>
                <w:szCs w:val="21"/>
              </w:rPr>
            </w:pPr>
            <w:r>
              <w:rPr>
                <w:rFonts w:hint="eastAsia"/>
                <w:szCs w:val="21"/>
              </w:rPr>
              <w:t>昼夜间</w:t>
            </w:r>
          </w:p>
        </w:tc>
        <w:tc>
          <w:tcPr>
            <w:tcW w:w="1136" w:type="dxa"/>
            <w:noWrap/>
            <w:vAlign w:val="center"/>
          </w:tcPr>
          <w:p>
            <w:pPr>
              <w:pStyle w:val="63"/>
              <w:rPr>
                <w:szCs w:val="21"/>
              </w:rPr>
            </w:pPr>
            <w:r>
              <w:rPr>
                <w:rFonts w:hint="eastAsia"/>
                <w:szCs w:val="21"/>
              </w:rPr>
              <w:t>20</w:t>
            </w:r>
          </w:p>
        </w:tc>
        <w:tc>
          <w:tcPr>
            <w:tcW w:w="1043" w:type="dxa"/>
            <w:noWrap/>
            <w:vAlign w:val="center"/>
          </w:tcPr>
          <w:p>
            <w:pPr>
              <w:pStyle w:val="63"/>
              <w:rPr>
                <w:szCs w:val="21"/>
              </w:rPr>
            </w:pPr>
            <w:r>
              <w:rPr>
                <w:rFonts w:hint="eastAsia"/>
                <w:szCs w:val="21"/>
              </w:rPr>
              <w:t>47.0</w:t>
            </w:r>
          </w:p>
        </w:tc>
        <w:tc>
          <w:tcPr>
            <w:tcW w:w="905" w:type="dxa"/>
            <w:noWrap/>
            <w:vAlign w:val="center"/>
          </w:tcPr>
          <w:p>
            <w:pPr>
              <w:pStyle w:val="63"/>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002" w:type="dxa"/>
            <w:gridSpan w:val="13"/>
            <w:noWrap/>
            <w:vAlign w:val="center"/>
          </w:tcPr>
          <w:p>
            <w:pPr>
              <w:pStyle w:val="64"/>
            </w:pPr>
            <w:r>
              <w:rPr>
                <w:rFonts w:hint="eastAsia"/>
              </w:rPr>
              <w:t>注：不同建筑材料插入损失不同，本次评价按常见砖砌墙隔声量考虑，建筑插入损失按20 dB（A）计；</w:t>
            </w:r>
          </w:p>
        </w:tc>
      </w:tr>
    </w:tbl>
    <w:p>
      <w:pPr>
        <w:pStyle w:val="14"/>
        <w:keepNext/>
      </w:pPr>
      <w:bookmarkStart w:id="74" w:name="_Ref171501497"/>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18</w:t>
      </w:r>
      <w:r>
        <w:fldChar w:fldCharType="end"/>
      </w:r>
      <w:bookmarkEnd w:id="74"/>
      <w:r>
        <w:rPr>
          <w:rFonts w:hint="eastAsia"/>
        </w:rPr>
        <w:t xml:space="preserve">   工业企业噪声源强调查清单（室外声源）</w:t>
      </w:r>
    </w:p>
    <w:tbl>
      <w:tblPr>
        <w:tblStyle w:val="39"/>
        <w:tblW w:w="13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2977"/>
        <w:gridCol w:w="806"/>
        <w:gridCol w:w="674"/>
        <w:gridCol w:w="806"/>
        <w:gridCol w:w="3495"/>
        <w:gridCol w:w="1368"/>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vMerge w:val="restart"/>
            <w:noWrap/>
            <w:vAlign w:val="center"/>
          </w:tcPr>
          <w:p>
            <w:pPr>
              <w:pStyle w:val="63"/>
              <w:rPr>
                <w:szCs w:val="21"/>
              </w:rPr>
            </w:pPr>
            <w:r>
              <w:rPr>
                <w:rFonts w:hint="eastAsia"/>
                <w:szCs w:val="21"/>
              </w:rPr>
              <w:t>序号</w:t>
            </w:r>
          </w:p>
        </w:tc>
        <w:tc>
          <w:tcPr>
            <w:tcW w:w="2977" w:type="dxa"/>
            <w:vMerge w:val="restart"/>
            <w:noWrap/>
            <w:vAlign w:val="center"/>
          </w:tcPr>
          <w:p>
            <w:pPr>
              <w:pStyle w:val="63"/>
              <w:rPr>
                <w:szCs w:val="21"/>
              </w:rPr>
            </w:pPr>
            <w:r>
              <w:rPr>
                <w:rFonts w:hint="eastAsia"/>
                <w:szCs w:val="21"/>
              </w:rPr>
              <w:t>声源名称</w:t>
            </w:r>
          </w:p>
        </w:tc>
        <w:tc>
          <w:tcPr>
            <w:tcW w:w="2286" w:type="dxa"/>
            <w:gridSpan w:val="3"/>
            <w:noWrap/>
            <w:vAlign w:val="center"/>
          </w:tcPr>
          <w:p>
            <w:pPr>
              <w:pStyle w:val="63"/>
              <w:rPr>
                <w:rFonts w:eastAsia="Times New Roman" w:cs="Times New Roman"/>
                <w:szCs w:val="21"/>
              </w:rPr>
            </w:pPr>
            <w:r>
              <w:rPr>
                <w:rFonts w:hint="eastAsia"/>
                <w:szCs w:val="21"/>
              </w:rPr>
              <w:t>空间相对位置/m</w:t>
            </w:r>
          </w:p>
        </w:tc>
        <w:tc>
          <w:tcPr>
            <w:tcW w:w="3495" w:type="dxa"/>
            <w:noWrap/>
            <w:vAlign w:val="center"/>
          </w:tcPr>
          <w:p>
            <w:pPr>
              <w:pStyle w:val="63"/>
              <w:rPr>
                <w:rFonts w:hint="eastAsia" w:ascii="宋体" w:hAnsi="宋体" w:cs="宋体"/>
                <w:szCs w:val="21"/>
              </w:rPr>
            </w:pPr>
            <w:r>
              <w:rPr>
                <w:rFonts w:hint="eastAsia"/>
                <w:szCs w:val="21"/>
              </w:rPr>
              <w:t>声源源强</w:t>
            </w:r>
          </w:p>
        </w:tc>
        <w:tc>
          <w:tcPr>
            <w:tcW w:w="1368" w:type="dxa"/>
            <w:vMerge w:val="restart"/>
            <w:noWrap/>
            <w:vAlign w:val="center"/>
          </w:tcPr>
          <w:p>
            <w:pPr>
              <w:pStyle w:val="63"/>
              <w:rPr>
                <w:rFonts w:eastAsia="Times New Roman" w:cs="Times New Roman"/>
                <w:szCs w:val="21"/>
              </w:rPr>
            </w:pPr>
            <w:r>
              <w:rPr>
                <w:rFonts w:hint="eastAsia"/>
                <w:szCs w:val="21"/>
              </w:rPr>
              <w:t>声源控制措施</w:t>
            </w:r>
          </w:p>
        </w:tc>
        <w:tc>
          <w:tcPr>
            <w:tcW w:w="2093" w:type="dxa"/>
            <w:vMerge w:val="restart"/>
            <w:noWrap/>
            <w:vAlign w:val="center"/>
          </w:tcPr>
          <w:p>
            <w:pPr>
              <w:pStyle w:val="63"/>
              <w:rPr>
                <w:rFonts w:eastAsia="Times New Roman" w:cs="Times New Roman"/>
                <w:szCs w:val="21"/>
              </w:rPr>
            </w:pPr>
            <w:r>
              <w:rPr>
                <w:rFonts w:hint="eastAsia"/>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vMerge w:val="continue"/>
            <w:noWrap/>
            <w:vAlign w:val="center"/>
          </w:tcPr>
          <w:p>
            <w:pPr>
              <w:pStyle w:val="63"/>
              <w:rPr>
                <w:rFonts w:eastAsia="Times New Roman" w:cs="Times New Roman"/>
                <w:szCs w:val="21"/>
              </w:rPr>
            </w:pPr>
          </w:p>
        </w:tc>
        <w:tc>
          <w:tcPr>
            <w:tcW w:w="2977" w:type="dxa"/>
            <w:vMerge w:val="continue"/>
            <w:noWrap/>
            <w:vAlign w:val="center"/>
          </w:tcPr>
          <w:p>
            <w:pPr>
              <w:pStyle w:val="63"/>
              <w:rPr>
                <w:rFonts w:eastAsia="Times New Roman" w:cs="Times New Roman"/>
                <w:szCs w:val="21"/>
              </w:rPr>
            </w:pPr>
          </w:p>
        </w:tc>
        <w:tc>
          <w:tcPr>
            <w:tcW w:w="806" w:type="dxa"/>
            <w:noWrap/>
            <w:vAlign w:val="center"/>
          </w:tcPr>
          <w:p>
            <w:pPr>
              <w:pStyle w:val="63"/>
              <w:rPr>
                <w:rFonts w:hint="eastAsia" w:ascii="宋体" w:hAnsi="宋体" w:cs="宋体"/>
                <w:szCs w:val="21"/>
              </w:rPr>
            </w:pPr>
            <w:r>
              <w:rPr>
                <w:rFonts w:hint="eastAsia"/>
                <w:szCs w:val="21"/>
              </w:rPr>
              <w:t>X</w:t>
            </w:r>
          </w:p>
        </w:tc>
        <w:tc>
          <w:tcPr>
            <w:tcW w:w="674" w:type="dxa"/>
            <w:noWrap/>
            <w:vAlign w:val="center"/>
          </w:tcPr>
          <w:p>
            <w:pPr>
              <w:pStyle w:val="63"/>
              <w:rPr>
                <w:szCs w:val="21"/>
              </w:rPr>
            </w:pPr>
            <w:r>
              <w:rPr>
                <w:rFonts w:hint="eastAsia"/>
                <w:szCs w:val="21"/>
              </w:rPr>
              <w:t>Y</w:t>
            </w:r>
          </w:p>
        </w:tc>
        <w:tc>
          <w:tcPr>
            <w:tcW w:w="806" w:type="dxa"/>
            <w:noWrap/>
            <w:vAlign w:val="center"/>
          </w:tcPr>
          <w:p>
            <w:pPr>
              <w:pStyle w:val="63"/>
              <w:rPr>
                <w:szCs w:val="21"/>
              </w:rPr>
            </w:pPr>
            <w:r>
              <w:rPr>
                <w:rFonts w:hint="eastAsia"/>
                <w:szCs w:val="21"/>
              </w:rPr>
              <w:t>Z</w:t>
            </w:r>
          </w:p>
        </w:tc>
        <w:tc>
          <w:tcPr>
            <w:tcW w:w="3495" w:type="dxa"/>
            <w:noWrap/>
            <w:vAlign w:val="center"/>
          </w:tcPr>
          <w:p>
            <w:pPr>
              <w:pStyle w:val="63"/>
              <w:rPr>
                <w:szCs w:val="21"/>
              </w:rPr>
            </w:pPr>
            <w:r>
              <w:rPr>
                <w:rFonts w:hint="eastAsia"/>
                <w:szCs w:val="21"/>
              </w:rPr>
              <w:t>声压级/距声源距离）/（dB（A）/m）</w:t>
            </w:r>
          </w:p>
        </w:tc>
        <w:tc>
          <w:tcPr>
            <w:tcW w:w="1368" w:type="dxa"/>
            <w:vMerge w:val="continue"/>
            <w:noWrap/>
            <w:vAlign w:val="center"/>
          </w:tcPr>
          <w:p>
            <w:pPr>
              <w:pStyle w:val="63"/>
              <w:rPr>
                <w:szCs w:val="21"/>
              </w:rPr>
            </w:pPr>
          </w:p>
        </w:tc>
        <w:tc>
          <w:tcPr>
            <w:tcW w:w="2093" w:type="dxa"/>
            <w:vMerge w:val="continue"/>
            <w:noWrap/>
            <w:vAlign w:val="center"/>
          </w:tcPr>
          <w:p>
            <w:pPr>
              <w:pStyle w:val="63"/>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AAO-回流泵1</w:t>
            </w:r>
          </w:p>
        </w:tc>
        <w:tc>
          <w:tcPr>
            <w:tcW w:w="806" w:type="dxa"/>
            <w:noWrap/>
            <w:vAlign w:val="center"/>
          </w:tcPr>
          <w:p>
            <w:pPr>
              <w:pStyle w:val="63"/>
              <w:rPr>
                <w:szCs w:val="21"/>
              </w:rPr>
            </w:pPr>
            <w:r>
              <w:rPr>
                <w:rFonts w:hint="eastAsia"/>
                <w:szCs w:val="21"/>
              </w:rPr>
              <w:t>63</w:t>
            </w:r>
          </w:p>
        </w:tc>
        <w:tc>
          <w:tcPr>
            <w:tcW w:w="674" w:type="dxa"/>
            <w:noWrap/>
            <w:vAlign w:val="center"/>
          </w:tcPr>
          <w:p>
            <w:pPr>
              <w:pStyle w:val="63"/>
              <w:rPr>
                <w:szCs w:val="21"/>
              </w:rPr>
            </w:pPr>
            <w:r>
              <w:rPr>
                <w:rFonts w:hint="eastAsia"/>
                <w:szCs w:val="21"/>
              </w:rPr>
              <w:t>42</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restart"/>
            <w:noWrap/>
            <w:vAlign w:val="center"/>
          </w:tcPr>
          <w:p>
            <w:pPr>
              <w:pStyle w:val="63"/>
              <w:rPr>
                <w:szCs w:val="21"/>
              </w:rPr>
            </w:pPr>
            <w:r>
              <w:rPr>
                <w:rFonts w:hint="eastAsia"/>
                <w:szCs w:val="21"/>
              </w:rPr>
              <w:t>减振、降噪，选择合规设备</w:t>
            </w:r>
          </w:p>
        </w:tc>
        <w:tc>
          <w:tcPr>
            <w:tcW w:w="2093" w:type="dxa"/>
            <w:noWrap/>
            <w:vAlign w:val="center"/>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AAO-回流泵2</w:t>
            </w:r>
          </w:p>
        </w:tc>
        <w:tc>
          <w:tcPr>
            <w:tcW w:w="806" w:type="dxa"/>
            <w:noWrap/>
            <w:vAlign w:val="center"/>
          </w:tcPr>
          <w:p>
            <w:pPr>
              <w:pStyle w:val="63"/>
              <w:rPr>
                <w:szCs w:val="21"/>
              </w:rPr>
            </w:pPr>
            <w:r>
              <w:rPr>
                <w:rFonts w:hint="eastAsia"/>
                <w:szCs w:val="21"/>
              </w:rPr>
              <w:t>57</w:t>
            </w:r>
          </w:p>
        </w:tc>
        <w:tc>
          <w:tcPr>
            <w:tcW w:w="674" w:type="dxa"/>
            <w:noWrap/>
            <w:vAlign w:val="center"/>
          </w:tcPr>
          <w:p>
            <w:pPr>
              <w:pStyle w:val="63"/>
              <w:rPr>
                <w:szCs w:val="21"/>
              </w:rPr>
            </w:pPr>
            <w:r>
              <w:rPr>
                <w:rFonts w:hint="eastAsia"/>
                <w:szCs w:val="21"/>
              </w:rPr>
              <w:t>32</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AAO-回流泵3</w:t>
            </w:r>
          </w:p>
        </w:tc>
        <w:tc>
          <w:tcPr>
            <w:tcW w:w="806" w:type="dxa"/>
            <w:noWrap/>
            <w:vAlign w:val="center"/>
          </w:tcPr>
          <w:p>
            <w:pPr>
              <w:pStyle w:val="63"/>
              <w:rPr>
                <w:szCs w:val="21"/>
              </w:rPr>
            </w:pPr>
            <w:r>
              <w:rPr>
                <w:rFonts w:hint="eastAsia"/>
                <w:szCs w:val="21"/>
              </w:rPr>
              <w:t>61</w:t>
            </w:r>
          </w:p>
        </w:tc>
        <w:tc>
          <w:tcPr>
            <w:tcW w:w="674" w:type="dxa"/>
            <w:noWrap/>
            <w:vAlign w:val="center"/>
          </w:tcPr>
          <w:p>
            <w:pPr>
              <w:pStyle w:val="63"/>
              <w:rPr>
                <w:szCs w:val="21"/>
              </w:rPr>
            </w:pPr>
            <w:r>
              <w:rPr>
                <w:rFonts w:hint="eastAsia"/>
                <w:szCs w:val="21"/>
              </w:rPr>
              <w:t>29</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AAO-回流泵4</w:t>
            </w:r>
          </w:p>
        </w:tc>
        <w:tc>
          <w:tcPr>
            <w:tcW w:w="806" w:type="dxa"/>
            <w:noWrap/>
            <w:vAlign w:val="center"/>
          </w:tcPr>
          <w:p>
            <w:pPr>
              <w:pStyle w:val="63"/>
              <w:rPr>
                <w:szCs w:val="21"/>
              </w:rPr>
            </w:pPr>
            <w:r>
              <w:rPr>
                <w:rFonts w:hint="eastAsia"/>
                <w:szCs w:val="21"/>
              </w:rPr>
              <w:t>66</w:t>
            </w:r>
          </w:p>
        </w:tc>
        <w:tc>
          <w:tcPr>
            <w:tcW w:w="674" w:type="dxa"/>
            <w:noWrap/>
            <w:vAlign w:val="center"/>
          </w:tcPr>
          <w:p>
            <w:pPr>
              <w:pStyle w:val="63"/>
              <w:rPr>
                <w:szCs w:val="21"/>
              </w:rPr>
            </w:pPr>
            <w:r>
              <w:rPr>
                <w:rFonts w:hint="eastAsia"/>
                <w:szCs w:val="21"/>
              </w:rPr>
              <w:t>39</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Feton-提升泵1</w:t>
            </w:r>
          </w:p>
        </w:tc>
        <w:tc>
          <w:tcPr>
            <w:tcW w:w="806" w:type="dxa"/>
            <w:noWrap/>
            <w:vAlign w:val="center"/>
          </w:tcPr>
          <w:p>
            <w:pPr>
              <w:pStyle w:val="63"/>
              <w:rPr>
                <w:szCs w:val="21"/>
              </w:rPr>
            </w:pPr>
            <w:r>
              <w:rPr>
                <w:rFonts w:hint="eastAsia"/>
                <w:szCs w:val="21"/>
              </w:rPr>
              <w:t>97</w:t>
            </w:r>
          </w:p>
        </w:tc>
        <w:tc>
          <w:tcPr>
            <w:tcW w:w="674" w:type="dxa"/>
            <w:noWrap/>
            <w:vAlign w:val="center"/>
          </w:tcPr>
          <w:p>
            <w:pPr>
              <w:pStyle w:val="63"/>
              <w:rPr>
                <w:szCs w:val="21"/>
              </w:rPr>
            </w:pPr>
            <w:r>
              <w:rPr>
                <w:rFonts w:hint="eastAsia"/>
                <w:szCs w:val="21"/>
              </w:rPr>
              <w:t>64</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Feton-提升泵2</w:t>
            </w:r>
          </w:p>
        </w:tc>
        <w:tc>
          <w:tcPr>
            <w:tcW w:w="806" w:type="dxa"/>
            <w:noWrap/>
            <w:vAlign w:val="center"/>
          </w:tcPr>
          <w:p>
            <w:pPr>
              <w:pStyle w:val="63"/>
              <w:rPr>
                <w:szCs w:val="21"/>
              </w:rPr>
            </w:pPr>
            <w:r>
              <w:rPr>
                <w:rFonts w:hint="eastAsia"/>
                <w:szCs w:val="21"/>
              </w:rPr>
              <w:t>98</w:t>
            </w:r>
          </w:p>
        </w:tc>
        <w:tc>
          <w:tcPr>
            <w:tcW w:w="674" w:type="dxa"/>
            <w:noWrap/>
            <w:vAlign w:val="center"/>
          </w:tcPr>
          <w:p>
            <w:pPr>
              <w:pStyle w:val="63"/>
              <w:rPr>
                <w:szCs w:val="21"/>
              </w:rPr>
            </w:pPr>
            <w:r>
              <w:rPr>
                <w:rFonts w:hint="eastAsia"/>
                <w:szCs w:val="21"/>
              </w:rPr>
              <w:t>65</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Feton-提升泵3</w:t>
            </w:r>
          </w:p>
        </w:tc>
        <w:tc>
          <w:tcPr>
            <w:tcW w:w="806" w:type="dxa"/>
            <w:noWrap/>
            <w:vAlign w:val="center"/>
          </w:tcPr>
          <w:p>
            <w:pPr>
              <w:pStyle w:val="63"/>
              <w:rPr>
                <w:szCs w:val="21"/>
              </w:rPr>
            </w:pPr>
            <w:r>
              <w:rPr>
                <w:rFonts w:hint="eastAsia"/>
                <w:szCs w:val="21"/>
              </w:rPr>
              <w:t>99</w:t>
            </w:r>
          </w:p>
        </w:tc>
        <w:tc>
          <w:tcPr>
            <w:tcW w:w="674" w:type="dxa"/>
            <w:noWrap/>
            <w:vAlign w:val="center"/>
          </w:tcPr>
          <w:p>
            <w:pPr>
              <w:pStyle w:val="63"/>
              <w:rPr>
                <w:szCs w:val="21"/>
              </w:rPr>
            </w:pPr>
            <w:r>
              <w:rPr>
                <w:rFonts w:hint="eastAsia"/>
                <w:szCs w:val="21"/>
              </w:rPr>
              <w:t>66</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Feton池-螺杆泵1</w:t>
            </w:r>
          </w:p>
        </w:tc>
        <w:tc>
          <w:tcPr>
            <w:tcW w:w="806" w:type="dxa"/>
            <w:noWrap/>
            <w:vAlign w:val="center"/>
          </w:tcPr>
          <w:p>
            <w:pPr>
              <w:pStyle w:val="63"/>
              <w:rPr>
                <w:rFonts w:hint="eastAsia" w:ascii="宋体" w:hAnsi="宋体" w:cs="宋体"/>
                <w:szCs w:val="21"/>
              </w:rPr>
            </w:pPr>
            <w:r>
              <w:rPr>
                <w:rFonts w:hint="eastAsia"/>
                <w:szCs w:val="21"/>
              </w:rPr>
              <w:t>95</w:t>
            </w:r>
          </w:p>
        </w:tc>
        <w:tc>
          <w:tcPr>
            <w:tcW w:w="674" w:type="dxa"/>
            <w:noWrap/>
            <w:vAlign w:val="center"/>
          </w:tcPr>
          <w:p>
            <w:pPr>
              <w:pStyle w:val="63"/>
              <w:rPr>
                <w:szCs w:val="21"/>
              </w:rPr>
            </w:pPr>
            <w:r>
              <w:rPr>
                <w:rFonts w:hint="eastAsia"/>
                <w:szCs w:val="21"/>
              </w:rPr>
              <w:t>61</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rFonts w:eastAsia="Times New Roman" w:cs="Times New Roman"/>
                <w:szCs w:val="21"/>
              </w:rPr>
            </w:pPr>
          </w:p>
        </w:tc>
        <w:tc>
          <w:tcPr>
            <w:tcW w:w="2093" w:type="dxa"/>
            <w:noWrap/>
          </w:tcPr>
          <w:p>
            <w:pPr>
              <w:pStyle w:val="63"/>
              <w:rPr>
                <w:rFonts w:hint="eastAsia" w:ascii="宋体" w:hAnsi="宋体" w:cs="宋体"/>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Feton池-螺杆泵2</w:t>
            </w:r>
          </w:p>
        </w:tc>
        <w:tc>
          <w:tcPr>
            <w:tcW w:w="806" w:type="dxa"/>
            <w:noWrap/>
            <w:vAlign w:val="center"/>
          </w:tcPr>
          <w:p>
            <w:pPr>
              <w:pStyle w:val="63"/>
              <w:rPr>
                <w:rFonts w:hint="eastAsia" w:ascii="宋体" w:hAnsi="宋体" w:cs="宋体"/>
                <w:szCs w:val="21"/>
              </w:rPr>
            </w:pPr>
            <w:r>
              <w:rPr>
                <w:rFonts w:hint="eastAsia"/>
                <w:szCs w:val="21"/>
              </w:rPr>
              <w:t>94</w:t>
            </w:r>
          </w:p>
        </w:tc>
        <w:tc>
          <w:tcPr>
            <w:tcW w:w="674" w:type="dxa"/>
            <w:noWrap/>
            <w:vAlign w:val="center"/>
          </w:tcPr>
          <w:p>
            <w:pPr>
              <w:pStyle w:val="63"/>
              <w:rPr>
                <w:szCs w:val="21"/>
              </w:rPr>
            </w:pPr>
            <w:r>
              <w:rPr>
                <w:rFonts w:hint="eastAsia"/>
                <w:szCs w:val="21"/>
              </w:rPr>
              <w:t>59</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rFonts w:eastAsia="Times New Roman" w:cs="Times New Roman"/>
                <w:szCs w:val="21"/>
              </w:rPr>
            </w:pPr>
          </w:p>
        </w:tc>
        <w:tc>
          <w:tcPr>
            <w:tcW w:w="2093" w:type="dxa"/>
            <w:noWrap/>
          </w:tcPr>
          <w:p>
            <w:pPr>
              <w:pStyle w:val="63"/>
              <w:rPr>
                <w:rFonts w:hint="eastAsia" w:ascii="宋体" w:hAnsi="宋体" w:cs="宋体"/>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事故池-提升泵1</w:t>
            </w:r>
          </w:p>
        </w:tc>
        <w:tc>
          <w:tcPr>
            <w:tcW w:w="806" w:type="dxa"/>
            <w:noWrap/>
            <w:vAlign w:val="center"/>
          </w:tcPr>
          <w:p>
            <w:pPr>
              <w:pStyle w:val="63"/>
              <w:rPr>
                <w:szCs w:val="21"/>
              </w:rPr>
            </w:pPr>
            <w:r>
              <w:rPr>
                <w:rFonts w:hint="eastAsia"/>
                <w:szCs w:val="21"/>
              </w:rPr>
              <w:t>123</w:t>
            </w:r>
          </w:p>
        </w:tc>
        <w:tc>
          <w:tcPr>
            <w:tcW w:w="674" w:type="dxa"/>
            <w:noWrap/>
            <w:vAlign w:val="center"/>
          </w:tcPr>
          <w:p>
            <w:pPr>
              <w:pStyle w:val="63"/>
              <w:rPr>
                <w:szCs w:val="21"/>
              </w:rPr>
            </w:pPr>
            <w:r>
              <w:rPr>
                <w:rFonts w:hint="eastAsia"/>
                <w:szCs w:val="21"/>
              </w:rPr>
              <w:t>3</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事故池-提升泵2</w:t>
            </w:r>
          </w:p>
        </w:tc>
        <w:tc>
          <w:tcPr>
            <w:tcW w:w="806" w:type="dxa"/>
            <w:noWrap/>
            <w:vAlign w:val="center"/>
          </w:tcPr>
          <w:p>
            <w:pPr>
              <w:pStyle w:val="63"/>
              <w:rPr>
                <w:szCs w:val="21"/>
              </w:rPr>
            </w:pPr>
            <w:r>
              <w:rPr>
                <w:rFonts w:hint="eastAsia"/>
                <w:szCs w:val="21"/>
              </w:rPr>
              <w:t>126</w:t>
            </w:r>
          </w:p>
        </w:tc>
        <w:tc>
          <w:tcPr>
            <w:tcW w:w="674" w:type="dxa"/>
            <w:noWrap/>
            <w:vAlign w:val="center"/>
          </w:tcPr>
          <w:p>
            <w:pPr>
              <w:pStyle w:val="63"/>
              <w:rPr>
                <w:szCs w:val="21"/>
              </w:rPr>
            </w:pPr>
            <w:r>
              <w:rPr>
                <w:rFonts w:hint="eastAsia"/>
                <w:szCs w:val="21"/>
              </w:rPr>
              <w:t>9</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二沉池-吸泥机1</w:t>
            </w:r>
          </w:p>
        </w:tc>
        <w:tc>
          <w:tcPr>
            <w:tcW w:w="806" w:type="dxa"/>
            <w:noWrap/>
            <w:vAlign w:val="center"/>
          </w:tcPr>
          <w:p>
            <w:pPr>
              <w:pStyle w:val="63"/>
              <w:rPr>
                <w:szCs w:val="21"/>
              </w:rPr>
            </w:pPr>
            <w:r>
              <w:rPr>
                <w:rFonts w:hint="eastAsia"/>
                <w:szCs w:val="21"/>
              </w:rPr>
              <w:t>36</w:t>
            </w:r>
          </w:p>
        </w:tc>
        <w:tc>
          <w:tcPr>
            <w:tcW w:w="674" w:type="dxa"/>
            <w:noWrap/>
            <w:vAlign w:val="center"/>
          </w:tcPr>
          <w:p>
            <w:pPr>
              <w:pStyle w:val="63"/>
              <w:rPr>
                <w:szCs w:val="21"/>
              </w:rPr>
            </w:pPr>
            <w:r>
              <w:rPr>
                <w:rFonts w:hint="eastAsia"/>
                <w:szCs w:val="21"/>
              </w:rPr>
              <w:t>7</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75/1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二沉池-吸泥机2</w:t>
            </w:r>
          </w:p>
        </w:tc>
        <w:tc>
          <w:tcPr>
            <w:tcW w:w="806" w:type="dxa"/>
            <w:noWrap/>
            <w:vAlign w:val="center"/>
          </w:tcPr>
          <w:p>
            <w:pPr>
              <w:pStyle w:val="63"/>
              <w:rPr>
                <w:szCs w:val="21"/>
              </w:rPr>
            </w:pPr>
            <w:r>
              <w:rPr>
                <w:rFonts w:hint="eastAsia"/>
                <w:szCs w:val="21"/>
              </w:rPr>
              <w:t>50</w:t>
            </w:r>
          </w:p>
        </w:tc>
        <w:tc>
          <w:tcPr>
            <w:tcW w:w="674" w:type="dxa"/>
            <w:noWrap/>
            <w:vAlign w:val="center"/>
          </w:tcPr>
          <w:p>
            <w:pPr>
              <w:pStyle w:val="63"/>
              <w:rPr>
                <w:szCs w:val="21"/>
              </w:rPr>
            </w:pPr>
            <w:r>
              <w:rPr>
                <w:rFonts w:hint="eastAsia"/>
                <w:szCs w:val="21"/>
              </w:rPr>
              <w:t>0</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75/1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剩余污泥泵1</w:t>
            </w:r>
          </w:p>
        </w:tc>
        <w:tc>
          <w:tcPr>
            <w:tcW w:w="806" w:type="dxa"/>
            <w:noWrap/>
            <w:vAlign w:val="center"/>
          </w:tcPr>
          <w:p>
            <w:pPr>
              <w:pStyle w:val="63"/>
              <w:rPr>
                <w:szCs w:val="21"/>
              </w:rPr>
            </w:pPr>
            <w:r>
              <w:rPr>
                <w:rFonts w:hint="eastAsia"/>
                <w:szCs w:val="21"/>
              </w:rPr>
              <w:t>43</w:t>
            </w:r>
          </w:p>
        </w:tc>
        <w:tc>
          <w:tcPr>
            <w:tcW w:w="674" w:type="dxa"/>
            <w:noWrap/>
            <w:vAlign w:val="center"/>
          </w:tcPr>
          <w:p>
            <w:pPr>
              <w:pStyle w:val="63"/>
              <w:rPr>
                <w:szCs w:val="21"/>
              </w:rPr>
            </w:pPr>
            <w:r>
              <w:rPr>
                <w:rFonts w:hint="eastAsia"/>
                <w:szCs w:val="21"/>
              </w:rPr>
              <w:t>4</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回流污泥泵1</w:t>
            </w:r>
          </w:p>
        </w:tc>
        <w:tc>
          <w:tcPr>
            <w:tcW w:w="806" w:type="dxa"/>
            <w:noWrap/>
            <w:vAlign w:val="center"/>
          </w:tcPr>
          <w:p>
            <w:pPr>
              <w:pStyle w:val="63"/>
              <w:rPr>
                <w:szCs w:val="21"/>
              </w:rPr>
            </w:pPr>
            <w:r>
              <w:rPr>
                <w:rFonts w:hint="eastAsia"/>
                <w:szCs w:val="21"/>
              </w:rPr>
              <w:t>38</w:t>
            </w:r>
          </w:p>
        </w:tc>
        <w:tc>
          <w:tcPr>
            <w:tcW w:w="674" w:type="dxa"/>
            <w:noWrap/>
            <w:vAlign w:val="center"/>
          </w:tcPr>
          <w:p>
            <w:pPr>
              <w:pStyle w:val="63"/>
              <w:rPr>
                <w:szCs w:val="21"/>
              </w:rPr>
            </w:pPr>
            <w:r>
              <w:rPr>
                <w:rFonts w:hint="eastAsia"/>
                <w:szCs w:val="21"/>
              </w:rPr>
              <w:t>11</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回流污泥泵2</w:t>
            </w:r>
          </w:p>
        </w:tc>
        <w:tc>
          <w:tcPr>
            <w:tcW w:w="806" w:type="dxa"/>
            <w:noWrap/>
            <w:vAlign w:val="center"/>
          </w:tcPr>
          <w:p>
            <w:pPr>
              <w:pStyle w:val="63"/>
              <w:rPr>
                <w:szCs w:val="21"/>
              </w:rPr>
            </w:pPr>
            <w:r>
              <w:rPr>
                <w:rFonts w:hint="eastAsia"/>
                <w:szCs w:val="21"/>
              </w:rPr>
              <w:t>51</w:t>
            </w:r>
          </w:p>
        </w:tc>
        <w:tc>
          <w:tcPr>
            <w:tcW w:w="674" w:type="dxa"/>
            <w:noWrap/>
            <w:vAlign w:val="center"/>
          </w:tcPr>
          <w:p>
            <w:pPr>
              <w:pStyle w:val="63"/>
              <w:rPr>
                <w:szCs w:val="21"/>
              </w:rPr>
            </w:pPr>
            <w:r>
              <w:rPr>
                <w:rFonts w:hint="eastAsia"/>
                <w:szCs w:val="21"/>
              </w:rPr>
              <w:t>3</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平流沉砂池-抽砂泵1</w:t>
            </w:r>
          </w:p>
        </w:tc>
        <w:tc>
          <w:tcPr>
            <w:tcW w:w="806" w:type="dxa"/>
            <w:noWrap/>
            <w:vAlign w:val="center"/>
          </w:tcPr>
          <w:p>
            <w:pPr>
              <w:pStyle w:val="63"/>
              <w:rPr>
                <w:szCs w:val="21"/>
              </w:rPr>
            </w:pPr>
            <w:r>
              <w:rPr>
                <w:rFonts w:hint="eastAsia"/>
                <w:szCs w:val="21"/>
              </w:rPr>
              <w:t>109</w:t>
            </w:r>
          </w:p>
        </w:tc>
        <w:tc>
          <w:tcPr>
            <w:tcW w:w="674" w:type="dxa"/>
            <w:noWrap/>
            <w:vAlign w:val="center"/>
          </w:tcPr>
          <w:p>
            <w:pPr>
              <w:pStyle w:val="63"/>
              <w:rPr>
                <w:szCs w:val="21"/>
              </w:rPr>
            </w:pPr>
            <w:r>
              <w:rPr>
                <w:rFonts w:hint="eastAsia"/>
                <w:szCs w:val="21"/>
              </w:rPr>
              <w:t>66</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平流沉砂池-抽砂泵2</w:t>
            </w:r>
          </w:p>
        </w:tc>
        <w:tc>
          <w:tcPr>
            <w:tcW w:w="806" w:type="dxa"/>
            <w:noWrap/>
            <w:vAlign w:val="center"/>
          </w:tcPr>
          <w:p>
            <w:pPr>
              <w:pStyle w:val="63"/>
              <w:rPr>
                <w:szCs w:val="21"/>
              </w:rPr>
            </w:pPr>
            <w:r>
              <w:rPr>
                <w:rFonts w:hint="eastAsia"/>
                <w:szCs w:val="21"/>
              </w:rPr>
              <w:t>106</w:t>
            </w:r>
          </w:p>
        </w:tc>
        <w:tc>
          <w:tcPr>
            <w:tcW w:w="674" w:type="dxa"/>
            <w:noWrap/>
            <w:vAlign w:val="center"/>
          </w:tcPr>
          <w:p>
            <w:pPr>
              <w:pStyle w:val="63"/>
              <w:rPr>
                <w:szCs w:val="21"/>
              </w:rPr>
            </w:pPr>
            <w:r>
              <w:rPr>
                <w:rFonts w:hint="eastAsia"/>
                <w:szCs w:val="21"/>
              </w:rPr>
              <w:t>61</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彗星式纤维滤池-反洗水泵1</w:t>
            </w:r>
          </w:p>
        </w:tc>
        <w:tc>
          <w:tcPr>
            <w:tcW w:w="806" w:type="dxa"/>
            <w:noWrap/>
            <w:vAlign w:val="center"/>
          </w:tcPr>
          <w:p>
            <w:pPr>
              <w:pStyle w:val="63"/>
              <w:rPr>
                <w:szCs w:val="21"/>
              </w:rPr>
            </w:pPr>
            <w:r>
              <w:rPr>
                <w:rFonts w:hint="eastAsia"/>
                <w:szCs w:val="21"/>
              </w:rPr>
              <w:t>122</w:t>
            </w:r>
          </w:p>
        </w:tc>
        <w:tc>
          <w:tcPr>
            <w:tcW w:w="674" w:type="dxa"/>
            <w:noWrap/>
            <w:vAlign w:val="center"/>
          </w:tcPr>
          <w:p>
            <w:pPr>
              <w:pStyle w:val="63"/>
              <w:rPr>
                <w:szCs w:val="21"/>
              </w:rPr>
            </w:pPr>
            <w:r>
              <w:rPr>
                <w:rFonts w:hint="eastAsia"/>
                <w:szCs w:val="21"/>
              </w:rPr>
              <w:t>-33</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彗星式纤维滤池-反洗水泵2</w:t>
            </w:r>
          </w:p>
        </w:tc>
        <w:tc>
          <w:tcPr>
            <w:tcW w:w="806" w:type="dxa"/>
            <w:noWrap/>
            <w:vAlign w:val="center"/>
          </w:tcPr>
          <w:p>
            <w:pPr>
              <w:pStyle w:val="63"/>
              <w:rPr>
                <w:szCs w:val="21"/>
              </w:rPr>
            </w:pPr>
            <w:r>
              <w:rPr>
                <w:rFonts w:hint="eastAsia"/>
                <w:szCs w:val="21"/>
              </w:rPr>
              <w:t>121</w:t>
            </w:r>
          </w:p>
        </w:tc>
        <w:tc>
          <w:tcPr>
            <w:tcW w:w="674" w:type="dxa"/>
            <w:noWrap/>
            <w:vAlign w:val="center"/>
          </w:tcPr>
          <w:p>
            <w:pPr>
              <w:pStyle w:val="63"/>
              <w:rPr>
                <w:szCs w:val="21"/>
              </w:rPr>
            </w:pPr>
            <w:r>
              <w:rPr>
                <w:rFonts w:hint="eastAsia"/>
                <w:szCs w:val="21"/>
              </w:rPr>
              <w:t>-35</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彗星式纤维滤池-反洗风机1</w:t>
            </w:r>
          </w:p>
        </w:tc>
        <w:tc>
          <w:tcPr>
            <w:tcW w:w="806" w:type="dxa"/>
            <w:noWrap/>
            <w:vAlign w:val="center"/>
          </w:tcPr>
          <w:p>
            <w:pPr>
              <w:pStyle w:val="63"/>
              <w:rPr>
                <w:szCs w:val="21"/>
              </w:rPr>
            </w:pPr>
            <w:r>
              <w:rPr>
                <w:rFonts w:hint="eastAsia"/>
                <w:szCs w:val="21"/>
              </w:rPr>
              <w:t>120</w:t>
            </w:r>
          </w:p>
        </w:tc>
        <w:tc>
          <w:tcPr>
            <w:tcW w:w="674" w:type="dxa"/>
            <w:noWrap/>
            <w:vAlign w:val="center"/>
          </w:tcPr>
          <w:p>
            <w:pPr>
              <w:pStyle w:val="63"/>
              <w:rPr>
                <w:szCs w:val="21"/>
              </w:rPr>
            </w:pPr>
            <w:r>
              <w:rPr>
                <w:rFonts w:hint="eastAsia"/>
                <w:szCs w:val="21"/>
              </w:rPr>
              <w:t>-37</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彗星式纤维滤池-反洗风机2</w:t>
            </w:r>
          </w:p>
        </w:tc>
        <w:tc>
          <w:tcPr>
            <w:tcW w:w="806" w:type="dxa"/>
            <w:noWrap/>
            <w:vAlign w:val="center"/>
          </w:tcPr>
          <w:p>
            <w:pPr>
              <w:pStyle w:val="63"/>
              <w:rPr>
                <w:szCs w:val="21"/>
              </w:rPr>
            </w:pPr>
            <w:r>
              <w:rPr>
                <w:rFonts w:hint="eastAsia"/>
                <w:szCs w:val="21"/>
              </w:rPr>
              <w:t>119</w:t>
            </w:r>
          </w:p>
        </w:tc>
        <w:tc>
          <w:tcPr>
            <w:tcW w:w="674" w:type="dxa"/>
            <w:noWrap/>
            <w:vAlign w:val="center"/>
          </w:tcPr>
          <w:p>
            <w:pPr>
              <w:pStyle w:val="63"/>
              <w:rPr>
                <w:szCs w:val="21"/>
              </w:rPr>
            </w:pPr>
            <w:r>
              <w:rPr>
                <w:rFonts w:hint="eastAsia"/>
                <w:szCs w:val="21"/>
              </w:rPr>
              <w:t>-40</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气浮池-水泵</w:t>
            </w:r>
          </w:p>
        </w:tc>
        <w:tc>
          <w:tcPr>
            <w:tcW w:w="806" w:type="dxa"/>
            <w:noWrap/>
            <w:vAlign w:val="center"/>
          </w:tcPr>
          <w:p>
            <w:pPr>
              <w:pStyle w:val="63"/>
              <w:rPr>
                <w:szCs w:val="21"/>
              </w:rPr>
            </w:pPr>
            <w:r>
              <w:rPr>
                <w:rFonts w:hint="eastAsia"/>
                <w:szCs w:val="21"/>
              </w:rPr>
              <w:t>82</w:t>
            </w:r>
          </w:p>
        </w:tc>
        <w:tc>
          <w:tcPr>
            <w:tcW w:w="674" w:type="dxa"/>
            <w:noWrap/>
            <w:vAlign w:val="center"/>
          </w:tcPr>
          <w:p>
            <w:pPr>
              <w:pStyle w:val="63"/>
              <w:rPr>
                <w:szCs w:val="21"/>
              </w:rPr>
            </w:pPr>
            <w:r>
              <w:rPr>
                <w:rFonts w:hint="eastAsia"/>
                <w:szCs w:val="21"/>
              </w:rPr>
              <w:t>86</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气浮池-空压机</w:t>
            </w:r>
          </w:p>
        </w:tc>
        <w:tc>
          <w:tcPr>
            <w:tcW w:w="806" w:type="dxa"/>
            <w:noWrap/>
            <w:vAlign w:val="center"/>
          </w:tcPr>
          <w:p>
            <w:pPr>
              <w:pStyle w:val="63"/>
              <w:rPr>
                <w:szCs w:val="21"/>
              </w:rPr>
            </w:pPr>
            <w:r>
              <w:rPr>
                <w:rFonts w:hint="eastAsia"/>
                <w:szCs w:val="21"/>
              </w:rPr>
              <w:t>74</w:t>
            </w:r>
          </w:p>
        </w:tc>
        <w:tc>
          <w:tcPr>
            <w:tcW w:w="674" w:type="dxa"/>
            <w:noWrap/>
            <w:vAlign w:val="center"/>
          </w:tcPr>
          <w:p>
            <w:pPr>
              <w:pStyle w:val="63"/>
              <w:rPr>
                <w:szCs w:val="21"/>
              </w:rPr>
            </w:pPr>
            <w:r>
              <w:rPr>
                <w:rFonts w:hint="eastAsia"/>
                <w:szCs w:val="21"/>
              </w:rPr>
              <w:t>88</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75/1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水解酸化池-排污泵1</w:t>
            </w:r>
          </w:p>
        </w:tc>
        <w:tc>
          <w:tcPr>
            <w:tcW w:w="806" w:type="dxa"/>
            <w:noWrap/>
            <w:vAlign w:val="center"/>
          </w:tcPr>
          <w:p>
            <w:pPr>
              <w:pStyle w:val="63"/>
              <w:rPr>
                <w:szCs w:val="21"/>
              </w:rPr>
            </w:pPr>
            <w:r>
              <w:rPr>
                <w:rFonts w:hint="eastAsia"/>
                <w:szCs w:val="21"/>
              </w:rPr>
              <w:t>68</w:t>
            </w:r>
          </w:p>
        </w:tc>
        <w:tc>
          <w:tcPr>
            <w:tcW w:w="674" w:type="dxa"/>
            <w:noWrap/>
            <w:vAlign w:val="center"/>
          </w:tcPr>
          <w:p>
            <w:pPr>
              <w:pStyle w:val="63"/>
              <w:rPr>
                <w:szCs w:val="21"/>
              </w:rPr>
            </w:pPr>
            <w:r>
              <w:rPr>
                <w:rFonts w:hint="eastAsia"/>
                <w:szCs w:val="21"/>
              </w:rPr>
              <w:t>69</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粗格栅-提升泵1</w:t>
            </w:r>
          </w:p>
        </w:tc>
        <w:tc>
          <w:tcPr>
            <w:tcW w:w="806" w:type="dxa"/>
            <w:noWrap/>
            <w:vAlign w:val="center"/>
          </w:tcPr>
          <w:p>
            <w:pPr>
              <w:pStyle w:val="63"/>
              <w:rPr>
                <w:szCs w:val="21"/>
              </w:rPr>
            </w:pPr>
            <w:r>
              <w:rPr>
                <w:rFonts w:hint="eastAsia"/>
                <w:szCs w:val="21"/>
              </w:rPr>
              <w:t>139</w:t>
            </w:r>
          </w:p>
        </w:tc>
        <w:tc>
          <w:tcPr>
            <w:tcW w:w="674" w:type="dxa"/>
            <w:noWrap/>
            <w:vAlign w:val="center"/>
          </w:tcPr>
          <w:p>
            <w:pPr>
              <w:pStyle w:val="63"/>
              <w:rPr>
                <w:szCs w:val="21"/>
              </w:rPr>
            </w:pPr>
            <w:r>
              <w:rPr>
                <w:rFonts w:hint="eastAsia"/>
                <w:szCs w:val="21"/>
              </w:rPr>
              <w:t>25</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粗格栅-提升泵2</w:t>
            </w:r>
          </w:p>
        </w:tc>
        <w:tc>
          <w:tcPr>
            <w:tcW w:w="806" w:type="dxa"/>
            <w:noWrap/>
            <w:vAlign w:val="center"/>
          </w:tcPr>
          <w:p>
            <w:pPr>
              <w:pStyle w:val="63"/>
              <w:rPr>
                <w:szCs w:val="21"/>
              </w:rPr>
            </w:pPr>
            <w:r>
              <w:rPr>
                <w:rFonts w:hint="eastAsia"/>
                <w:szCs w:val="21"/>
              </w:rPr>
              <w:t>141</w:t>
            </w:r>
          </w:p>
        </w:tc>
        <w:tc>
          <w:tcPr>
            <w:tcW w:w="674" w:type="dxa"/>
            <w:noWrap/>
            <w:vAlign w:val="center"/>
          </w:tcPr>
          <w:p>
            <w:pPr>
              <w:pStyle w:val="63"/>
              <w:rPr>
                <w:szCs w:val="21"/>
              </w:rPr>
            </w:pPr>
            <w:r>
              <w:rPr>
                <w:rFonts w:hint="eastAsia"/>
                <w:szCs w:val="21"/>
              </w:rPr>
              <w:t>24</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紫外消毒-空压机</w:t>
            </w:r>
          </w:p>
        </w:tc>
        <w:tc>
          <w:tcPr>
            <w:tcW w:w="806" w:type="dxa"/>
            <w:noWrap/>
            <w:vAlign w:val="center"/>
          </w:tcPr>
          <w:p>
            <w:pPr>
              <w:pStyle w:val="63"/>
              <w:rPr>
                <w:szCs w:val="21"/>
              </w:rPr>
            </w:pPr>
            <w:r>
              <w:rPr>
                <w:rFonts w:hint="eastAsia"/>
                <w:szCs w:val="21"/>
              </w:rPr>
              <w:t>127</w:t>
            </w:r>
          </w:p>
        </w:tc>
        <w:tc>
          <w:tcPr>
            <w:tcW w:w="674" w:type="dxa"/>
            <w:noWrap/>
            <w:vAlign w:val="center"/>
          </w:tcPr>
          <w:p>
            <w:pPr>
              <w:pStyle w:val="63"/>
              <w:rPr>
                <w:szCs w:val="21"/>
              </w:rPr>
            </w:pPr>
            <w:r>
              <w:rPr>
                <w:rFonts w:hint="eastAsia"/>
                <w:szCs w:val="21"/>
              </w:rPr>
              <w:t>-17</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75/1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细格栅-螺旋输送机</w:t>
            </w:r>
          </w:p>
        </w:tc>
        <w:tc>
          <w:tcPr>
            <w:tcW w:w="806" w:type="dxa"/>
            <w:noWrap/>
            <w:vAlign w:val="center"/>
          </w:tcPr>
          <w:p>
            <w:pPr>
              <w:pStyle w:val="63"/>
              <w:rPr>
                <w:szCs w:val="21"/>
              </w:rPr>
            </w:pPr>
            <w:r>
              <w:rPr>
                <w:rFonts w:hint="eastAsia"/>
                <w:szCs w:val="21"/>
              </w:rPr>
              <w:t>101</w:t>
            </w:r>
          </w:p>
        </w:tc>
        <w:tc>
          <w:tcPr>
            <w:tcW w:w="674" w:type="dxa"/>
            <w:noWrap/>
            <w:vAlign w:val="center"/>
          </w:tcPr>
          <w:p>
            <w:pPr>
              <w:pStyle w:val="63"/>
              <w:rPr>
                <w:szCs w:val="21"/>
              </w:rPr>
            </w:pPr>
            <w:r>
              <w:rPr>
                <w:rFonts w:hint="eastAsia"/>
                <w:szCs w:val="21"/>
              </w:rPr>
              <w:t>78</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70/1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臭气处理-风机1</w:t>
            </w:r>
          </w:p>
        </w:tc>
        <w:tc>
          <w:tcPr>
            <w:tcW w:w="806" w:type="dxa"/>
            <w:noWrap/>
            <w:vAlign w:val="center"/>
          </w:tcPr>
          <w:p>
            <w:pPr>
              <w:pStyle w:val="63"/>
              <w:rPr>
                <w:szCs w:val="21"/>
              </w:rPr>
            </w:pPr>
            <w:r>
              <w:rPr>
                <w:rFonts w:hint="eastAsia"/>
                <w:szCs w:val="21"/>
              </w:rPr>
              <w:t>71</w:t>
            </w:r>
          </w:p>
        </w:tc>
        <w:tc>
          <w:tcPr>
            <w:tcW w:w="674" w:type="dxa"/>
            <w:noWrap/>
            <w:vAlign w:val="center"/>
          </w:tcPr>
          <w:p>
            <w:pPr>
              <w:pStyle w:val="63"/>
              <w:rPr>
                <w:szCs w:val="21"/>
              </w:rPr>
            </w:pPr>
            <w:r>
              <w:rPr>
                <w:rFonts w:hint="eastAsia"/>
                <w:szCs w:val="21"/>
              </w:rPr>
              <w:t>-21</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85/1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臭气处理-风机2</w:t>
            </w:r>
          </w:p>
        </w:tc>
        <w:tc>
          <w:tcPr>
            <w:tcW w:w="806" w:type="dxa"/>
            <w:noWrap/>
            <w:vAlign w:val="center"/>
          </w:tcPr>
          <w:p>
            <w:pPr>
              <w:pStyle w:val="63"/>
              <w:rPr>
                <w:szCs w:val="21"/>
              </w:rPr>
            </w:pPr>
            <w:r>
              <w:rPr>
                <w:rFonts w:hint="eastAsia"/>
                <w:szCs w:val="21"/>
              </w:rPr>
              <w:t>74</w:t>
            </w:r>
          </w:p>
        </w:tc>
        <w:tc>
          <w:tcPr>
            <w:tcW w:w="674" w:type="dxa"/>
            <w:noWrap/>
            <w:vAlign w:val="center"/>
          </w:tcPr>
          <w:p>
            <w:pPr>
              <w:pStyle w:val="63"/>
              <w:rPr>
                <w:szCs w:val="21"/>
              </w:rPr>
            </w:pPr>
            <w:r>
              <w:rPr>
                <w:rFonts w:hint="eastAsia"/>
                <w:szCs w:val="21"/>
              </w:rPr>
              <w:t>-23</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85/1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臭气处理设施-循环水泵1</w:t>
            </w:r>
          </w:p>
        </w:tc>
        <w:tc>
          <w:tcPr>
            <w:tcW w:w="806" w:type="dxa"/>
            <w:noWrap/>
            <w:vAlign w:val="center"/>
          </w:tcPr>
          <w:p>
            <w:pPr>
              <w:pStyle w:val="63"/>
              <w:rPr>
                <w:szCs w:val="21"/>
              </w:rPr>
            </w:pPr>
            <w:r>
              <w:rPr>
                <w:rFonts w:hint="eastAsia"/>
                <w:szCs w:val="21"/>
              </w:rPr>
              <w:t>72</w:t>
            </w:r>
          </w:p>
        </w:tc>
        <w:tc>
          <w:tcPr>
            <w:tcW w:w="674" w:type="dxa"/>
            <w:noWrap/>
            <w:vAlign w:val="center"/>
          </w:tcPr>
          <w:p>
            <w:pPr>
              <w:pStyle w:val="63"/>
              <w:rPr>
                <w:szCs w:val="21"/>
              </w:rPr>
            </w:pPr>
            <w:r>
              <w:rPr>
                <w:rFonts w:hint="eastAsia"/>
                <w:szCs w:val="21"/>
              </w:rPr>
              <w:t>-20</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臭气处理设施-循环水泵2</w:t>
            </w:r>
          </w:p>
        </w:tc>
        <w:tc>
          <w:tcPr>
            <w:tcW w:w="806" w:type="dxa"/>
            <w:noWrap/>
            <w:vAlign w:val="center"/>
          </w:tcPr>
          <w:p>
            <w:pPr>
              <w:pStyle w:val="63"/>
              <w:rPr>
                <w:szCs w:val="21"/>
              </w:rPr>
            </w:pPr>
            <w:r>
              <w:rPr>
                <w:rFonts w:hint="eastAsia"/>
                <w:szCs w:val="21"/>
              </w:rPr>
              <w:t>74</w:t>
            </w:r>
          </w:p>
        </w:tc>
        <w:tc>
          <w:tcPr>
            <w:tcW w:w="674" w:type="dxa"/>
            <w:noWrap/>
            <w:vAlign w:val="center"/>
          </w:tcPr>
          <w:p>
            <w:pPr>
              <w:pStyle w:val="63"/>
              <w:rPr>
                <w:szCs w:val="21"/>
              </w:rPr>
            </w:pPr>
            <w:r>
              <w:rPr>
                <w:rFonts w:hint="eastAsia"/>
                <w:szCs w:val="21"/>
              </w:rPr>
              <w:t>-20</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臭气处理设施-循环水泵3</w:t>
            </w:r>
          </w:p>
        </w:tc>
        <w:tc>
          <w:tcPr>
            <w:tcW w:w="806" w:type="dxa"/>
            <w:noWrap/>
            <w:vAlign w:val="center"/>
          </w:tcPr>
          <w:p>
            <w:pPr>
              <w:pStyle w:val="63"/>
              <w:rPr>
                <w:szCs w:val="21"/>
              </w:rPr>
            </w:pPr>
            <w:r>
              <w:rPr>
                <w:rFonts w:hint="eastAsia"/>
                <w:szCs w:val="21"/>
              </w:rPr>
              <w:t>77</w:t>
            </w:r>
          </w:p>
        </w:tc>
        <w:tc>
          <w:tcPr>
            <w:tcW w:w="674" w:type="dxa"/>
            <w:noWrap/>
            <w:vAlign w:val="center"/>
          </w:tcPr>
          <w:p>
            <w:pPr>
              <w:pStyle w:val="63"/>
              <w:rPr>
                <w:szCs w:val="21"/>
              </w:rPr>
            </w:pPr>
            <w:r>
              <w:rPr>
                <w:rFonts w:hint="eastAsia"/>
                <w:szCs w:val="21"/>
              </w:rPr>
              <w:t>-21</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调节池-提升泵1</w:t>
            </w:r>
          </w:p>
        </w:tc>
        <w:tc>
          <w:tcPr>
            <w:tcW w:w="806" w:type="dxa"/>
            <w:noWrap/>
            <w:vAlign w:val="center"/>
          </w:tcPr>
          <w:p>
            <w:pPr>
              <w:pStyle w:val="63"/>
              <w:rPr>
                <w:szCs w:val="21"/>
              </w:rPr>
            </w:pPr>
            <w:r>
              <w:rPr>
                <w:rFonts w:hint="eastAsia"/>
                <w:szCs w:val="21"/>
              </w:rPr>
              <w:t>163</w:t>
            </w:r>
          </w:p>
        </w:tc>
        <w:tc>
          <w:tcPr>
            <w:tcW w:w="674" w:type="dxa"/>
            <w:noWrap/>
            <w:vAlign w:val="center"/>
          </w:tcPr>
          <w:p>
            <w:pPr>
              <w:pStyle w:val="63"/>
              <w:rPr>
                <w:szCs w:val="21"/>
              </w:rPr>
            </w:pPr>
            <w:r>
              <w:rPr>
                <w:rFonts w:hint="eastAsia"/>
                <w:szCs w:val="21"/>
              </w:rPr>
              <w:t>11</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调节池-提升泵2</w:t>
            </w:r>
          </w:p>
        </w:tc>
        <w:tc>
          <w:tcPr>
            <w:tcW w:w="806" w:type="dxa"/>
            <w:noWrap/>
            <w:vAlign w:val="center"/>
          </w:tcPr>
          <w:p>
            <w:pPr>
              <w:pStyle w:val="63"/>
              <w:rPr>
                <w:szCs w:val="21"/>
              </w:rPr>
            </w:pPr>
            <w:r>
              <w:rPr>
                <w:rFonts w:hint="eastAsia"/>
                <w:szCs w:val="21"/>
              </w:rPr>
              <w:t>165</w:t>
            </w:r>
          </w:p>
        </w:tc>
        <w:tc>
          <w:tcPr>
            <w:tcW w:w="674" w:type="dxa"/>
            <w:noWrap/>
            <w:vAlign w:val="center"/>
          </w:tcPr>
          <w:p>
            <w:pPr>
              <w:pStyle w:val="63"/>
              <w:rPr>
                <w:szCs w:val="21"/>
              </w:rPr>
            </w:pPr>
            <w:r>
              <w:rPr>
                <w:rFonts w:hint="eastAsia"/>
                <w:szCs w:val="21"/>
              </w:rPr>
              <w:t>12</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高效沉淀池-污泥泵1</w:t>
            </w:r>
          </w:p>
        </w:tc>
        <w:tc>
          <w:tcPr>
            <w:tcW w:w="806" w:type="dxa"/>
            <w:noWrap/>
            <w:vAlign w:val="center"/>
          </w:tcPr>
          <w:p>
            <w:pPr>
              <w:pStyle w:val="63"/>
              <w:rPr>
                <w:szCs w:val="21"/>
              </w:rPr>
            </w:pPr>
            <w:r>
              <w:rPr>
                <w:rFonts w:hint="eastAsia"/>
                <w:szCs w:val="21"/>
              </w:rPr>
              <w:t>109</w:t>
            </w:r>
          </w:p>
        </w:tc>
        <w:tc>
          <w:tcPr>
            <w:tcW w:w="674" w:type="dxa"/>
            <w:noWrap/>
            <w:vAlign w:val="center"/>
          </w:tcPr>
          <w:p>
            <w:pPr>
              <w:pStyle w:val="63"/>
              <w:rPr>
                <w:szCs w:val="21"/>
              </w:rPr>
            </w:pPr>
            <w:r>
              <w:rPr>
                <w:rFonts w:hint="eastAsia"/>
                <w:szCs w:val="21"/>
              </w:rPr>
              <w:t>-29</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高效沉淀池-污泥泵2</w:t>
            </w:r>
          </w:p>
        </w:tc>
        <w:tc>
          <w:tcPr>
            <w:tcW w:w="806" w:type="dxa"/>
            <w:noWrap/>
            <w:vAlign w:val="center"/>
          </w:tcPr>
          <w:p>
            <w:pPr>
              <w:pStyle w:val="63"/>
              <w:rPr>
                <w:szCs w:val="21"/>
              </w:rPr>
            </w:pPr>
            <w:r>
              <w:rPr>
                <w:rFonts w:hint="eastAsia"/>
                <w:szCs w:val="21"/>
              </w:rPr>
              <w:t>112</w:t>
            </w:r>
          </w:p>
        </w:tc>
        <w:tc>
          <w:tcPr>
            <w:tcW w:w="674" w:type="dxa"/>
            <w:noWrap/>
            <w:vAlign w:val="center"/>
          </w:tcPr>
          <w:p>
            <w:pPr>
              <w:pStyle w:val="63"/>
              <w:rPr>
                <w:szCs w:val="21"/>
              </w:rPr>
            </w:pPr>
            <w:r>
              <w:rPr>
                <w:rFonts w:hint="eastAsia"/>
                <w:szCs w:val="21"/>
              </w:rPr>
              <w:t>-30</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高效沉淀池-污泥泵3</w:t>
            </w:r>
          </w:p>
        </w:tc>
        <w:tc>
          <w:tcPr>
            <w:tcW w:w="806" w:type="dxa"/>
            <w:noWrap/>
            <w:vAlign w:val="center"/>
          </w:tcPr>
          <w:p>
            <w:pPr>
              <w:pStyle w:val="63"/>
              <w:rPr>
                <w:szCs w:val="21"/>
              </w:rPr>
            </w:pPr>
            <w:r>
              <w:rPr>
                <w:rFonts w:hint="eastAsia"/>
                <w:szCs w:val="21"/>
              </w:rPr>
              <w:t>114</w:t>
            </w:r>
          </w:p>
        </w:tc>
        <w:tc>
          <w:tcPr>
            <w:tcW w:w="674" w:type="dxa"/>
            <w:noWrap/>
            <w:vAlign w:val="center"/>
          </w:tcPr>
          <w:p>
            <w:pPr>
              <w:pStyle w:val="63"/>
              <w:rPr>
                <w:szCs w:val="21"/>
              </w:rPr>
            </w:pPr>
            <w:r>
              <w:rPr>
                <w:rFonts w:hint="eastAsia"/>
                <w:szCs w:val="21"/>
              </w:rPr>
              <w:t>-31</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高效沉淀池-污泥泵4</w:t>
            </w:r>
          </w:p>
        </w:tc>
        <w:tc>
          <w:tcPr>
            <w:tcW w:w="806" w:type="dxa"/>
            <w:noWrap/>
            <w:vAlign w:val="center"/>
          </w:tcPr>
          <w:p>
            <w:pPr>
              <w:pStyle w:val="63"/>
              <w:rPr>
                <w:szCs w:val="21"/>
              </w:rPr>
            </w:pPr>
            <w:r>
              <w:rPr>
                <w:rFonts w:hint="eastAsia"/>
                <w:szCs w:val="21"/>
              </w:rPr>
              <w:t>107</w:t>
            </w:r>
          </w:p>
        </w:tc>
        <w:tc>
          <w:tcPr>
            <w:tcW w:w="674" w:type="dxa"/>
            <w:noWrap/>
            <w:vAlign w:val="center"/>
          </w:tcPr>
          <w:p>
            <w:pPr>
              <w:pStyle w:val="63"/>
              <w:rPr>
                <w:szCs w:val="21"/>
              </w:rPr>
            </w:pPr>
            <w:r>
              <w:rPr>
                <w:rFonts w:hint="eastAsia"/>
                <w:szCs w:val="21"/>
              </w:rPr>
              <w:t>-33</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高效沉淀池-污泥泵5</w:t>
            </w:r>
          </w:p>
        </w:tc>
        <w:tc>
          <w:tcPr>
            <w:tcW w:w="806" w:type="dxa"/>
            <w:noWrap/>
            <w:vAlign w:val="center"/>
          </w:tcPr>
          <w:p>
            <w:pPr>
              <w:pStyle w:val="63"/>
              <w:rPr>
                <w:szCs w:val="21"/>
              </w:rPr>
            </w:pPr>
            <w:r>
              <w:rPr>
                <w:rFonts w:hint="eastAsia"/>
                <w:szCs w:val="21"/>
              </w:rPr>
              <w:t>110</w:t>
            </w:r>
          </w:p>
        </w:tc>
        <w:tc>
          <w:tcPr>
            <w:tcW w:w="674" w:type="dxa"/>
            <w:noWrap/>
            <w:vAlign w:val="center"/>
          </w:tcPr>
          <w:p>
            <w:pPr>
              <w:pStyle w:val="63"/>
              <w:rPr>
                <w:szCs w:val="21"/>
              </w:rPr>
            </w:pPr>
            <w:r>
              <w:rPr>
                <w:rFonts w:hint="eastAsia"/>
                <w:szCs w:val="21"/>
              </w:rPr>
              <w:t>-34</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83" w:type="dxa"/>
            <w:noWrap/>
            <w:vAlign w:val="center"/>
          </w:tcPr>
          <w:p>
            <w:pPr>
              <w:pStyle w:val="63"/>
              <w:numPr>
                <w:ilvl w:val="0"/>
                <w:numId w:val="11"/>
              </w:numPr>
              <w:rPr>
                <w:szCs w:val="21"/>
              </w:rPr>
            </w:pPr>
          </w:p>
        </w:tc>
        <w:tc>
          <w:tcPr>
            <w:tcW w:w="2977" w:type="dxa"/>
            <w:noWrap/>
            <w:vAlign w:val="center"/>
          </w:tcPr>
          <w:p>
            <w:pPr>
              <w:pStyle w:val="63"/>
              <w:rPr>
                <w:szCs w:val="21"/>
              </w:rPr>
            </w:pPr>
            <w:r>
              <w:rPr>
                <w:rFonts w:hint="eastAsia"/>
                <w:szCs w:val="21"/>
              </w:rPr>
              <w:t>高效沉淀池-污泥泵6</w:t>
            </w:r>
          </w:p>
        </w:tc>
        <w:tc>
          <w:tcPr>
            <w:tcW w:w="806" w:type="dxa"/>
            <w:noWrap/>
            <w:vAlign w:val="center"/>
          </w:tcPr>
          <w:p>
            <w:pPr>
              <w:pStyle w:val="63"/>
              <w:rPr>
                <w:szCs w:val="21"/>
              </w:rPr>
            </w:pPr>
            <w:r>
              <w:rPr>
                <w:rFonts w:hint="eastAsia"/>
                <w:szCs w:val="21"/>
              </w:rPr>
              <w:t>112</w:t>
            </w:r>
          </w:p>
        </w:tc>
        <w:tc>
          <w:tcPr>
            <w:tcW w:w="674" w:type="dxa"/>
            <w:noWrap/>
            <w:vAlign w:val="center"/>
          </w:tcPr>
          <w:p>
            <w:pPr>
              <w:pStyle w:val="63"/>
              <w:rPr>
                <w:szCs w:val="21"/>
              </w:rPr>
            </w:pPr>
            <w:r>
              <w:rPr>
                <w:rFonts w:hint="eastAsia"/>
                <w:szCs w:val="21"/>
              </w:rPr>
              <w:t>-36</w:t>
            </w:r>
          </w:p>
        </w:tc>
        <w:tc>
          <w:tcPr>
            <w:tcW w:w="806" w:type="dxa"/>
            <w:noWrap/>
            <w:vAlign w:val="center"/>
          </w:tcPr>
          <w:p>
            <w:pPr>
              <w:pStyle w:val="63"/>
              <w:rPr>
                <w:szCs w:val="21"/>
              </w:rPr>
            </w:pPr>
            <w:r>
              <w:rPr>
                <w:rFonts w:hint="eastAsia"/>
                <w:szCs w:val="21"/>
              </w:rPr>
              <w:t>0.5</w:t>
            </w:r>
          </w:p>
        </w:tc>
        <w:tc>
          <w:tcPr>
            <w:tcW w:w="3495" w:type="dxa"/>
            <w:noWrap/>
            <w:vAlign w:val="center"/>
          </w:tcPr>
          <w:p>
            <w:pPr>
              <w:pStyle w:val="63"/>
              <w:rPr>
                <w:szCs w:val="21"/>
              </w:rPr>
            </w:pPr>
            <w:r>
              <w:rPr>
                <w:rFonts w:hint="eastAsia"/>
                <w:szCs w:val="21"/>
              </w:rPr>
              <w:t>80/1</w:t>
            </w:r>
          </w:p>
        </w:tc>
        <w:tc>
          <w:tcPr>
            <w:tcW w:w="1368" w:type="dxa"/>
            <w:vMerge w:val="continue"/>
            <w:noWrap/>
            <w:vAlign w:val="center"/>
          </w:tcPr>
          <w:p>
            <w:pPr>
              <w:pStyle w:val="63"/>
              <w:rPr>
                <w:szCs w:val="21"/>
              </w:rPr>
            </w:pPr>
          </w:p>
        </w:tc>
        <w:tc>
          <w:tcPr>
            <w:tcW w:w="2093" w:type="dxa"/>
            <w:noWrap/>
          </w:tcPr>
          <w:p>
            <w:pPr>
              <w:pStyle w:val="63"/>
              <w:rPr>
                <w:szCs w:val="21"/>
              </w:rPr>
            </w:pPr>
            <w:r>
              <w:rPr>
                <w:rFonts w:hint="eastAsia"/>
                <w:szCs w:val="21"/>
              </w:rPr>
              <w:t>昼夜间</w:t>
            </w:r>
          </w:p>
        </w:tc>
      </w:tr>
    </w:tbl>
    <w:p>
      <w:pPr>
        <w:rPr>
          <w:rFonts w:ascii="宋体" w:cs="宋体"/>
          <w:sz w:val="28"/>
          <w:szCs w:val="28"/>
        </w:rPr>
        <w:sectPr>
          <w:pgSz w:w="16840" w:h="11907" w:orient="landscape"/>
          <w:pgMar w:top="1531" w:right="1701" w:bottom="1531" w:left="2127" w:header="851" w:footer="851" w:gutter="0"/>
          <w:cols w:space="720" w:num="1"/>
          <w:docGrid w:linePitch="312" w:charSpace="0"/>
        </w:sectPr>
      </w:pPr>
    </w:p>
    <w:tbl>
      <w:tblPr>
        <w:tblStyle w:val="38"/>
        <w:tblW w:w="882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1"/>
        <w:gridCol w:w="81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6810" w:hRule="atLeast"/>
          <w:jc w:val="center"/>
        </w:trPr>
        <w:tc>
          <w:tcPr>
            <w:tcW w:w="661" w:type="dxa"/>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tc>
        <w:tc>
          <w:tcPr>
            <w:tcW w:w="8164" w:type="dxa"/>
            <w:vAlign w:val="center"/>
          </w:tcPr>
          <w:p>
            <w:pPr>
              <w:pStyle w:val="6"/>
              <w:spacing w:before="120" w:after="120"/>
            </w:pPr>
            <w:r>
              <w:rPr>
                <w:rFonts w:hint="eastAsia"/>
              </w:rPr>
              <w:t>噪声预测</w:t>
            </w:r>
          </w:p>
          <w:p>
            <w:pPr>
              <w:pStyle w:val="5"/>
              <w:ind w:firstLine="480"/>
            </w:pPr>
            <w:r>
              <w:rPr>
                <w:rFonts w:hint="eastAsia"/>
              </w:rPr>
              <w:t>项目厂界外50m范围内无现、状规划声环境保护目标，所以本次进行厂界噪声贡献值预测。</w:t>
            </w:r>
          </w:p>
          <w:p>
            <w:pPr>
              <w:pStyle w:val="5"/>
              <w:ind w:firstLine="480"/>
            </w:pPr>
            <w:r>
              <w:t>噪声影响预测</w:t>
            </w:r>
            <w:r>
              <w:rPr>
                <w:rFonts w:hint="eastAsia"/>
              </w:rPr>
              <w:t>使用</w:t>
            </w:r>
            <w:r>
              <w:t>《环境影响评价技术导则 声环境》（HJ2.4-2021）中推荐的模式。</w:t>
            </w:r>
          </w:p>
          <w:p>
            <w:pPr>
              <w:pStyle w:val="5"/>
              <w:ind w:firstLine="480"/>
            </w:pPr>
            <w:r>
              <w:t>1）室内声源等效室外声源声功率级计算方法</w:t>
            </w:r>
          </w:p>
          <w:p>
            <w:pPr>
              <w:pStyle w:val="5"/>
              <w:ind w:firstLine="480"/>
            </w:pPr>
            <w:r>
              <w:t>声源位于室内，室内声源可采用等效室外声源声功率级法进行计算。设靠近开口处（或窗户）室内、室外某倍频带的声压级或 A 声级分别为L</w:t>
            </w:r>
            <w:r>
              <w:rPr>
                <w:vertAlign w:val="subscript"/>
              </w:rPr>
              <w:t>p1</w:t>
            </w:r>
            <w:r>
              <w:t>和Lp2。若声源所在室内声场为近似扩散声场，则室外的倍频带声压级可按下式近似求出：</w:t>
            </w:r>
          </w:p>
          <w:p>
            <w:pPr>
              <w:spacing w:line="360" w:lineRule="auto"/>
              <w:jc w:val="center"/>
            </w:pPr>
            <w:r>
              <w:rPr>
                <w:position w:val="-12"/>
              </w:rPr>
              <w:object>
                <v:shape id="_x0000_i1027" o:spt="75" type="#_x0000_t75" style="height:21.75pt;width:100.45pt;" o:ole="t"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25" r:id="rId24">
                  <o:LockedField>false</o:LockedField>
                </o:OLEObject>
              </w:object>
            </w:r>
          </w:p>
          <w:p>
            <w:pPr>
              <w:pStyle w:val="5"/>
              <w:ind w:firstLine="480"/>
            </w:pPr>
            <w:r>
              <w:t>式中：L</w:t>
            </w:r>
            <w:r>
              <w:rPr>
                <w:vertAlign w:val="subscript"/>
              </w:rPr>
              <w:t>p1</w:t>
            </w:r>
            <w:r>
              <w:t>——靠近开口处（或窗户）室内某倍频带的声压级或A声级，dB；</w:t>
            </w:r>
          </w:p>
          <w:p>
            <w:pPr>
              <w:pStyle w:val="5"/>
              <w:ind w:firstLine="1200" w:firstLineChars="500"/>
            </w:pPr>
            <w:r>
              <w:t>L</w:t>
            </w:r>
            <w:r>
              <w:rPr>
                <w:vertAlign w:val="subscript"/>
              </w:rPr>
              <w:t>p2</w:t>
            </w:r>
            <w:r>
              <w:t>——靠近开口处（或窗户）室外某倍频带的声压级或A声级，dB；</w:t>
            </w:r>
          </w:p>
          <w:p>
            <w:pPr>
              <w:pStyle w:val="5"/>
              <w:ind w:firstLine="1200" w:firstLineChars="500"/>
            </w:pPr>
            <w:r>
              <w:t>TL——隔墙（或窗户）倍频带或 A 声级的隔声量，dB。</w:t>
            </w:r>
          </w:p>
          <w:p>
            <w:pPr>
              <w:pStyle w:val="5"/>
              <w:ind w:firstLine="480"/>
            </w:pPr>
            <w:r>
              <w:t>按下式计算某一室内声源靠近围护结构处产生的倍频带声压级或 A 声级：</w:t>
            </w:r>
          </w:p>
          <w:p>
            <w:pPr>
              <w:spacing w:line="360" w:lineRule="auto"/>
              <w:jc w:val="center"/>
            </w:pPr>
            <w:r>
              <w:drawing>
                <wp:inline distT="0" distB="0" distL="0" distR="0">
                  <wp:extent cx="1813560" cy="466090"/>
                  <wp:effectExtent l="0" t="0" r="0" b="0"/>
                  <wp:docPr id="4"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文本&#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14170" cy="466442"/>
                          </a:xfrm>
                          <a:prstGeom prst="rect">
                            <a:avLst/>
                          </a:prstGeom>
                          <a:noFill/>
                          <a:ln>
                            <a:noFill/>
                          </a:ln>
                        </pic:spPr>
                      </pic:pic>
                    </a:graphicData>
                  </a:graphic>
                </wp:inline>
              </w:drawing>
            </w:r>
          </w:p>
          <w:p>
            <w:pPr>
              <w:pStyle w:val="5"/>
              <w:ind w:firstLine="480"/>
            </w:pPr>
            <w:r>
              <w:t>式中：L</w:t>
            </w:r>
            <w:r>
              <w:rPr>
                <w:vertAlign w:val="subscript"/>
              </w:rPr>
              <w:t>p1</w:t>
            </w:r>
            <w:r>
              <w:t>——靠近开口处（或窗户）室内某倍频带的声压级或 A 声级，dB；</w:t>
            </w:r>
          </w:p>
          <w:p>
            <w:pPr>
              <w:pStyle w:val="5"/>
              <w:ind w:firstLine="1200" w:firstLineChars="500"/>
            </w:pPr>
            <w:r>
              <w:t>L</w:t>
            </w:r>
            <w:r>
              <w:rPr>
                <w:vertAlign w:val="subscript"/>
              </w:rPr>
              <w:t>w</w:t>
            </w:r>
            <w:r>
              <w:t>——点声源声功率级（A 计权或倍频带），dB；</w:t>
            </w:r>
          </w:p>
          <w:p>
            <w:pPr>
              <w:pStyle w:val="5"/>
              <w:ind w:firstLine="1200" w:firstLineChars="500"/>
            </w:pPr>
            <w:r>
              <w:t>Q——指向性因数；通常对无指向性声源，当声源放在房间中心时，Q=1；当放在一面墙的中心时，Q=2；当放在两面墙夹角处时，Q=4；当放在三面墙夹角处时，Q=8；</w:t>
            </w:r>
          </w:p>
          <w:p>
            <w:pPr>
              <w:pStyle w:val="5"/>
              <w:ind w:firstLine="480"/>
            </w:pPr>
            <w:r>
              <w:t>R——房间常数；R=Sα/（1-α），S为房间内表面面积，m</w:t>
            </w:r>
            <w:r>
              <w:rPr>
                <w:vertAlign w:val="superscript"/>
              </w:rPr>
              <w:t>2</w:t>
            </w:r>
            <w:r>
              <w:t>；α为平均吸声系数；</w:t>
            </w:r>
          </w:p>
          <w:p>
            <w:pPr>
              <w:pStyle w:val="5"/>
              <w:ind w:firstLine="480"/>
            </w:pPr>
            <w:r>
              <w:t>r——声源到靠近围护结构某点处的距离，m。</w:t>
            </w:r>
          </w:p>
          <w:p>
            <w:pPr>
              <w:pStyle w:val="5"/>
              <w:ind w:firstLine="480"/>
            </w:pPr>
            <w:r>
              <w:t>然后按下式计算出所有室内声源在围护结构处产生的 i 倍频带叠加声压级：</w:t>
            </w:r>
          </w:p>
          <w:p>
            <w:pPr>
              <w:spacing w:line="360" w:lineRule="auto"/>
              <w:jc w:val="center"/>
            </w:pPr>
            <w:r>
              <w:drawing>
                <wp:inline distT="0" distB="0" distL="0" distR="0">
                  <wp:extent cx="1499235" cy="443230"/>
                  <wp:effectExtent l="0" t="0" r="5715" b="0"/>
                  <wp:docPr id="5" name="图片 5" descr="图片包含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白板&#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99616" cy="443528"/>
                          </a:xfrm>
                          <a:prstGeom prst="rect">
                            <a:avLst/>
                          </a:prstGeom>
                          <a:noFill/>
                          <a:ln>
                            <a:noFill/>
                          </a:ln>
                        </pic:spPr>
                      </pic:pic>
                    </a:graphicData>
                  </a:graphic>
                </wp:inline>
              </w:drawing>
            </w:r>
          </w:p>
          <w:p>
            <w:pPr>
              <w:pStyle w:val="5"/>
              <w:ind w:firstLine="480"/>
            </w:pPr>
            <w:r>
              <w:t>式中：L</w:t>
            </w:r>
            <w:r>
              <w:rPr>
                <w:vertAlign w:val="subscript"/>
              </w:rPr>
              <w:t>p1i</w:t>
            </w:r>
            <w:r>
              <w:t>(T)——靠近围护结构处室内 N 个声源 i 倍频带的叠加声压级，dB；</w:t>
            </w:r>
          </w:p>
          <w:p>
            <w:pPr>
              <w:pStyle w:val="5"/>
              <w:ind w:firstLine="1200" w:firstLineChars="500"/>
            </w:pPr>
            <w:r>
              <w:t>L</w:t>
            </w:r>
            <w:r>
              <w:rPr>
                <w:vertAlign w:val="subscript"/>
              </w:rPr>
              <w:t>p1ij</w:t>
            </w:r>
            <w:r>
              <w:t xml:space="preserve"> ——室内 j 声源 i 倍频带的声压级，dB；</w:t>
            </w:r>
          </w:p>
          <w:p>
            <w:pPr>
              <w:pStyle w:val="5"/>
              <w:ind w:firstLine="1200" w:firstLineChars="500"/>
            </w:pPr>
            <w:r>
              <w:t>N ——室内声源总数。</w:t>
            </w:r>
          </w:p>
          <w:p>
            <w:pPr>
              <w:pStyle w:val="5"/>
              <w:ind w:firstLine="480"/>
            </w:pPr>
            <w:r>
              <w:t>在室内近似为扩散声场时，按下式计算出靠近室外围护结构处的声压级：</w:t>
            </w:r>
          </w:p>
          <w:p>
            <w:pPr>
              <w:spacing w:line="360" w:lineRule="auto"/>
              <w:jc w:val="center"/>
            </w:pPr>
            <w:r>
              <w:t>L</w:t>
            </w:r>
            <w:r>
              <w:rPr>
                <w:vertAlign w:val="subscript"/>
              </w:rPr>
              <w:t>p2i</w:t>
            </w:r>
            <w:r>
              <w:t>（T）=L</w:t>
            </w:r>
            <w:r>
              <w:rPr>
                <w:vertAlign w:val="subscript"/>
              </w:rPr>
              <w:t>pli</w:t>
            </w:r>
            <w:r>
              <w:t>（T）-（TL</w:t>
            </w:r>
            <w:r>
              <w:rPr>
                <w:vertAlign w:val="subscript"/>
              </w:rPr>
              <w:t>i</w:t>
            </w:r>
            <w:r>
              <w:t>+6）</w:t>
            </w:r>
          </w:p>
          <w:p>
            <w:pPr>
              <w:pStyle w:val="5"/>
              <w:ind w:firstLine="480"/>
            </w:pPr>
            <w:r>
              <w:t>式中：L</w:t>
            </w:r>
            <w:r>
              <w:rPr>
                <w:vertAlign w:val="subscript"/>
              </w:rPr>
              <w:t>p2i</w:t>
            </w:r>
            <w:r>
              <w:t>(T)——靠近围护结构处室外 N 个声源 i 倍频带的叠加声压级，dB；</w:t>
            </w:r>
          </w:p>
          <w:p>
            <w:pPr>
              <w:pStyle w:val="5"/>
              <w:ind w:firstLine="1200" w:firstLineChars="500"/>
            </w:pPr>
            <w:r>
              <w:t>L</w:t>
            </w:r>
            <w:r>
              <w:rPr>
                <w:vertAlign w:val="subscript"/>
              </w:rPr>
              <w:t>pli</w:t>
            </w:r>
            <w:r>
              <w:t>(T)——靠近围护结构处室内 N 个声源 i 倍频带的叠加声压级，dB；</w:t>
            </w:r>
          </w:p>
          <w:p>
            <w:pPr>
              <w:pStyle w:val="5"/>
              <w:ind w:firstLine="1200" w:firstLineChars="500"/>
            </w:pPr>
            <w:r>
              <w:t>TL</w:t>
            </w:r>
            <w:r>
              <w:rPr>
                <w:vertAlign w:val="subscript"/>
              </w:rPr>
              <w:t>i</w:t>
            </w:r>
            <w:r>
              <w:t xml:space="preserve"> ——围护结构 i 倍频带的隔声量，dB。</w:t>
            </w:r>
          </w:p>
          <w:p>
            <w:pPr>
              <w:pStyle w:val="5"/>
              <w:ind w:firstLine="480"/>
            </w:pPr>
            <w:r>
              <w:t>然后按室外声源预测方法计算预测点处的A声级。</w:t>
            </w:r>
          </w:p>
          <w:p>
            <w:pPr>
              <w:pStyle w:val="5"/>
              <w:ind w:firstLine="480"/>
            </w:pPr>
            <w:r>
              <w:t>2）声源衰减的基本公式</w:t>
            </w:r>
          </w:p>
          <w:p>
            <w:pPr>
              <w:pStyle w:val="5"/>
              <w:ind w:firstLine="480"/>
            </w:pPr>
            <w:r>
              <w:t>采用《环境影响评价技术导则 声环境》（HJ2.4-2021）中推荐的噪声户外传播声级衰减基本计算方法：</w:t>
            </w:r>
          </w:p>
          <w:p>
            <w:pPr>
              <w:pStyle w:val="5"/>
              <w:ind w:firstLine="480"/>
            </w:pPr>
            <w:r>
              <w:t>A、计算预测点位的倍频带声压级</w:t>
            </w:r>
          </w:p>
          <w:p>
            <w:pPr>
              <w:spacing w:line="360" w:lineRule="auto"/>
              <w:jc w:val="center"/>
            </w:pPr>
            <w:r>
              <w:t>L</w:t>
            </w:r>
            <w:r>
              <w:rPr>
                <w:vertAlign w:val="subscript"/>
              </w:rPr>
              <w:t>p</w:t>
            </w:r>
            <w:r>
              <w:t>(r)=L</w:t>
            </w:r>
            <w:r>
              <w:rPr>
                <w:vertAlign w:val="subscript"/>
              </w:rPr>
              <w:t>p</w:t>
            </w:r>
            <w:r>
              <w:t>(r</w:t>
            </w:r>
            <w:r>
              <w:rPr>
                <w:vertAlign w:val="subscript"/>
              </w:rPr>
              <w:t>0</w:t>
            </w:r>
            <w:r>
              <w:t>)-(A</w:t>
            </w:r>
            <w:r>
              <w:rPr>
                <w:vertAlign w:val="subscript"/>
              </w:rPr>
              <w:t>div</w:t>
            </w:r>
            <w:r>
              <w:t>+A</w:t>
            </w:r>
            <w:r>
              <w:rPr>
                <w:vertAlign w:val="subscript"/>
              </w:rPr>
              <w:t>atm</w:t>
            </w:r>
            <w:r>
              <w:t>+A</w:t>
            </w:r>
            <w:r>
              <w:rPr>
                <w:vertAlign w:val="subscript"/>
              </w:rPr>
              <w:t>bar</w:t>
            </w:r>
            <w:r>
              <w:t>+A</w:t>
            </w:r>
            <w:r>
              <w:rPr>
                <w:vertAlign w:val="subscript"/>
              </w:rPr>
              <w:t>gr</w:t>
            </w:r>
            <w:r>
              <w:t>+A</w:t>
            </w:r>
            <w:r>
              <w:rPr>
                <w:vertAlign w:val="subscript"/>
              </w:rPr>
              <w:t>misc</w:t>
            </w:r>
            <w:r>
              <w:t>)</w:t>
            </w:r>
          </w:p>
          <w:p>
            <w:pPr>
              <w:pStyle w:val="5"/>
              <w:ind w:firstLine="480"/>
            </w:pPr>
            <w:r>
              <w:t>式中：L</w:t>
            </w:r>
            <w:r>
              <w:rPr>
                <w:vertAlign w:val="subscript"/>
              </w:rPr>
              <w:t>p</w:t>
            </w:r>
            <w:r>
              <w:t>(r)—距声源r处的倍频带声压级；</w:t>
            </w:r>
          </w:p>
          <w:p>
            <w:pPr>
              <w:pStyle w:val="5"/>
              <w:ind w:firstLine="480"/>
            </w:pPr>
            <w:r>
              <w:t xml:space="preserve">      L</w:t>
            </w:r>
            <w:r>
              <w:rPr>
                <w:vertAlign w:val="subscript"/>
              </w:rPr>
              <w:t>p</w:t>
            </w:r>
            <w:r>
              <w:t>(r</w:t>
            </w:r>
            <w:r>
              <w:rPr>
                <w:vertAlign w:val="subscript"/>
              </w:rPr>
              <w:t>0</w:t>
            </w:r>
            <w:r>
              <w:t>)—声源参考位置r</w:t>
            </w:r>
            <w:r>
              <w:rPr>
                <w:vertAlign w:val="subscript"/>
              </w:rPr>
              <w:t>0</w:t>
            </w:r>
            <w:r>
              <w:t>处的倍频带声压级；</w:t>
            </w:r>
          </w:p>
          <w:p>
            <w:pPr>
              <w:pStyle w:val="5"/>
              <w:ind w:firstLine="480"/>
            </w:pPr>
            <w:r>
              <w:t xml:space="preserve">      A</w:t>
            </w:r>
            <w:r>
              <w:rPr>
                <w:vertAlign w:val="subscript"/>
              </w:rPr>
              <w:t>div</w:t>
            </w:r>
            <w:r>
              <w:t>—声波几何发散引起的倍频带衰减量；</w:t>
            </w:r>
          </w:p>
          <w:p>
            <w:pPr>
              <w:pStyle w:val="5"/>
              <w:ind w:firstLine="480"/>
            </w:pPr>
            <w:r>
              <w:t xml:space="preserve">      A</w:t>
            </w:r>
            <w:r>
              <w:rPr>
                <w:vertAlign w:val="subscript"/>
              </w:rPr>
              <w:t>atm</w:t>
            </w:r>
            <w:r>
              <w:t>—空气吸收引起的倍频带衰减量；</w:t>
            </w:r>
          </w:p>
          <w:p>
            <w:pPr>
              <w:pStyle w:val="5"/>
              <w:ind w:firstLine="1200" w:firstLineChars="500"/>
            </w:pPr>
            <w:r>
              <w:t>A</w:t>
            </w:r>
            <w:r>
              <w:rPr>
                <w:vertAlign w:val="subscript"/>
              </w:rPr>
              <w:t>bar</w:t>
            </w:r>
            <w:r>
              <w:t>—声屏障引起的倍频带衰减量；</w:t>
            </w:r>
          </w:p>
          <w:p>
            <w:pPr>
              <w:pStyle w:val="5"/>
              <w:ind w:firstLine="1200" w:firstLineChars="500"/>
            </w:pPr>
            <w:r>
              <w:t>A</w:t>
            </w:r>
            <w:r>
              <w:rPr>
                <w:vertAlign w:val="subscript"/>
              </w:rPr>
              <w:t>gr</w:t>
            </w:r>
            <w:r>
              <w:t>—地面效应引起的倍频带衰减量；</w:t>
            </w:r>
          </w:p>
          <w:p>
            <w:pPr>
              <w:pStyle w:val="5"/>
              <w:ind w:firstLine="1200" w:firstLineChars="500"/>
            </w:pPr>
            <w:r>
              <w:t>Amisc—其它多方面效应引起的衰减。</w:t>
            </w:r>
          </w:p>
          <w:p>
            <w:pPr>
              <w:pStyle w:val="5"/>
              <w:ind w:firstLine="480"/>
            </w:pPr>
            <w:r>
              <w:t>B、几何发散衰减(Adiv)</w:t>
            </w:r>
          </w:p>
          <w:p>
            <w:pPr>
              <w:pStyle w:val="5"/>
              <w:ind w:firstLine="480"/>
            </w:pPr>
            <w:r>
              <w:rPr>
                <w:rFonts w:hint="eastAsia" w:ascii="宋体" w:hAnsi="宋体" w:cs="宋体"/>
              </w:rPr>
              <w:t>①</w:t>
            </w:r>
            <w:r>
              <w:t>点声源的几何发散衰减：</w:t>
            </w:r>
          </w:p>
          <w:p>
            <w:pPr>
              <w:pStyle w:val="5"/>
              <w:ind w:firstLine="480"/>
            </w:pPr>
            <w:r>
              <w:t xml:space="preserve">             L</w:t>
            </w:r>
            <w:r>
              <w:rPr>
                <w:vertAlign w:val="subscript"/>
              </w:rPr>
              <w:t>P</w:t>
            </w:r>
            <w:r>
              <w:t>（r）=L</w:t>
            </w:r>
            <w:r>
              <w:rPr>
                <w:vertAlign w:val="subscript"/>
              </w:rPr>
              <w:t>P</w:t>
            </w:r>
            <w:r>
              <w:t>(r</w:t>
            </w:r>
            <w:r>
              <w:rPr>
                <w:vertAlign w:val="subscript"/>
              </w:rPr>
              <w:t>0</w:t>
            </w:r>
            <w:r>
              <w:t>)-201g(r/r</w:t>
            </w:r>
            <w:r>
              <w:rPr>
                <w:vertAlign w:val="subscript"/>
              </w:rPr>
              <w:t>0</w:t>
            </w:r>
            <w:r>
              <w:t>)</w:t>
            </w:r>
          </w:p>
          <w:p>
            <w:pPr>
              <w:pStyle w:val="5"/>
              <w:ind w:firstLine="480"/>
            </w:pPr>
            <w:r>
              <w:t>式中：L</w:t>
            </w:r>
            <w:r>
              <w:rPr>
                <w:vertAlign w:val="subscript"/>
              </w:rPr>
              <w:t>P</w:t>
            </w:r>
            <w:r>
              <w:t>（r）、L(r</w:t>
            </w:r>
            <w:r>
              <w:rPr>
                <w:vertAlign w:val="subscript"/>
              </w:rPr>
              <w:t>0</w:t>
            </w:r>
            <w:r>
              <w:t>)分别是r，r</w:t>
            </w:r>
            <w:r>
              <w:rPr>
                <w:vertAlign w:val="subscript"/>
              </w:rPr>
              <w:t>0</w:t>
            </w:r>
            <w:r>
              <w:t>处的声级。</w:t>
            </w:r>
          </w:p>
          <w:p>
            <w:pPr>
              <w:pStyle w:val="5"/>
              <w:ind w:firstLine="480"/>
            </w:pPr>
            <w:r>
              <w:t>声源处于自由空间：  L</w:t>
            </w:r>
            <w:r>
              <w:rPr>
                <w:vertAlign w:val="subscript"/>
              </w:rPr>
              <w:t>P</w:t>
            </w:r>
            <w:r>
              <w:t>（r）=L</w:t>
            </w:r>
            <w:r>
              <w:rPr>
                <w:vertAlign w:val="subscript"/>
              </w:rPr>
              <w:t>W</w:t>
            </w:r>
            <w:r>
              <w:t>(r</w:t>
            </w:r>
            <w:r>
              <w:rPr>
                <w:vertAlign w:val="subscript"/>
              </w:rPr>
              <w:t>0</w:t>
            </w:r>
            <w:r>
              <w:t>)-201g(r)-11</w:t>
            </w:r>
          </w:p>
          <w:p>
            <w:pPr>
              <w:pStyle w:val="5"/>
              <w:ind w:firstLine="480"/>
            </w:pPr>
            <w:r>
              <w:t>声源处于半自由空间：L</w:t>
            </w:r>
            <w:r>
              <w:rPr>
                <w:vertAlign w:val="subscript"/>
              </w:rPr>
              <w:t>P</w:t>
            </w:r>
            <w:r>
              <w:t>（r）=L</w:t>
            </w:r>
            <w:r>
              <w:rPr>
                <w:vertAlign w:val="subscript"/>
              </w:rPr>
              <w:t>W</w:t>
            </w:r>
            <w:r>
              <w:t>-201g(r)-8</w:t>
            </w:r>
          </w:p>
          <w:p>
            <w:pPr>
              <w:pStyle w:val="5"/>
              <w:ind w:firstLine="480"/>
            </w:pPr>
            <w:r>
              <w:rPr>
                <w:rFonts w:hint="eastAsia" w:ascii="宋体" w:hAnsi="宋体" w:cs="宋体"/>
              </w:rPr>
              <w:t>②</w:t>
            </w:r>
            <w:r>
              <w:t>面声源的几何发散衰减：</w:t>
            </w:r>
          </w:p>
          <w:p>
            <w:pPr>
              <w:pStyle w:val="5"/>
              <w:ind w:firstLine="480"/>
            </w:pPr>
            <w:r>
              <w:t>面声源短边为a，长边为b，随着距离的增加，引起其衰减值与距离的关系为：</w:t>
            </w:r>
          </w:p>
          <w:p>
            <w:pPr>
              <w:spacing w:line="360" w:lineRule="auto"/>
              <w:ind w:firstLine="420" w:firstLineChars="200"/>
            </w:pPr>
            <w:r>
              <w:t>当</w:t>
            </w:r>
            <w:r>
              <w:rPr>
                <w:position w:val="-24"/>
              </w:rPr>
              <w:object>
                <v:shape id="_x0000_i1028" o:spt="75" type="#_x0000_t75" style="height:28.45pt;width:36pt;" o:ole="t" filled="f" o:preferrelative="t" stroked="f" coordsize="21600,21600">
                  <v:path/>
                  <v:fill on="f" focussize="0,0"/>
                  <v:stroke on="f" joinstyle="miter"/>
                  <v:imagedata r:id="rId29" o:title=""/>
                  <o:lock v:ext="edit" aspectratio="t"/>
                  <w10:wrap type="none"/>
                  <w10:anchorlock/>
                </v:shape>
                <o:OLEObject Type="Embed" ProgID="Equation.DSMT4" ShapeID="_x0000_i1028" DrawAspect="Content" ObjectID="_1468075726" r:id="rId28">
                  <o:LockedField>false</o:LockedField>
                </o:OLEObject>
              </w:object>
            </w:r>
            <w:r>
              <w:t xml:space="preserve"> 时，在r处A</w:t>
            </w:r>
            <w:r>
              <w:rPr>
                <w:vertAlign w:val="subscript"/>
              </w:rPr>
              <w:t>div</w:t>
            </w:r>
            <w:r>
              <w:t>≈0</w:t>
            </w:r>
          </w:p>
          <w:p>
            <w:pPr>
              <w:spacing w:line="360" w:lineRule="auto"/>
              <w:ind w:firstLine="420" w:firstLineChars="200"/>
            </w:pPr>
            <w:r>
              <w:t>当</w:t>
            </w:r>
            <w:r>
              <w:rPr>
                <w:position w:val="-24"/>
              </w:rPr>
              <w:object>
                <v:shape id="_x0000_i1029" o:spt="75" type="#_x0000_t75" style="height:28.45pt;width:64.4pt;" o:ole="t" filled="f" o:preferrelative="t" stroked="f" coordsize="21600,21600">
                  <v:path/>
                  <v:fill on="f" focussize="0,0"/>
                  <v:stroke on="f" joinstyle="miter"/>
                  <v:imagedata r:id="rId31" o:title=""/>
                  <o:lock v:ext="edit" aspectratio="t"/>
                  <w10:wrap type="none"/>
                  <w10:anchorlock/>
                </v:shape>
                <o:OLEObject Type="Embed" ProgID="Equation.DSMT4" ShapeID="_x0000_i1029" DrawAspect="Content" ObjectID="_1468075727" r:id="rId30">
                  <o:LockedField>false</o:LockedField>
                </o:OLEObject>
              </w:object>
            </w:r>
            <w:r>
              <w:t xml:space="preserve"> 时，在r处距离r每增加1倍，A</w:t>
            </w:r>
            <w:r>
              <w:rPr>
                <w:vertAlign w:val="subscript"/>
              </w:rPr>
              <w:t>div</w:t>
            </w:r>
            <w:r>
              <w:t>≈3</w:t>
            </w:r>
          </w:p>
          <w:p>
            <w:pPr>
              <w:spacing w:line="360" w:lineRule="auto"/>
              <w:ind w:firstLine="420" w:firstLineChars="200"/>
            </w:pPr>
            <w:r>
              <w:t>当</w:t>
            </w:r>
            <w:r>
              <w:rPr>
                <w:position w:val="-24"/>
              </w:rPr>
              <w:object>
                <v:shape id="_x0000_i1030" o:spt="75" type="#_x0000_t75" style="height:28.45pt;width:36pt;" o:ole="t" filled="f" o:preferrelative="t" stroked="f" coordsize="21600,21600">
                  <v:path/>
                  <v:fill on="f" focussize="0,0"/>
                  <v:stroke on="f" joinstyle="miter"/>
                  <v:imagedata r:id="rId33" o:title=""/>
                  <o:lock v:ext="edit" aspectratio="t"/>
                  <w10:wrap type="none"/>
                  <w10:anchorlock/>
                </v:shape>
                <o:OLEObject Type="Embed" ProgID="Equation.DSMT4" ShapeID="_x0000_i1030" DrawAspect="Content" ObjectID="_1468075728" r:id="rId32">
                  <o:LockedField>false</o:LockedField>
                </o:OLEObject>
              </w:object>
            </w:r>
            <w:r>
              <w:t xml:space="preserve"> 时，在r处距离r每增加1倍，A</w:t>
            </w:r>
            <w:r>
              <w:rPr>
                <w:vertAlign w:val="subscript"/>
              </w:rPr>
              <w:t>div</w:t>
            </w:r>
            <w:r>
              <w:t>≈6</w:t>
            </w:r>
          </w:p>
          <w:p>
            <w:pPr>
              <w:pStyle w:val="5"/>
              <w:ind w:firstLine="480"/>
            </w:pPr>
            <w:r>
              <w:t>C、地面效应衰减(A</w:t>
            </w:r>
            <w:r>
              <w:rPr>
                <w:vertAlign w:val="subscript"/>
              </w:rPr>
              <w:t>gr</w:t>
            </w:r>
            <w:r>
              <w:t>)</w:t>
            </w:r>
          </w:p>
          <w:p>
            <w:pPr>
              <w:pStyle w:val="5"/>
              <w:ind w:firstLine="480"/>
            </w:pPr>
            <w:r>
              <w:t>地面类型可分为：坚实地面，包括铺筑过的路面、水面、冰面以及夯实地面；疏松地面，包括被草或其他植物覆盖的地面，以及农田等适合于植物生长的地面；混合地面，由坚实地面和疏松地面组成。</w:t>
            </w:r>
          </w:p>
          <w:p>
            <w:pPr>
              <w:pStyle w:val="5"/>
              <w:ind w:firstLine="480"/>
            </w:pPr>
            <w:r>
              <w:t>声波越过疏松地面传播时，或大部分为疏松地面的混合地面，在预测点仅计算A声级前提下，地面效应引起的倍频带衰减公式：</w:t>
            </w:r>
          </w:p>
          <w:p>
            <w:pPr>
              <w:spacing w:line="360" w:lineRule="auto"/>
              <w:jc w:val="center"/>
            </w:pPr>
            <w:r>
              <w:rPr>
                <w:position w:val="-24"/>
              </w:rPr>
              <w:object>
                <v:shape id="_x0000_i1031" o:spt="75" type="#_x0000_t75" style="height:36pt;width:144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29" r:id="rId34">
                  <o:LockedField>false</o:LockedField>
                </o:OLEObject>
              </w:object>
            </w:r>
          </w:p>
          <w:p>
            <w:pPr>
              <w:pStyle w:val="5"/>
              <w:ind w:firstLine="480"/>
            </w:pPr>
            <w:r>
              <w:t>式中：Agr ——地面效应引起的衰减，dB；</w:t>
            </w:r>
          </w:p>
          <w:p>
            <w:pPr>
              <w:pStyle w:val="5"/>
              <w:ind w:firstLine="480"/>
            </w:pPr>
            <w:r>
              <w:t>r ——预测点距声源的距离，m；</w:t>
            </w:r>
          </w:p>
          <w:p>
            <w:pPr>
              <w:pStyle w:val="5"/>
              <w:ind w:firstLine="480"/>
            </w:pPr>
            <w:r>
              <w:t>hm——传播路径的平均离地高度，m；hm=F /r；F：面积，m</w:t>
            </w:r>
            <w:r>
              <w:rPr>
                <w:vertAlign w:val="superscript"/>
              </w:rPr>
              <w:t>2</w:t>
            </w:r>
            <w:r>
              <w:t>；若 Agr 计算出 负值，则 Agr 可用“0”代替。</w:t>
            </w:r>
          </w:p>
          <w:p>
            <w:pPr>
              <w:pStyle w:val="5"/>
              <w:ind w:firstLine="480"/>
            </w:pPr>
            <w:r>
              <w:t>预测只考虑几何发散衰减(A</w:t>
            </w:r>
            <w:r>
              <w:rPr>
                <w:vertAlign w:val="subscript"/>
              </w:rPr>
              <w:t>div</w:t>
            </w:r>
            <w:r>
              <w:t>)、地面效应衰减(A</w:t>
            </w:r>
            <w:r>
              <w:rPr>
                <w:vertAlign w:val="subscript"/>
              </w:rPr>
              <w:t>gr</w:t>
            </w:r>
            <w:r>
              <w:t>)，其它项目衰减作为预测计算的安全系数而忽略不计。</w:t>
            </w:r>
          </w:p>
          <w:p>
            <w:pPr>
              <w:pStyle w:val="5"/>
              <w:ind w:firstLine="480"/>
            </w:pPr>
            <w:r>
              <w:t>3）预测点的预测等效声级（L</w:t>
            </w:r>
            <w:r>
              <w:rPr>
                <w:vertAlign w:val="subscript"/>
              </w:rPr>
              <w:t>eq</w:t>
            </w:r>
            <w:r>
              <w:t>）</w:t>
            </w:r>
          </w:p>
          <w:p>
            <w:pPr>
              <w:pStyle w:val="5"/>
              <w:ind w:firstLine="480"/>
            </w:pPr>
            <w:r>
              <w:t>为了便于叠加背景值，预测点位的设置同现状测点一致，各高噪设备经减振、隔声、消声等综合防治措施后到达预测点的贡献值与各预测点背景值叠加即得出运行期噪声影响预测值。</w:t>
            </w:r>
          </w:p>
          <w:p>
            <w:pPr>
              <w:pStyle w:val="5"/>
              <w:ind w:firstLine="480"/>
            </w:pPr>
            <w:r>
              <w:rPr>
                <w:rFonts w:hint="eastAsia" w:ascii="宋体" w:hAnsi="宋体" w:cs="宋体"/>
                <w:lang w:eastAsia="ja-JP"/>
              </w:rPr>
              <w:t>①</w:t>
            </w:r>
            <w:r>
              <w:t>叠加模式</w:t>
            </w:r>
          </w:p>
          <w:p>
            <w:pPr>
              <w:spacing w:line="360" w:lineRule="auto"/>
              <w:jc w:val="center"/>
            </w:pPr>
            <w:r>
              <w:object>
                <v:shape id="_x0000_i1032" o:spt="75" type="#_x0000_t75" style="height:36pt;width:115.6pt;" o:ole="t" filled="f" o:preferrelative="t" stroked="f" coordsize="21600,21600">
                  <v:path/>
                  <v:fill on="f" focussize="0,0"/>
                  <v:stroke on="f" joinstyle="miter"/>
                  <v:imagedata r:id="rId37" o:title=""/>
                  <o:lock v:ext="edit" aspectratio="t"/>
                  <w10:wrap type="none"/>
                  <w10:anchorlock/>
                </v:shape>
                <o:OLEObject Type="Embed" ProgID="Equation.3" ShapeID="_x0000_i1032" DrawAspect="Content" ObjectID="_1468075730" r:id="rId36">
                  <o:LockedField>false</o:LockedField>
                </o:OLEObject>
              </w:object>
            </w:r>
          </w:p>
          <w:p>
            <w:pPr>
              <w:pStyle w:val="5"/>
              <w:ind w:firstLine="480"/>
            </w:pPr>
            <w:r>
              <w:t>式中：L—评价点噪声的预测值，dB(Α)；</w:t>
            </w:r>
          </w:p>
          <w:p>
            <w:pPr>
              <w:pStyle w:val="5"/>
              <w:ind w:firstLine="480"/>
            </w:pPr>
            <w:r>
              <w:t>L</w:t>
            </w:r>
            <w:r>
              <w:rPr>
                <w:vertAlign w:val="subscript"/>
              </w:rPr>
              <w:t>i</w:t>
            </w:r>
            <w:r>
              <w:t>—第i个声源在评价点产生的噪声贡献值，dB(Α)；</w:t>
            </w:r>
          </w:p>
          <w:p>
            <w:pPr>
              <w:pStyle w:val="5"/>
              <w:ind w:firstLine="480"/>
            </w:pPr>
            <w:r>
              <w:t>n—点声源数。</w:t>
            </w:r>
          </w:p>
          <w:p>
            <w:pPr>
              <w:pStyle w:val="5"/>
              <w:ind w:firstLine="480"/>
            </w:pPr>
            <w:r>
              <w:rPr>
                <w:rFonts w:hint="eastAsia"/>
              </w:rPr>
              <w:t>厂界噪声预测结果见</w:t>
            </w:r>
            <w:r>
              <w:fldChar w:fldCharType="begin"/>
            </w:r>
            <w:r>
              <w:instrText xml:space="preserve"> </w:instrText>
            </w:r>
            <w:r>
              <w:rPr>
                <w:rFonts w:hint="eastAsia"/>
              </w:rPr>
              <w:instrText xml:space="preserve">REF _Ref168408434 \h</w:instrText>
            </w:r>
            <w:r>
              <w:instrText xml:space="preserve"> </w:instrText>
            </w:r>
            <w:r>
              <w:fldChar w:fldCharType="separate"/>
            </w:r>
            <w:r>
              <w:rPr>
                <w:rFonts w:hint="eastAsia"/>
              </w:rPr>
              <w:t xml:space="preserve">表 </w:t>
            </w:r>
            <w:r>
              <w:t>4.2</w:t>
            </w:r>
            <w:r>
              <w:noBreakHyphen/>
            </w:r>
            <w:r>
              <w:t>19</w:t>
            </w:r>
            <w:r>
              <w:fldChar w:fldCharType="end"/>
            </w:r>
            <w:r>
              <w:rPr>
                <w:rFonts w:hint="eastAsia"/>
              </w:rPr>
              <w:t>。根据下表，项目南侧、西侧、东侧厂界噪声贡献值满足《工业企业厂界环境噪声排放标准》（GB12348-2008）2类昼间、夜间标准限值，项目北侧厂界噪声贡献值满足《工业企业厂界环境噪声排放标准》（GB12348-2008）4类昼间、夜间标准限值。</w:t>
            </w:r>
          </w:p>
          <w:p>
            <w:pPr>
              <w:pStyle w:val="14"/>
              <w:keepNext/>
            </w:pPr>
            <w:bookmarkStart w:id="75" w:name="_Ref168408434"/>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19</w:t>
            </w:r>
            <w:r>
              <w:fldChar w:fldCharType="end"/>
            </w:r>
            <w:bookmarkEnd w:id="75"/>
            <w:r>
              <w:rPr>
                <w:rFonts w:hint="eastAsia"/>
              </w:rPr>
              <w:t xml:space="preserve">   项目厂界噪声预测结果  dB（A）</w:t>
            </w:r>
          </w:p>
          <w:tbl>
            <w:tblPr>
              <w:tblStyle w:val="39"/>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323"/>
              <w:gridCol w:w="1322"/>
              <w:gridCol w:w="1322"/>
              <w:gridCol w:w="1322"/>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7" w:type="dxa"/>
                  <w:vAlign w:val="center"/>
                </w:tcPr>
                <w:p>
                  <w:pPr>
                    <w:pStyle w:val="63"/>
                  </w:pPr>
                  <w:r>
                    <w:rPr>
                      <w:rFonts w:hint="eastAsia"/>
                    </w:rPr>
                    <w:t>厂界</w:t>
                  </w:r>
                </w:p>
              </w:tc>
              <w:tc>
                <w:tcPr>
                  <w:tcW w:w="1323" w:type="dxa"/>
                  <w:vAlign w:val="center"/>
                </w:tcPr>
                <w:p>
                  <w:pPr>
                    <w:pStyle w:val="63"/>
                  </w:pPr>
                  <w:r>
                    <w:rPr>
                      <w:rFonts w:hint="eastAsia"/>
                    </w:rPr>
                    <w:t>时间</w:t>
                  </w:r>
                </w:p>
              </w:tc>
              <w:tc>
                <w:tcPr>
                  <w:tcW w:w="1322" w:type="dxa"/>
                  <w:vAlign w:val="center"/>
                </w:tcPr>
                <w:p>
                  <w:pPr>
                    <w:pStyle w:val="63"/>
                  </w:pPr>
                  <w:r>
                    <w:rPr>
                      <w:rFonts w:hint="eastAsia"/>
                    </w:rPr>
                    <w:t>贡献值</w:t>
                  </w:r>
                </w:p>
              </w:tc>
              <w:tc>
                <w:tcPr>
                  <w:tcW w:w="1322" w:type="dxa"/>
                  <w:vAlign w:val="center"/>
                </w:tcPr>
                <w:p>
                  <w:pPr>
                    <w:pStyle w:val="63"/>
                  </w:pPr>
                  <w:r>
                    <w:rPr>
                      <w:rFonts w:hint="eastAsia"/>
                    </w:rPr>
                    <w:t>声功能区</w:t>
                  </w:r>
                </w:p>
              </w:tc>
              <w:tc>
                <w:tcPr>
                  <w:tcW w:w="1322" w:type="dxa"/>
                  <w:vAlign w:val="center"/>
                </w:tcPr>
                <w:p>
                  <w:pPr>
                    <w:pStyle w:val="63"/>
                  </w:pPr>
                  <w:r>
                    <w:rPr>
                      <w:rFonts w:hint="eastAsia"/>
                    </w:rPr>
                    <w:t>标准值</w:t>
                  </w:r>
                </w:p>
              </w:tc>
              <w:tc>
                <w:tcPr>
                  <w:tcW w:w="1322" w:type="dxa"/>
                  <w:vAlign w:val="center"/>
                </w:tcPr>
                <w:p>
                  <w:pPr>
                    <w:pStyle w:val="63"/>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7" w:type="dxa"/>
                  <w:vMerge w:val="restart"/>
                  <w:vAlign w:val="center"/>
                </w:tcPr>
                <w:p>
                  <w:pPr>
                    <w:pStyle w:val="63"/>
                  </w:pPr>
                  <w:r>
                    <w:rPr>
                      <w:rFonts w:hint="eastAsia"/>
                    </w:rPr>
                    <w:t>北厂界</w:t>
                  </w:r>
                </w:p>
              </w:tc>
              <w:tc>
                <w:tcPr>
                  <w:tcW w:w="1323" w:type="dxa"/>
                  <w:vAlign w:val="center"/>
                </w:tcPr>
                <w:p>
                  <w:pPr>
                    <w:pStyle w:val="63"/>
                  </w:pPr>
                  <w:r>
                    <w:rPr>
                      <w:rFonts w:hint="eastAsia"/>
                    </w:rPr>
                    <w:t>昼间</w:t>
                  </w:r>
                </w:p>
              </w:tc>
              <w:tc>
                <w:tcPr>
                  <w:tcW w:w="1322" w:type="dxa"/>
                  <w:vAlign w:val="center"/>
                </w:tcPr>
                <w:p>
                  <w:pPr>
                    <w:pStyle w:val="63"/>
                  </w:pPr>
                  <w:r>
                    <w:rPr>
                      <w:rFonts w:hint="eastAsia"/>
                    </w:rPr>
                    <w:t>46.6</w:t>
                  </w:r>
                </w:p>
              </w:tc>
              <w:tc>
                <w:tcPr>
                  <w:tcW w:w="1322" w:type="dxa"/>
                  <w:vMerge w:val="restart"/>
                  <w:vAlign w:val="center"/>
                </w:tcPr>
                <w:p>
                  <w:pPr>
                    <w:pStyle w:val="63"/>
                  </w:pPr>
                  <w:r>
                    <w:rPr>
                      <w:rFonts w:hint="eastAsia"/>
                    </w:rPr>
                    <w:t>4类</w:t>
                  </w:r>
                </w:p>
              </w:tc>
              <w:tc>
                <w:tcPr>
                  <w:tcW w:w="1322" w:type="dxa"/>
                  <w:vAlign w:val="center"/>
                </w:tcPr>
                <w:p>
                  <w:pPr>
                    <w:pStyle w:val="63"/>
                  </w:pPr>
                  <w:r>
                    <w:rPr>
                      <w:rFonts w:hint="eastAsia"/>
                    </w:rPr>
                    <w:t>70</w:t>
                  </w:r>
                </w:p>
              </w:tc>
              <w:tc>
                <w:tcPr>
                  <w:tcW w:w="1322"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7" w:type="dxa"/>
                  <w:vMerge w:val="continue"/>
                  <w:vAlign w:val="center"/>
                </w:tcPr>
                <w:p>
                  <w:pPr>
                    <w:pStyle w:val="63"/>
                  </w:pPr>
                </w:p>
              </w:tc>
              <w:tc>
                <w:tcPr>
                  <w:tcW w:w="1323" w:type="dxa"/>
                  <w:vAlign w:val="center"/>
                </w:tcPr>
                <w:p>
                  <w:pPr>
                    <w:pStyle w:val="63"/>
                  </w:pPr>
                  <w:r>
                    <w:rPr>
                      <w:rFonts w:hint="eastAsia"/>
                    </w:rPr>
                    <w:t>夜间</w:t>
                  </w:r>
                </w:p>
              </w:tc>
              <w:tc>
                <w:tcPr>
                  <w:tcW w:w="1322" w:type="dxa"/>
                  <w:vAlign w:val="center"/>
                </w:tcPr>
                <w:p>
                  <w:pPr>
                    <w:pStyle w:val="63"/>
                  </w:pPr>
                  <w:r>
                    <w:rPr>
                      <w:rFonts w:hint="eastAsia"/>
                    </w:rPr>
                    <w:t>46.6</w:t>
                  </w:r>
                </w:p>
              </w:tc>
              <w:tc>
                <w:tcPr>
                  <w:tcW w:w="1322" w:type="dxa"/>
                  <w:vMerge w:val="continue"/>
                  <w:vAlign w:val="center"/>
                </w:tcPr>
                <w:p>
                  <w:pPr>
                    <w:pStyle w:val="63"/>
                  </w:pPr>
                </w:p>
              </w:tc>
              <w:tc>
                <w:tcPr>
                  <w:tcW w:w="1322" w:type="dxa"/>
                  <w:vAlign w:val="center"/>
                </w:tcPr>
                <w:p>
                  <w:pPr>
                    <w:pStyle w:val="63"/>
                  </w:pPr>
                  <w:r>
                    <w:rPr>
                      <w:rFonts w:hint="eastAsia"/>
                    </w:rPr>
                    <w:t>55</w:t>
                  </w:r>
                </w:p>
              </w:tc>
              <w:tc>
                <w:tcPr>
                  <w:tcW w:w="1322"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7" w:type="dxa"/>
                  <w:vMerge w:val="restart"/>
                  <w:vAlign w:val="center"/>
                </w:tcPr>
                <w:p>
                  <w:pPr>
                    <w:pStyle w:val="63"/>
                  </w:pPr>
                  <w:r>
                    <w:rPr>
                      <w:rFonts w:hint="eastAsia"/>
                    </w:rPr>
                    <w:t>南厂界</w:t>
                  </w:r>
                </w:p>
              </w:tc>
              <w:tc>
                <w:tcPr>
                  <w:tcW w:w="1323" w:type="dxa"/>
                  <w:vAlign w:val="center"/>
                </w:tcPr>
                <w:p>
                  <w:pPr>
                    <w:pStyle w:val="63"/>
                  </w:pPr>
                  <w:r>
                    <w:rPr>
                      <w:rFonts w:hint="eastAsia"/>
                    </w:rPr>
                    <w:t>昼间</w:t>
                  </w:r>
                </w:p>
              </w:tc>
              <w:tc>
                <w:tcPr>
                  <w:tcW w:w="1322" w:type="dxa"/>
                  <w:vAlign w:val="center"/>
                </w:tcPr>
                <w:p>
                  <w:pPr>
                    <w:pStyle w:val="63"/>
                  </w:pPr>
                  <w:r>
                    <w:rPr>
                      <w:rFonts w:hint="eastAsia"/>
                    </w:rPr>
                    <w:t>48.7</w:t>
                  </w:r>
                </w:p>
              </w:tc>
              <w:tc>
                <w:tcPr>
                  <w:tcW w:w="1322" w:type="dxa"/>
                  <w:vMerge w:val="restart"/>
                  <w:vAlign w:val="center"/>
                </w:tcPr>
                <w:p>
                  <w:pPr>
                    <w:pStyle w:val="63"/>
                  </w:pPr>
                  <w:r>
                    <w:rPr>
                      <w:rFonts w:hint="eastAsia"/>
                    </w:rPr>
                    <w:t>2类</w:t>
                  </w:r>
                </w:p>
              </w:tc>
              <w:tc>
                <w:tcPr>
                  <w:tcW w:w="1322" w:type="dxa"/>
                  <w:vAlign w:val="center"/>
                </w:tcPr>
                <w:p>
                  <w:pPr>
                    <w:pStyle w:val="63"/>
                  </w:pPr>
                  <w:r>
                    <w:rPr>
                      <w:rFonts w:hint="eastAsia"/>
                    </w:rPr>
                    <w:t>60</w:t>
                  </w:r>
                </w:p>
              </w:tc>
              <w:tc>
                <w:tcPr>
                  <w:tcW w:w="1322"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7" w:type="dxa"/>
                  <w:vMerge w:val="continue"/>
                  <w:vAlign w:val="center"/>
                </w:tcPr>
                <w:p>
                  <w:pPr>
                    <w:pStyle w:val="63"/>
                  </w:pPr>
                </w:p>
              </w:tc>
              <w:tc>
                <w:tcPr>
                  <w:tcW w:w="1323" w:type="dxa"/>
                  <w:vAlign w:val="center"/>
                </w:tcPr>
                <w:p>
                  <w:pPr>
                    <w:pStyle w:val="63"/>
                  </w:pPr>
                  <w:r>
                    <w:rPr>
                      <w:rFonts w:hint="eastAsia"/>
                    </w:rPr>
                    <w:t>夜间</w:t>
                  </w:r>
                </w:p>
              </w:tc>
              <w:tc>
                <w:tcPr>
                  <w:tcW w:w="1322" w:type="dxa"/>
                  <w:vAlign w:val="center"/>
                </w:tcPr>
                <w:p>
                  <w:pPr>
                    <w:pStyle w:val="63"/>
                  </w:pPr>
                  <w:r>
                    <w:rPr>
                      <w:rFonts w:hint="eastAsia"/>
                    </w:rPr>
                    <w:t>48.7</w:t>
                  </w:r>
                </w:p>
              </w:tc>
              <w:tc>
                <w:tcPr>
                  <w:tcW w:w="1322" w:type="dxa"/>
                  <w:vMerge w:val="continue"/>
                  <w:vAlign w:val="center"/>
                </w:tcPr>
                <w:p>
                  <w:pPr>
                    <w:pStyle w:val="63"/>
                  </w:pPr>
                </w:p>
              </w:tc>
              <w:tc>
                <w:tcPr>
                  <w:tcW w:w="1322" w:type="dxa"/>
                  <w:vAlign w:val="center"/>
                </w:tcPr>
                <w:p>
                  <w:pPr>
                    <w:pStyle w:val="63"/>
                  </w:pPr>
                  <w:r>
                    <w:rPr>
                      <w:rFonts w:hint="eastAsia"/>
                    </w:rPr>
                    <w:t>50</w:t>
                  </w:r>
                </w:p>
              </w:tc>
              <w:tc>
                <w:tcPr>
                  <w:tcW w:w="1322"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7" w:type="dxa"/>
                  <w:vMerge w:val="restart"/>
                  <w:vAlign w:val="center"/>
                </w:tcPr>
                <w:p>
                  <w:pPr>
                    <w:pStyle w:val="63"/>
                  </w:pPr>
                  <w:r>
                    <w:rPr>
                      <w:rFonts w:hint="eastAsia"/>
                    </w:rPr>
                    <w:t>西厂界</w:t>
                  </w:r>
                </w:p>
              </w:tc>
              <w:tc>
                <w:tcPr>
                  <w:tcW w:w="1323" w:type="dxa"/>
                  <w:vAlign w:val="center"/>
                </w:tcPr>
                <w:p>
                  <w:pPr>
                    <w:pStyle w:val="63"/>
                  </w:pPr>
                  <w:r>
                    <w:rPr>
                      <w:rFonts w:hint="eastAsia"/>
                    </w:rPr>
                    <w:t>昼间</w:t>
                  </w:r>
                </w:p>
              </w:tc>
              <w:tc>
                <w:tcPr>
                  <w:tcW w:w="1322" w:type="dxa"/>
                  <w:vAlign w:val="center"/>
                </w:tcPr>
                <w:p>
                  <w:pPr>
                    <w:pStyle w:val="63"/>
                  </w:pPr>
                  <w:r>
                    <w:rPr>
                      <w:rFonts w:hint="eastAsia"/>
                    </w:rPr>
                    <w:t>46.1</w:t>
                  </w:r>
                </w:p>
              </w:tc>
              <w:tc>
                <w:tcPr>
                  <w:tcW w:w="1322" w:type="dxa"/>
                  <w:vMerge w:val="continue"/>
                  <w:vAlign w:val="center"/>
                </w:tcPr>
                <w:p>
                  <w:pPr>
                    <w:pStyle w:val="63"/>
                  </w:pPr>
                </w:p>
              </w:tc>
              <w:tc>
                <w:tcPr>
                  <w:tcW w:w="1322" w:type="dxa"/>
                  <w:vAlign w:val="center"/>
                </w:tcPr>
                <w:p>
                  <w:pPr>
                    <w:pStyle w:val="63"/>
                  </w:pPr>
                  <w:r>
                    <w:rPr>
                      <w:rFonts w:hint="eastAsia"/>
                    </w:rPr>
                    <w:t>60</w:t>
                  </w:r>
                </w:p>
              </w:tc>
              <w:tc>
                <w:tcPr>
                  <w:tcW w:w="1322"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7" w:type="dxa"/>
                  <w:vMerge w:val="continue"/>
                  <w:vAlign w:val="center"/>
                </w:tcPr>
                <w:p>
                  <w:pPr>
                    <w:pStyle w:val="63"/>
                  </w:pPr>
                </w:p>
              </w:tc>
              <w:tc>
                <w:tcPr>
                  <w:tcW w:w="1323" w:type="dxa"/>
                  <w:vAlign w:val="center"/>
                </w:tcPr>
                <w:p>
                  <w:pPr>
                    <w:pStyle w:val="63"/>
                  </w:pPr>
                  <w:r>
                    <w:rPr>
                      <w:rFonts w:hint="eastAsia"/>
                    </w:rPr>
                    <w:t>夜间</w:t>
                  </w:r>
                </w:p>
              </w:tc>
              <w:tc>
                <w:tcPr>
                  <w:tcW w:w="1322" w:type="dxa"/>
                  <w:vAlign w:val="center"/>
                </w:tcPr>
                <w:p>
                  <w:pPr>
                    <w:pStyle w:val="63"/>
                  </w:pPr>
                  <w:r>
                    <w:rPr>
                      <w:rFonts w:hint="eastAsia"/>
                    </w:rPr>
                    <w:t>46.1</w:t>
                  </w:r>
                </w:p>
              </w:tc>
              <w:tc>
                <w:tcPr>
                  <w:tcW w:w="1322" w:type="dxa"/>
                  <w:vMerge w:val="continue"/>
                  <w:vAlign w:val="center"/>
                </w:tcPr>
                <w:p>
                  <w:pPr>
                    <w:pStyle w:val="63"/>
                  </w:pPr>
                </w:p>
              </w:tc>
              <w:tc>
                <w:tcPr>
                  <w:tcW w:w="1322" w:type="dxa"/>
                  <w:vAlign w:val="center"/>
                </w:tcPr>
                <w:p>
                  <w:pPr>
                    <w:pStyle w:val="63"/>
                  </w:pPr>
                  <w:r>
                    <w:rPr>
                      <w:rFonts w:hint="eastAsia"/>
                    </w:rPr>
                    <w:t>50</w:t>
                  </w:r>
                </w:p>
              </w:tc>
              <w:tc>
                <w:tcPr>
                  <w:tcW w:w="1322"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7" w:type="dxa"/>
                  <w:vMerge w:val="restart"/>
                  <w:vAlign w:val="center"/>
                </w:tcPr>
                <w:p>
                  <w:pPr>
                    <w:pStyle w:val="63"/>
                  </w:pPr>
                  <w:r>
                    <w:rPr>
                      <w:rFonts w:hint="eastAsia"/>
                    </w:rPr>
                    <w:t>东厂界</w:t>
                  </w:r>
                </w:p>
              </w:tc>
              <w:tc>
                <w:tcPr>
                  <w:tcW w:w="1323" w:type="dxa"/>
                  <w:vAlign w:val="center"/>
                </w:tcPr>
                <w:p>
                  <w:pPr>
                    <w:pStyle w:val="63"/>
                  </w:pPr>
                  <w:r>
                    <w:rPr>
                      <w:rFonts w:hint="eastAsia"/>
                    </w:rPr>
                    <w:t>昼间</w:t>
                  </w:r>
                </w:p>
              </w:tc>
              <w:tc>
                <w:tcPr>
                  <w:tcW w:w="1322" w:type="dxa"/>
                  <w:vAlign w:val="center"/>
                </w:tcPr>
                <w:p>
                  <w:pPr>
                    <w:pStyle w:val="63"/>
                  </w:pPr>
                  <w:r>
                    <w:rPr>
                      <w:rFonts w:hint="eastAsia"/>
                    </w:rPr>
                    <w:t>48.1</w:t>
                  </w:r>
                </w:p>
              </w:tc>
              <w:tc>
                <w:tcPr>
                  <w:tcW w:w="1322" w:type="dxa"/>
                  <w:vMerge w:val="continue"/>
                  <w:vAlign w:val="center"/>
                </w:tcPr>
                <w:p>
                  <w:pPr>
                    <w:pStyle w:val="63"/>
                  </w:pPr>
                </w:p>
              </w:tc>
              <w:tc>
                <w:tcPr>
                  <w:tcW w:w="1322" w:type="dxa"/>
                  <w:vAlign w:val="center"/>
                </w:tcPr>
                <w:p>
                  <w:pPr>
                    <w:pStyle w:val="63"/>
                  </w:pPr>
                  <w:r>
                    <w:rPr>
                      <w:rFonts w:hint="eastAsia"/>
                    </w:rPr>
                    <w:t>60</w:t>
                  </w:r>
                </w:p>
              </w:tc>
              <w:tc>
                <w:tcPr>
                  <w:tcW w:w="1322" w:type="dxa"/>
                  <w:vAlign w:val="center"/>
                </w:tcPr>
                <w:p>
                  <w:pPr>
                    <w:pStyle w:val="63"/>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27" w:type="dxa"/>
                  <w:vMerge w:val="continue"/>
                  <w:vAlign w:val="center"/>
                </w:tcPr>
                <w:p>
                  <w:pPr>
                    <w:pStyle w:val="63"/>
                  </w:pPr>
                </w:p>
              </w:tc>
              <w:tc>
                <w:tcPr>
                  <w:tcW w:w="1323" w:type="dxa"/>
                  <w:vAlign w:val="center"/>
                </w:tcPr>
                <w:p>
                  <w:pPr>
                    <w:pStyle w:val="63"/>
                  </w:pPr>
                  <w:r>
                    <w:rPr>
                      <w:rFonts w:hint="eastAsia"/>
                    </w:rPr>
                    <w:t>夜间</w:t>
                  </w:r>
                </w:p>
              </w:tc>
              <w:tc>
                <w:tcPr>
                  <w:tcW w:w="1322" w:type="dxa"/>
                  <w:vAlign w:val="center"/>
                </w:tcPr>
                <w:p>
                  <w:pPr>
                    <w:pStyle w:val="63"/>
                  </w:pPr>
                  <w:r>
                    <w:rPr>
                      <w:rFonts w:hint="eastAsia"/>
                    </w:rPr>
                    <w:t>48.1</w:t>
                  </w:r>
                </w:p>
              </w:tc>
              <w:tc>
                <w:tcPr>
                  <w:tcW w:w="1322" w:type="dxa"/>
                  <w:vMerge w:val="continue"/>
                  <w:vAlign w:val="center"/>
                </w:tcPr>
                <w:p>
                  <w:pPr>
                    <w:pStyle w:val="63"/>
                  </w:pPr>
                </w:p>
              </w:tc>
              <w:tc>
                <w:tcPr>
                  <w:tcW w:w="1322" w:type="dxa"/>
                  <w:vAlign w:val="center"/>
                </w:tcPr>
                <w:p>
                  <w:pPr>
                    <w:pStyle w:val="63"/>
                  </w:pPr>
                  <w:r>
                    <w:rPr>
                      <w:rFonts w:hint="eastAsia"/>
                    </w:rPr>
                    <w:t>50</w:t>
                  </w:r>
                </w:p>
              </w:tc>
              <w:tc>
                <w:tcPr>
                  <w:tcW w:w="1322" w:type="dxa"/>
                  <w:vAlign w:val="center"/>
                </w:tcPr>
                <w:p>
                  <w:pPr>
                    <w:pStyle w:val="63"/>
                  </w:pPr>
                  <w:r>
                    <w:rPr>
                      <w:rFonts w:hint="eastAsia"/>
                    </w:rPr>
                    <w:t>达标</w:t>
                  </w:r>
                </w:p>
              </w:tc>
            </w:tr>
          </w:tbl>
          <w:p/>
          <w:p>
            <w:pPr>
              <w:pStyle w:val="6"/>
              <w:spacing w:before="120" w:after="120"/>
            </w:pPr>
            <w:r>
              <w:rPr>
                <w:rFonts w:hint="eastAsia"/>
              </w:rPr>
              <w:t>噪声防治措施</w:t>
            </w:r>
          </w:p>
          <w:p>
            <w:pPr>
              <w:pStyle w:val="5"/>
              <w:ind w:firstLine="480"/>
            </w:pPr>
            <w:r>
              <w:rPr>
                <w:rFonts w:hint="eastAsia"/>
              </w:rPr>
              <w:t>污水处理厂噪声源主要有风机、各类水泵、污泥脱水设备等。污水处理厂采用减振、隔声等措施：</w:t>
            </w:r>
          </w:p>
          <w:p>
            <w:pPr>
              <w:pStyle w:val="5"/>
              <w:ind w:firstLine="480"/>
            </w:pPr>
            <w:r>
              <w:rPr>
                <w:rFonts w:hint="eastAsia"/>
              </w:rPr>
              <w:t>（1）安装使用低噪声工艺设备。禁止使用不符合国家、行业、地方噪声标准规定的产品。</w:t>
            </w:r>
          </w:p>
          <w:p>
            <w:pPr>
              <w:pStyle w:val="5"/>
              <w:ind w:firstLine="480"/>
            </w:pPr>
            <w:r>
              <w:rPr>
                <w:rFonts w:hint="eastAsia"/>
              </w:rPr>
              <w:t>（2）采用低噪声的新技术、新工艺、新设备，采取隔声、隔振和减振等治理措施，减轻噪声、振动对环境的影响。</w:t>
            </w:r>
          </w:p>
          <w:p>
            <w:pPr>
              <w:pStyle w:val="5"/>
              <w:ind w:firstLine="480"/>
            </w:pPr>
            <w:r>
              <w:rPr>
                <w:rFonts w:hint="eastAsia"/>
              </w:rPr>
              <w:t>（3）风机噪声：将电机、风机设于室内，基础进行减振处理，风道等采用柔性连接。进、出风口设置消声器。风机房门窗设置隔声效果好的塑钢门窗。</w:t>
            </w:r>
          </w:p>
          <w:p>
            <w:pPr>
              <w:pStyle w:val="5"/>
              <w:ind w:firstLine="480"/>
            </w:pPr>
            <w:r>
              <w:rPr>
                <w:rFonts w:hint="eastAsia"/>
              </w:rPr>
              <w:t>（4）水泵噪声：水泵及电机减振、管道采用柔性连接，利用水泵房的墙体进行隔声，门窗采用隔声效果好的塑钢门窗或双层隔声门窗。</w:t>
            </w:r>
          </w:p>
          <w:p>
            <w:pPr>
              <w:pStyle w:val="5"/>
              <w:ind w:firstLine="480"/>
            </w:pPr>
            <w:r>
              <w:rPr>
                <w:rFonts w:hint="eastAsia"/>
              </w:rPr>
              <w:t>（5）污泥浓缩脱水噪声：带式压滤机安装在脱水车间，采取半封闭式建筑，并采取减振措施。</w:t>
            </w:r>
          </w:p>
          <w:p>
            <w:pPr>
              <w:pStyle w:val="5"/>
              <w:ind w:firstLine="480"/>
            </w:pPr>
            <w:r>
              <w:rPr>
                <w:rFonts w:hint="eastAsia"/>
              </w:rPr>
              <w:t>采取上述措施后，根据预测厂界噪声能满足《工业企业厂界环境噪声排放标准》（GB12348-2008）相应要求。</w:t>
            </w:r>
          </w:p>
          <w:p>
            <w:pPr>
              <w:pStyle w:val="6"/>
              <w:spacing w:before="120" w:after="120"/>
            </w:pPr>
            <w:r>
              <w:rPr>
                <w:rFonts w:hint="eastAsia"/>
              </w:rPr>
              <w:t>自行监测计划</w:t>
            </w:r>
          </w:p>
          <w:p>
            <w:pPr>
              <w:pStyle w:val="5"/>
              <w:ind w:firstLine="480"/>
            </w:pPr>
            <w:r>
              <w:t>《排污许可证申请与核发技术规范 工业噪声》（HJ1301—2023）</w:t>
            </w:r>
            <w:r>
              <w:rPr>
                <w:rFonts w:hint="eastAsia"/>
              </w:rPr>
              <w:t>7.5规定 有行业自行监测技术指南的，监测频次按照行业自行监测技术指南中最低监测频次执行。本项目属于水处理，监测频次按《排污单位自行监测技术指南</w:t>
            </w:r>
            <w:r>
              <w:t xml:space="preserve"> 水处理》（HJ 1083-2020）</w:t>
            </w:r>
            <w:r>
              <w:rPr>
                <w:rFonts w:hint="eastAsia"/>
              </w:rPr>
              <w:t>表7</w:t>
            </w:r>
            <w:r>
              <w:t>要求</w:t>
            </w:r>
            <w:r>
              <w:rPr>
                <w:rFonts w:hint="eastAsia"/>
              </w:rPr>
              <w:t>执行，监测指标按</w:t>
            </w:r>
            <w:r>
              <w:t>HJ1301—2023</w:t>
            </w:r>
            <w:r>
              <w:rPr>
                <w:rFonts w:hint="eastAsia"/>
              </w:rPr>
              <w:t>执行。</w:t>
            </w:r>
          </w:p>
          <w:p>
            <w:pPr>
              <w:pStyle w:val="14"/>
              <w:keepNext/>
            </w:pPr>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20</w:t>
            </w:r>
            <w:r>
              <w:fldChar w:fldCharType="end"/>
            </w:r>
            <w:r>
              <w:rPr>
                <w:rFonts w:hint="eastAsia"/>
              </w:rPr>
              <w:t xml:space="preserve">   工业噪声排污单位噪声监测频次</w:t>
            </w:r>
          </w:p>
          <w:tbl>
            <w:tblPr>
              <w:tblStyle w:val="38"/>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8"/>
              <w:gridCol w:w="4696"/>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08" w:type="dxa"/>
                  <w:vAlign w:val="center"/>
                </w:tcPr>
                <w:p>
                  <w:pPr>
                    <w:pStyle w:val="63"/>
                  </w:pPr>
                  <w:r>
                    <w:rPr>
                      <w:rFonts w:hint="eastAsia"/>
                    </w:rPr>
                    <w:t>监测点位</w:t>
                  </w:r>
                </w:p>
              </w:tc>
              <w:tc>
                <w:tcPr>
                  <w:tcW w:w="4696" w:type="dxa"/>
                  <w:vAlign w:val="center"/>
                </w:tcPr>
                <w:p>
                  <w:pPr>
                    <w:pStyle w:val="63"/>
                  </w:pPr>
                  <w:r>
                    <w:rPr>
                      <w:rFonts w:hint="eastAsia"/>
                    </w:rPr>
                    <w:t>监测指标a</w:t>
                  </w:r>
                </w:p>
              </w:tc>
              <w:tc>
                <w:tcPr>
                  <w:tcW w:w="1234" w:type="dxa"/>
                  <w:vAlign w:val="center"/>
                </w:tcPr>
                <w:p>
                  <w:pPr>
                    <w:pStyle w:val="63"/>
                  </w:pPr>
                  <w:r>
                    <w:t>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08" w:type="dxa"/>
                  <w:vAlign w:val="center"/>
                </w:tcPr>
                <w:p>
                  <w:pPr>
                    <w:pStyle w:val="63"/>
                  </w:pPr>
                  <w:r>
                    <w:t>厂界</w:t>
                  </w:r>
                </w:p>
              </w:tc>
              <w:tc>
                <w:tcPr>
                  <w:tcW w:w="4696" w:type="dxa"/>
                  <w:vAlign w:val="center"/>
                </w:tcPr>
                <w:p>
                  <w:pPr>
                    <w:pStyle w:val="63"/>
                  </w:pPr>
                  <w:r>
                    <w:t>等效连续A声级</w:t>
                  </w:r>
                  <w:r>
                    <w:rPr>
                      <w:i/>
                      <w:iCs/>
                    </w:rPr>
                    <w:t>L</w:t>
                  </w:r>
                  <w:r>
                    <w:rPr>
                      <w:i/>
                      <w:iCs/>
                      <w:vertAlign w:val="subscript"/>
                    </w:rPr>
                    <w:t>eq</w:t>
                  </w:r>
                  <w:r>
                    <w:t>、A 声级最大值</w:t>
                  </w:r>
                  <w:r>
                    <w:rPr>
                      <w:i/>
                      <w:iCs/>
                    </w:rPr>
                    <w:t>L</w:t>
                  </w:r>
                  <w:r>
                    <w:rPr>
                      <w:i/>
                      <w:iCs/>
                      <w:vertAlign w:val="subscript"/>
                    </w:rPr>
                    <w:t>max</w:t>
                  </w:r>
                </w:p>
              </w:tc>
              <w:tc>
                <w:tcPr>
                  <w:tcW w:w="1234" w:type="dxa"/>
                  <w:vAlign w:val="center"/>
                </w:tcPr>
                <w:p>
                  <w:pPr>
                    <w:pStyle w:val="63"/>
                  </w:pPr>
                  <w: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7938" w:type="dxa"/>
                  <w:gridSpan w:val="3"/>
                  <w:vAlign w:val="center"/>
                </w:tcPr>
                <w:p>
                  <w:pPr>
                    <w:pStyle w:val="64"/>
                  </w:pPr>
                  <w:r>
                    <w:t>备注：仅昼间生产的只需监测昼间</w:t>
                  </w:r>
                  <w:r>
                    <w:rPr>
                      <w:i/>
                      <w:iCs/>
                    </w:rPr>
                    <w:t>L</w:t>
                  </w:r>
                  <w:r>
                    <w:rPr>
                      <w:i/>
                      <w:iCs/>
                      <w:vertAlign w:val="subscript"/>
                    </w:rPr>
                    <w:t>eq</w:t>
                  </w:r>
                  <w:r>
                    <w:t>，仅夜间生产的只需监测夜间</w:t>
                  </w:r>
                  <w:r>
                    <w:rPr>
                      <w:i/>
                      <w:iCs/>
                    </w:rPr>
                    <w:t>L</w:t>
                  </w:r>
                  <w:r>
                    <w:rPr>
                      <w:i/>
                      <w:iCs/>
                      <w:vertAlign w:val="subscript"/>
                    </w:rPr>
                    <w:t>eq</w:t>
                  </w:r>
                  <w:r>
                    <w:t>，昼间、夜间均生产的需分别监测昼间</w:t>
                  </w:r>
                  <w:r>
                    <w:rPr>
                      <w:i/>
                      <w:iCs/>
                    </w:rPr>
                    <w:t>L</w:t>
                  </w:r>
                  <w:r>
                    <w:rPr>
                      <w:i/>
                      <w:iCs/>
                      <w:vertAlign w:val="subscript"/>
                    </w:rPr>
                    <w:t>eq</w:t>
                  </w:r>
                  <w:r>
                    <w:t>和夜间</w:t>
                  </w:r>
                  <w:r>
                    <w:rPr>
                      <w:i/>
                      <w:iCs/>
                    </w:rPr>
                    <w:t>L</w:t>
                  </w:r>
                  <w:r>
                    <w:rPr>
                      <w:i/>
                      <w:iCs/>
                      <w:vertAlign w:val="subscript"/>
                    </w:rPr>
                    <w:t>eq</w:t>
                  </w:r>
                  <w:r>
                    <w:t>。夜间频发、偶发噪声需监测最大A声级</w:t>
                  </w:r>
                  <w:r>
                    <w:rPr>
                      <w:i/>
                      <w:iCs/>
                    </w:rPr>
                    <w:t>L</w:t>
                  </w:r>
                  <w:r>
                    <w:rPr>
                      <w:i/>
                      <w:iCs/>
                      <w:vertAlign w:val="subscript"/>
                    </w:rPr>
                    <w:t>max</w:t>
                  </w:r>
                  <w:r>
                    <w:t>，频发噪声、偶发噪声在发生时进行监测。</w:t>
                  </w:r>
                </w:p>
              </w:tc>
            </w:tr>
          </w:tbl>
          <w:p>
            <w:pPr>
              <w:pStyle w:val="6"/>
              <w:spacing w:before="120" w:after="120"/>
            </w:pPr>
            <w:r>
              <w:rPr>
                <w:rFonts w:hint="eastAsia"/>
              </w:rPr>
              <w:t>影响分析结论</w:t>
            </w:r>
          </w:p>
          <w:p>
            <w:pPr>
              <w:pStyle w:val="5"/>
              <w:ind w:firstLine="480"/>
              <w:rPr>
                <w:rFonts w:cs="Times New Roman"/>
              </w:rPr>
            </w:pPr>
            <w:r>
              <w:rPr>
                <w:rFonts w:cs="Times New Roman"/>
              </w:rPr>
              <w:t>本项目噪声源主要有风机、各类水泵等，采用减振、隔声等措施后</w:t>
            </w:r>
            <w:r>
              <w:rPr>
                <w:rFonts w:hint="eastAsia" w:cs="Times New Roman"/>
              </w:rPr>
              <w:t>，</w:t>
            </w:r>
            <w:r>
              <w:rPr>
                <w:rFonts w:hint="eastAsia"/>
              </w:rPr>
              <w:t>厂界噪声贡献值满足《工业企业厂界环境噪声排放标准》（GB12348-2008）2类和4类标准限值</w:t>
            </w:r>
            <w:r>
              <w:rPr>
                <w:rFonts w:hint="eastAsia" w:cs="Times New Roman"/>
              </w:rPr>
              <w:t>。</w:t>
            </w:r>
          </w:p>
          <w:p>
            <w:pPr>
              <w:pStyle w:val="4"/>
              <w:spacing w:before="120" w:after="120"/>
            </w:pPr>
            <w:r>
              <w:rPr>
                <w:rFonts w:hint="eastAsia"/>
              </w:rPr>
              <w:t>固体废物</w:t>
            </w:r>
          </w:p>
          <w:p>
            <w:pPr>
              <w:pStyle w:val="6"/>
              <w:spacing w:before="120" w:after="120"/>
            </w:pPr>
            <w:r>
              <w:rPr>
                <w:rFonts w:hint="eastAsia"/>
              </w:rPr>
              <w:t>固体废物产生量</w:t>
            </w:r>
          </w:p>
          <w:p>
            <w:pPr>
              <w:pStyle w:val="5"/>
              <w:ind w:firstLine="480"/>
            </w:pPr>
            <w:r>
              <w:rPr>
                <w:rFonts w:hint="eastAsia"/>
              </w:rPr>
              <w:t>（1）一般工业固体废物</w:t>
            </w:r>
          </w:p>
          <w:p>
            <w:pPr>
              <w:pStyle w:val="5"/>
              <w:ind w:firstLine="480"/>
            </w:pPr>
            <w:r>
              <w:rPr>
                <w:rFonts w:hint="eastAsia"/>
              </w:rPr>
              <w:t>格栅渣S</w:t>
            </w:r>
            <w:r>
              <w:t>1：</w:t>
            </w:r>
            <w:r>
              <w:rPr>
                <w:rFonts w:hint="eastAsia"/>
              </w:rPr>
              <w:t>根据设计手册，栅渣产生量约为0.01</w:t>
            </w:r>
            <w:r>
              <w:t>~0.1</w:t>
            </w:r>
            <w:r>
              <w:rPr>
                <w:rFonts w:hint="eastAsia"/>
              </w:rPr>
              <w:t>m</w:t>
            </w:r>
            <w:r>
              <w:rPr>
                <w:rFonts w:hint="eastAsia"/>
                <w:vertAlign w:val="superscript"/>
              </w:rPr>
              <w:t>3</w:t>
            </w:r>
            <w:r>
              <w:rPr>
                <w:rFonts w:hint="eastAsia"/>
              </w:rPr>
              <w:t>/10</w:t>
            </w:r>
            <w:r>
              <w:rPr>
                <w:rFonts w:hint="eastAsia"/>
                <w:vertAlign w:val="superscript"/>
              </w:rPr>
              <w:t>3</w:t>
            </w:r>
            <w:r>
              <w:rPr>
                <w:rFonts w:hint="eastAsia"/>
              </w:rPr>
              <w:t>m</w:t>
            </w:r>
            <w:r>
              <w:rPr>
                <w:rFonts w:hint="eastAsia"/>
                <w:vertAlign w:val="superscript"/>
              </w:rPr>
              <w:t>3</w:t>
            </w:r>
            <w:r>
              <w:rPr>
                <w:rFonts w:hint="eastAsia"/>
              </w:rPr>
              <w:t>污水，本评价取0</w:t>
            </w:r>
            <w:r>
              <w:t>.05</w:t>
            </w:r>
            <w:r>
              <w:rPr>
                <w:rFonts w:hint="eastAsia"/>
              </w:rPr>
              <w:t>，密度按960kg/m</w:t>
            </w:r>
            <w:r>
              <w:rPr>
                <w:rFonts w:hint="eastAsia"/>
                <w:vertAlign w:val="superscript"/>
              </w:rPr>
              <w:t>3</w:t>
            </w:r>
            <w:r>
              <w:rPr>
                <w:rFonts w:hint="eastAsia"/>
              </w:rPr>
              <w:t>计，栅渣产生量约17.52t/a。</w:t>
            </w:r>
          </w:p>
          <w:p>
            <w:pPr>
              <w:pStyle w:val="5"/>
              <w:ind w:firstLine="480"/>
            </w:pPr>
            <w:r>
              <w:rPr>
                <w:rFonts w:hint="eastAsia"/>
              </w:rPr>
              <w:t>脱水污泥S3：根据《排污许可证申请与核发技术规范水处理（试行）》（</w:t>
            </w:r>
            <w:r>
              <w:t>HJ 978-2018</w:t>
            </w:r>
            <w:r>
              <w:rPr>
                <w:rFonts w:hint="eastAsia"/>
              </w:rPr>
              <w:t>），污泥产生量计算公式如下：</w:t>
            </w:r>
          </w:p>
          <w:p>
            <w:pPr>
              <w:pStyle w:val="5"/>
              <w:ind w:firstLine="480"/>
              <w:jc w:val="center"/>
              <w:rPr>
                <w:vertAlign w:val="superscript"/>
              </w:rPr>
            </w:pPr>
            <w:r>
              <w:rPr>
                <w:rFonts w:hint="eastAsia"/>
              </w:rPr>
              <w:t>E</w:t>
            </w:r>
            <w:r>
              <w:rPr>
                <w:rFonts w:hint="eastAsia"/>
                <w:vertAlign w:val="subscript"/>
              </w:rPr>
              <w:t>产生量</w:t>
            </w:r>
            <w:r>
              <w:rPr>
                <w:rFonts w:hint="eastAsia"/>
              </w:rPr>
              <w:t>=</w:t>
            </w:r>
            <w:r>
              <w:t>1.7*</w:t>
            </w:r>
            <w:r>
              <w:rPr>
                <w:rFonts w:hint="eastAsia"/>
              </w:rPr>
              <w:t>Q</w:t>
            </w:r>
            <w:r>
              <w:t>*</w:t>
            </w:r>
            <w:r>
              <w:rPr>
                <w:rFonts w:hint="eastAsia"/>
              </w:rPr>
              <w:t>W</w:t>
            </w:r>
            <w:r>
              <w:rPr>
                <w:rFonts w:hint="eastAsia"/>
                <w:vertAlign w:val="subscript"/>
              </w:rPr>
              <w:t>深</w:t>
            </w:r>
            <w:r>
              <w:rPr>
                <w:rFonts w:hint="eastAsia"/>
              </w:rPr>
              <w:t>*</w:t>
            </w:r>
            <w:r>
              <w:t>10</w:t>
            </w:r>
            <w:r>
              <w:rPr>
                <w:vertAlign w:val="superscript"/>
              </w:rPr>
              <w:t>-4</w:t>
            </w:r>
          </w:p>
          <w:p>
            <w:pPr>
              <w:pStyle w:val="5"/>
              <w:ind w:firstLine="480"/>
            </w:pPr>
            <w:r>
              <w:rPr>
                <w:rFonts w:hint="eastAsia"/>
              </w:rPr>
              <w:t>式中：</w:t>
            </w:r>
          </w:p>
          <w:p>
            <w:pPr>
              <w:pStyle w:val="5"/>
              <w:ind w:firstLine="480"/>
            </w:pPr>
            <w:r>
              <w:rPr>
                <w:rFonts w:hint="eastAsia"/>
              </w:rPr>
              <w:t>E</w:t>
            </w:r>
            <w:r>
              <w:rPr>
                <w:rFonts w:hint="eastAsia"/>
                <w:vertAlign w:val="subscript"/>
              </w:rPr>
              <w:t>产生量</w:t>
            </w:r>
            <w:r>
              <w:rPr>
                <w:rFonts w:hint="eastAsia"/>
              </w:rPr>
              <w:t>-污水处理过程中产生的污泥量，以干污泥计，t；</w:t>
            </w:r>
          </w:p>
          <w:p>
            <w:pPr>
              <w:pStyle w:val="5"/>
              <w:ind w:firstLine="480"/>
            </w:pPr>
            <w:r>
              <w:rPr>
                <w:rFonts w:hint="eastAsia"/>
              </w:rPr>
              <w:t>Q</w:t>
            </w:r>
            <w:r>
              <w:t>-</w:t>
            </w:r>
            <w:r>
              <w:rPr>
                <w:rFonts w:hint="eastAsia"/>
              </w:rPr>
              <w:t>核算时段内排污单位废水排放量，m</w:t>
            </w:r>
            <w:r>
              <w:rPr>
                <w:rFonts w:hint="eastAsia"/>
                <w:vertAlign w:val="superscript"/>
              </w:rPr>
              <w:t>3</w:t>
            </w:r>
            <w:r>
              <w:rPr>
                <w:rFonts w:hint="eastAsia"/>
              </w:rPr>
              <w:t>，处理能力取365万m</w:t>
            </w:r>
            <w:r>
              <w:rPr>
                <w:rFonts w:hint="eastAsia"/>
                <w:vertAlign w:val="superscript"/>
              </w:rPr>
              <w:t>3</w:t>
            </w:r>
            <w:r>
              <w:t>/</w:t>
            </w:r>
            <w:r>
              <w:rPr>
                <w:rFonts w:hint="eastAsia"/>
              </w:rPr>
              <w:t>a；</w:t>
            </w:r>
          </w:p>
          <w:p>
            <w:pPr>
              <w:pStyle w:val="5"/>
              <w:ind w:firstLine="480"/>
            </w:pPr>
            <w:r>
              <w:rPr>
                <w:rFonts w:hint="eastAsia"/>
              </w:rPr>
              <w:t>W</w:t>
            </w:r>
            <w:r>
              <w:rPr>
                <w:rFonts w:hint="eastAsia"/>
                <w:vertAlign w:val="subscript"/>
              </w:rPr>
              <w:t>深</w:t>
            </w:r>
            <w:r>
              <w:rPr>
                <w:rFonts w:hint="eastAsia"/>
              </w:rPr>
              <w:t>-有深度处理工艺（添加化学药剂）时按2计，无深度处理工艺时按1计，量纲一，工程设置P</w:t>
            </w:r>
            <w:r>
              <w:t>AC</w:t>
            </w:r>
            <w:r>
              <w:rPr>
                <w:rFonts w:hint="eastAsia"/>
              </w:rPr>
              <w:t>化学除磷，属于添加化学药剂，取2。</w:t>
            </w:r>
          </w:p>
          <w:p>
            <w:pPr>
              <w:pStyle w:val="5"/>
              <w:ind w:firstLine="480"/>
            </w:pPr>
            <w:r>
              <w:rPr>
                <w:rFonts w:hint="eastAsia"/>
              </w:rPr>
              <w:t>根据计算，项目污水处理过程中污泥产生量为1241t</w:t>
            </w:r>
            <w:r>
              <w:t>/</w:t>
            </w:r>
            <w:r>
              <w:rPr>
                <w:rFonts w:hint="eastAsia"/>
              </w:rPr>
              <w:t>a。污泥脱水间封闭暂存，交有资质单位利用处置。根据《关于污（废）水处理设施产生污泥危险特性鉴别有关意见的函》（环函〔2010〕129号），“一、单纯用于处理城镇生活污水的公共污水处理厂，其产生的污泥通常情况下不具有危险特性，可作为一般固体废物管理。三、以处理生活污水为主要功能的公共污水处理厂，若接收、处理工业废水，且该工业废水在排入公共污水处理系统前能稳定达到国家或地方规定的污染物排放标准的，公共污水处理厂的污泥可按照第一条的规定进行管理。但是，在工业废水排放情况发生重大改变时，应按照第二条的规定进行危险特性鉴别。”项目为以处理生活污水为主要功能的公共污水处理厂，根据2.4.1.2节，接收的工业废水在排入公共污水处理系统前能稳定达到国家或地方规定的污染物排放标准，所以根据环函〔2010〕129号，本项目污泥作为一般固体废物管理。同时营运单位后期应加强对集聚区内排放工业废水调查，当工业废水排放情况发生重大改变时，应按照第二条的规定进行危险特性鉴别。</w:t>
            </w:r>
          </w:p>
          <w:p>
            <w:pPr>
              <w:pStyle w:val="5"/>
              <w:ind w:firstLine="480"/>
            </w:pPr>
            <w:r>
              <w:rPr>
                <w:rFonts w:hint="eastAsia"/>
              </w:rPr>
              <w:t>混凝剂包装物S4：废包装物产生量为5.0t</w:t>
            </w:r>
            <w:r>
              <w:t>/</w:t>
            </w:r>
            <w:r>
              <w:rPr>
                <w:rFonts w:hint="eastAsia"/>
              </w:rPr>
              <w:t>a，外委单位处置或厂区自行利用。</w:t>
            </w:r>
          </w:p>
          <w:p>
            <w:pPr>
              <w:pStyle w:val="5"/>
              <w:ind w:firstLine="480"/>
            </w:pPr>
            <w:r>
              <w:rPr>
                <w:rFonts w:hint="eastAsia"/>
              </w:rPr>
              <w:t>一般固体废物产生、处置情况见</w:t>
            </w:r>
            <w:r>
              <w:fldChar w:fldCharType="begin"/>
            </w:r>
            <w:r>
              <w:instrText xml:space="preserve"> </w:instrText>
            </w:r>
            <w:r>
              <w:rPr>
                <w:rFonts w:hint="eastAsia"/>
              </w:rPr>
              <w:instrText xml:space="preserve">REF _Ref169796060 \h</w:instrText>
            </w:r>
            <w:r>
              <w:instrText xml:space="preserve"> </w:instrText>
            </w:r>
            <w:r>
              <w:fldChar w:fldCharType="separate"/>
            </w:r>
            <w:r>
              <w:t>表 4.2</w:t>
            </w:r>
            <w:r>
              <w:noBreakHyphen/>
            </w:r>
            <w:r>
              <w:t>21</w:t>
            </w:r>
            <w:r>
              <w:fldChar w:fldCharType="end"/>
            </w:r>
            <w:r>
              <w:rPr>
                <w:rFonts w:hint="eastAsia"/>
              </w:rPr>
              <w:t>。</w:t>
            </w:r>
          </w:p>
          <w:p>
            <w:pPr>
              <w:pStyle w:val="14"/>
              <w:keepNext/>
            </w:pPr>
            <w:bookmarkStart w:id="76" w:name="_Ref169796060"/>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21</w:t>
            </w:r>
            <w:r>
              <w:fldChar w:fldCharType="end"/>
            </w:r>
            <w:bookmarkEnd w:id="76"/>
            <w:r>
              <w:rPr>
                <w:rFonts w:hint="eastAsia"/>
              </w:rPr>
              <w:t xml:space="preserve">   一般工业固体废物产生、处置情况</w:t>
            </w:r>
          </w:p>
          <w:tbl>
            <w:tblPr>
              <w:tblStyle w:val="3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324"/>
              <w:gridCol w:w="1610"/>
              <w:gridCol w:w="1430"/>
              <w:gridCol w:w="114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53" w:type="dxa"/>
                </w:tcPr>
                <w:p>
                  <w:pPr>
                    <w:pStyle w:val="63"/>
                    <w:rPr>
                      <w:rFonts w:cs="Times New Roman"/>
                    </w:rPr>
                  </w:pPr>
                  <w:r>
                    <w:rPr>
                      <w:rFonts w:cs="Times New Roman"/>
                    </w:rPr>
                    <w:t>编号</w:t>
                  </w:r>
                </w:p>
              </w:tc>
              <w:tc>
                <w:tcPr>
                  <w:tcW w:w="1324" w:type="dxa"/>
                  <w:vAlign w:val="center"/>
                </w:tcPr>
                <w:p>
                  <w:pPr>
                    <w:pStyle w:val="63"/>
                    <w:rPr>
                      <w:rFonts w:cs="Times New Roman"/>
                    </w:rPr>
                  </w:pPr>
                  <w:r>
                    <w:rPr>
                      <w:rFonts w:cs="Times New Roman"/>
                    </w:rPr>
                    <w:t>名称</w:t>
                  </w:r>
                </w:p>
              </w:tc>
              <w:tc>
                <w:tcPr>
                  <w:tcW w:w="1610" w:type="dxa"/>
                  <w:vAlign w:val="center"/>
                </w:tcPr>
                <w:p>
                  <w:pPr>
                    <w:pStyle w:val="63"/>
                    <w:rPr>
                      <w:rFonts w:cs="Times New Roman"/>
                    </w:rPr>
                  </w:pPr>
                  <w:r>
                    <w:rPr>
                      <w:rFonts w:cs="Times New Roman"/>
                    </w:rPr>
                    <w:t>废物代码</w:t>
                  </w:r>
                </w:p>
              </w:tc>
              <w:tc>
                <w:tcPr>
                  <w:tcW w:w="1430" w:type="dxa"/>
                  <w:vAlign w:val="center"/>
                </w:tcPr>
                <w:p>
                  <w:pPr>
                    <w:pStyle w:val="63"/>
                    <w:rPr>
                      <w:rFonts w:cs="Times New Roman"/>
                    </w:rPr>
                  </w:pPr>
                  <w:r>
                    <w:rPr>
                      <w:rFonts w:cs="Times New Roman"/>
                    </w:rPr>
                    <w:t>主要来源</w:t>
                  </w:r>
                </w:p>
              </w:tc>
              <w:tc>
                <w:tcPr>
                  <w:tcW w:w="1145" w:type="dxa"/>
                  <w:vAlign w:val="center"/>
                </w:tcPr>
                <w:p>
                  <w:pPr>
                    <w:pStyle w:val="63"/>
                    <w:rPr>
                      <w:rFonts w:cs="Times New Roman"/>
                    </w:rPr>
                  </w:pPr>
                  <w:r>
                    <w:rPr>
                      <w:rFonts w:cs="Times New Roman"/>
                    </w:rPr>
                    <w:t>产生量t/a</w:t>
                  </w:r>
                </w:p>
              </w:tc>
              <w:tc>
                <w:tcPr>
                  <w:tcW w:w="1076" w:type="dxa"/>
                  <w:vAlign w:val="center"/>
                </w:tcPr>
                <w:p>
                  <w:pPr>
                    <w:pStyle w:val="63"/>
                    <w:rPr>
                      <w:rFonts w:cs="Times New Roman"/>
                    </w:rPr>
                  </w:pPr>
                  <w:r>
                    <w:rPr>
                      <w:rFonts w:cs="Times New Roma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53" w:type="dxa"/>
                  <w:vAlign w:val="center"/>
                </w:tcPr>
                <w:p>
                  <w:pPr>
                    <w:pStyle w:val="63"/>
                    <w:rPr>
                      <w:rFonts w:cs="Times New Roman"/>
                    </w:rPr>
                  </w:pPr>
                  <w:r>
                    <w:rPr>
                      <w:rFonts w:cs="Times New Roman"/>
                    </w:rPr>
                    <w:t>S1</w:t>
                  </w:r>
                </w:p>
              </w:tc>
              <w:tc>
                <w:tcPr>
                  <w:tcW w:w="1324" w:type="dxa"/>
                  <w:vAlign w:val="center"/>
                </w:tcPr>
                <w:p>
                  <w:pPr>
                    <w:pStyle w:val="63"/>
                    <w:rPr>
                      <w:rFonts w:cs="Times New Roman"/>
                    </w:rPr>
                  </w:pPr>
                  <w:r>
                    <w:rPr>
                      <w:rFonts w:hint="eastAsia"/>
                    </w:rPr>
                    <w:t>格栅渣</w:t>
                  </w:r>
                </w:p>
              </w:tc>
              <w:tc>
                <w:tcPr>
                  <w:tcW w:w="1610" w:type="dxa"/>
                  <w:vAlign w:val="center"/>
                </w:tcPr>
                <w:p>
                  <w:pPr>
                    <w:pStyle w:val="63"/>
                    <w:rPr>
                      <w:rFonts w:cs="Times New Roman"/>
                    </w:rPr>
                  </w:pPr>
                  <w:r>
                    <w:rPr>
                      <w:rFonts w:cs="Times New Roman"/>
                    </w:rPr>
                    <w:t>462</w:t>
                  </w:r>
                  <w:r>
                    <w:rPr>
                      <w:rFonts w:hint="eastAsia" w:cs="Times New Roman"/>
                    </w:rPr>
                    <w:t>-099-</w:t>
                  </w:r>
                  <w:r>
                    <w:rPr>
                      <w:rFonts w:cs="Times New Roman"/>
                    </w:rPr>
                    <w:t>S</w:t>
                  </w:r>
                  <w:r>
                    <w:rPr>
                      <w:rFonts w:hint="eastAsia" w:cs="Times New Roman"/>
                    </w:rPr>
                    <w:t>64</w:t>
                  </w:r>
                </w:p>
              </w:tc>
              <w:tc>
                <w:tcPr>
                  <w:tcW w:w="1430" w:type="dxa"/>
                  <w:vAlign w:val="center"/>
                </w:tcPr>
                <w:p>
                  <w:pPr>
                    <w:pStyle w:val="63"/>
                    <w:rPr>
                      <w:rFonts w:cs="Times New Roman"/>
                    </w:rPr>
                  </w:pPr>
                  <w:r>
                    <w:rPr>
                      <w:rFonts w:hint="eastAsia" w:cs="Times New Roman"/>
                    </w:rPr>
                    <w:t>格栅</w:t>
                  </w:r>
                </w:p>
              </w:tc>
              <w:tc>
                <w:tcPr>
                  <w:tcW w:w="1145" w:type="dxa"/>
                  <w:vAlign w:val="center"/>
                </w:tcPr>
                <w:p>
                  <w:pPr>
                    <w:pStyle w:val="63"/>
                    <w:rPr>
                      <w:rFonts w:cs="Times New Roman"/>
                    </w:rPr>
                  </w:pPr>
                  <w:r>
                    <w:rPr>
                      <w:rFonts w:hint="eastAsia" w:cs="Times New Roman"/>
                    </w:rPr>
                    <w:t>17.52</w:t>
                  </w:r>
                </w:p>
              </w:tc>
              <w:tc>
                <w:tcPr>
                  <w:tcW w:w="1076" w:type="dxa"/>
                  <w:vMerge w:val="restart"/>
                  <w:vAlign w:val="center"/>
                </w:tcPr>
                <w:p>
                  <w:pPr>
                    <w:pStyle w:val="63"/>
                    <w:rPr>
                      <w:rFonts w:cs="Times New Roman"/>
                    </w:rPr>
                  </w:pPr>
                  <w:r>
                    <w:rPr>
                      <w:rFonts w:cs="Times New Roman"/>
                    </w:rPr>
                    <w:t>外委单位处置或</w:t>
                  </w:r>
                  <w:r>
                    <w:rPr>
                      <w:rFonts w:hint="eastAsia" w:cs="Times New Roman"/>
                    </w:rPr>
                    <w:t>自行</w:t>
                  </w:r>
                  <w:r>
                    <w:rPr>
                      <w:rFonts w:cs="Times New Roman"/>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3" w:type="dxa"/>
                  <w:vAlign w:val="center"/>
                </w:tcPr>
                <w:p>
                  <w:pPr>
                    <w:pStyle w:val="63"/>
                    <w:rPr>
                      <w:rFonts w:cs="Times New Roman"/>
                    </w:rPr>
                  </w:pPr>
                  <w:r>
                    <w:rPr>
                      <w:rFonts w:hint="eastAsia" w:cs="Times New Roman"/>
                    </w:rPr>
                    <w:t>S3</w:t>
                  </w:r>
                </w:p>
              </w:tc>
              <w:tc>
                <w:tcPr>
                  <w:tcW w:w="1324" w:type="dxa"/>
                  <w:vAlign w:val="center"/>
                </w:tcPr>
                <w:p>
                  <w:pPr>
                    <w:pStyle w:val="63"/>
                  </w:pPr>
                  <w:r>
                    <w:rPr>
                      <w:rFonts w:hint="eastAsia"/>
                    </w:rPr>
                    <w:t>脱水污泥</w:t>
                  </w:r>
                </w:p>
              </w:tc>
              <w:tc>
                <w:tcPr>
                  <w:tcW w:w="1610" w:type="dxa"/>
                  <w:vAlign w:val="center"/>
                </w:tcPr>
                <w:p>
                  <w:pPr>
                    <w:pStyle w:val="63"/>
                    <w:rPr>
                      <w:rFonts w:cs="Times New Roman"/>
                    </w:rPr>
                  </w:pPr>
                  <w:r>
                    <w:rPr>
                      <w:rFonts w:hint="eastAsia" w:cs="Times New Roman"/>
                    </w:rPr>
                    <w:t>462-001-S90</w:t>
                  </w:r>
                </w:p>
              </w:tc>
              <w:tc>
                <w:tcPr>
                  <w:tcW w:w="1430" w:type="dxa"/>
                  <w:vAlign w:val="center"/>
                </w:tcPr>
                <w:p>
                  <w:pPr>
                    <w:pStyle w:val="63"/>
                    <w:rPr>
                      <w:rFonts w:cs="Times New Roman"/>
                    </w:rPr>
                  </w:pPr>
                  <w:r>
                    <w:rPr>
                      <w:rFonts w:hint="eastAsia" w:cs="Times New Roman"/>
                    </w:rPr>
                    <w:t>污泥脱水</w:t>
                  </w:r>
                </w:p>
              </w:tc>
              <w:tc>
                <w:tcPr>
                  <w:tcW w:w="1145" w:type="dxa"/>
                  <w:vAlign w:val="center"/>
                </w:tcPr>
                <w:p>
                  <w:pPr>
                    <w:pStyle w:val="63"/>
                    <w:rPr>
                      <w:rFonts w:cs="Times New Roman"/>
                    </w:rPr>
                  </w:pPr>
                  <w:r>
                    <w:rPr>
                      <w:rFonts w:hint="eastAsia" w:cs="Times New Roman"/>
                    </w:rPr>
                    <w:t>1241</w:t>
                  </w:r>
                </w:p>
              </w:tc>
              <w:tc>
                <w:tcPr>
                  <w:tcW w:w="1076" w:type="dxa"/>
                  <w:vMerge w:val="continue"/>
                  <w:vAlign w:val="center"/>
                </w:tcPr>
                <w:p>
                  <w:pPr>
                    <w:pStyle w:val="63"/>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3" w:type="dxa"/>
                  <w:vAlign w:val="center"/>
                </w:tcPr>
                <w:p>
                  <w:pPr>
                    <w:pStyle w:val="63"/>
                    <w:rPr>
                      <w:rFonts w:cs="Times New Roman"/>
                    </w:rPr>
                  </w:pPr>
                  <w:r>
                    <w:rPr>
                      <w:rFonts w:cs="Times New Roman"/>
                    </w:rPr>
                    <w:t>S</w:t>
                  </w:r>
                  <w:r>
                    <w:rPr>
                      <w:rFonts w:hint="eastAsia" w:cs="Times New Roman"/>
                    </w:rPr>
                    <w:t>4</w:t>
                  </w:r>
                </w:p>
              </w:tc>
              <w:tc>
                <w:tcPr>
                  <w:tcW w:w="1324" w:type="dxa"/>
                  <w:vAlign w:val="center"/>
                </w:tcPr>
                <w:p>
                  <w:pPr>
                    <w:pStyle w:val="63"/>
                    <w:rPr>
                      <w:rFonts w:cs="Times New Roman"/>
                    </w:rPr>
                  </w:pPr>
                  <w:r>
                    <w:rPr>
                      <w:rFonts w:hint="eastAsia"/>
                    </w:rPr>
                    <w:t>废包装物</w:t>
                  </w:r>
                </w:p>
              </w:tc>
              <w:tc>
                <w:tcPr>
                  <w:tcW w:w="1610" w:type="dxa"/>
                  <w:vAlign w:val="center"/>
                </w:tcPr>
                <w:p>
                  <w:pPr>
                    <w:pStyle w:val="63"/>
                    <w:rPr>
                      <w:rFonts w:cs="Times New Roman"/>
                    </w:rPr>
                  </w:pPr>
                  <w:r>
                    <w:rPr>
                      <w:rFonts w:cs="Times New Roman"/>
                    </w:rPr>
                    <w:t>462 -</w:t>
                  </w:r>
                  <w:r>
                    <w:rPr>
                      <w:rFonts w:hint="eastAsia" w:cs="Times New Roman"/>
                    </w:rPr>
                    <w:t>003</w:t>
                  </w:r>
                  <w:r>
                    <w:rPr>
                      <w:rFonts w:cs="Times New Roman"/>
                    </w:rPr>
                    <w:t>-S</w:t>
                  </w:r>
                  <w:r>
                    <w:rPr>
                      <w:rFonts w:hint="eastAsia" w:cs="Times New Roman"/>
                    </w:rPr>
                    <w:t>17</w:t>
                  </w:r>
                </w:p>
              </w:tc>
              <w:tc>
                <w:tcPr>
                  <w:tcW w:w="1430" w:type="dxa"/>
                  <w:vAlign w:val="center"/>
                </w:tcPr>
                <w:p>
                  <w:pPr>
                    <w:pStyle w:val="63"/>
                    <w:rPr>
                      <w:rFonts w:cs="Times New Roman"/>
                    </w:rPr>
                  </w:pPr>
                  <w:r>
                    <w:rPr>
                      <w:rFonts w:hint="eastAsia" w:cs="Times New Roman"/>
                    </w:rPr>
                    <w:t>加药间</w:t>
                  </w:r>
                </w:p>
              </w:tc>
              <w:tc>
                <w:tcPr>
                  <w:tcW w:w="1145" w:type="dxa"/>
                  <w:vAlign w:val="center"/>
                </w:tcPr>
                <w:p>
                  <w:pPr>
                    <w:pStyle w:val="63"/>
                    <w:rPr>
                      <w:rFonts w:cs="Times New Roman"/>
                    </w:rPr>
                  </w:pPr>
                  <w:r>
                    <w:rPr>
                      <w:rFonts w:hint="eastAsia" w:cs="Times New Roman"/>
                    </w:rPr>
                    <w:t>5.0</w:t>
                  </w:r>
                </w:p>
              </w:tc>
              <w:tc>
                <w:tcPr>
                  <w:tcW w:w="1076" w:type="dxa"/>
                  <w:vMerge w:val="continue"/>
                  <w:vAlign w:val="center"/>
                </w:tcPr>
                <w:p>
                  <w:pPr>
                    <w:pStyle w:val="63"/>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3" w:type="dxa"/>
                </w:tcPr>
                <w:p>
                  <w:pPr>
                    <w:pStyle w:val="63"/>
                    <w:rPr>
                      <w:rFonts w:cs="Times New Roman"/>
                    </w:rPr>
                  </w:pPr>
                  <w:r>
                    <w:rPr>
                      <w:rFonts w:cs="Times New Roman"/>
                    </w:rPr>
                    <w:t>合计</w:t>
                  </w:r>
                </w:p>
              </w:tc>
              <w:tc>
                <w:tcPr>
                  <w:tcW w:w="1324" w:type="dxa"/>
                  <w:vAlign w:val="center"/>
                </w:tcPr>
                <w:p>
                  <w:pPr>
                    <w:pStyle w:val="63"/>
                    <w:rPr>
                      <w:rFonts w:cs="Times New Roman"/>
                    </w:rPr>
                  </w:pPr>
                  <w:r>
                    <w:rPr>
                      <w:rFonts w:cs="Times New Roman"/>
                    </w:rPr>
                    <w:t>-</w:t>
                  </w:r>
                </w:p>
              </w:tc>
              <w:tc>
                <w:tcPr>
                  <w:tcW w:w="1610" w:type="dxa"/>
                  <w:vAlign w:val="center"/>
                </w:tcPr>
                <w:p>
                  <w:pPr>
                    <w:pStyle w:val="63"/>
                    <w:rPr>
                      <w:rFonts w:cs="Times New Roman"/>
                    </w:rPr>
                  </w:pPr>
                  <w:r>
                    <w:rPr>
                      <w:rFonts w:cs="Times New Roman"/>
                    </w:rPr>
                    <w:t>-</w:t>
                  </w:r>
                </w:p>
              </w:tc>
              <w:tc>
                <w:tcPr>
                  <w:tcW w:w="1430" w:type="dxa"/>
                  <w:vAlign w:val="center"/>
                </w:tcPr>
                <w:p>
                  <w:pPr>
                    <w:pStyle w:val="63"/>
                    <w:rPr>
                      <w:rFonts w:cs="Times New Roman"/>
                    </w:rPr>
                  </w:pPr>
                  <w:r>
                    <w:rPr>
                      <w:rFonts w:cs="Times New Roman"/>
                    </w:rPr>
                    <w:t>-</w:t>
                  </w:r>
                </w:p>
              </w:tc>
              <w:tc>
                <w:tcPr>
                  <w:tcW w:w="1145" w:type="dxa"/>
                  <w:vAlign w:val="center"/>
                </w:tcPr>
                <w:p>
                  <w:pPr>
                    <w:pStyle w:val="63"/>
                    <w:rPr>
                      <w:rFonts w:cs="Times New Roman"/>
                    </w:rPr>
                  </w:pPr>
                  <w:r>
                    <w:rPr>
                      <w:rFonts w:hint="eastAsia" w:cs="Times New Roman"/>
                    </w:rPr>
                    <w:t>1263.52</w:t>
                  </w:r>
                </w:p>
              </w:tc>
              <w:tc>
                <w:tcPr>
                  <w:tcW w:w="1076" w:type="dxa"/>
                  <w:vAlign w:val="center"/>
                </w:tcPr>
                <w:p>
                  <w:pPr>
                    <w:pStyle w:val="63"/>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8" w:type="dxa"/>
                  <w:gridSpan w:val="6"/>
                </w:tcPr>
                <w:p>
                  <w:pPr>
                    <w:pStyle w:val="64"/>
                  </w:pPr>
                  <w:r>
                    <w:t>注：废物代码根据《固体废物分类与代码目录》执行；</w:t>
                  </w:r>
                </w:p>
              </w:tc>
            </w:tr>
          </w:tbl>
          <w:p/>
          <w:p>
            <w:pPr>
              <w:pStyle w:val="5"/>
              <w:ind w:firstLine="480"/>
            </w:pPr>
            <w:r>
              <w:rPr>
                <w:rFonts w:hint="eastAsia"/>
              </w:rPr>
              <w:t>（2）危险废物</w:t>
            </w:r>
          </w:p>
          <w:p>
            <w:pPr>
              <w:pStyle w:val="5"/>
              <w:ind w:firstLine="480"/>
            </w:pPr>
            <w:r>
              <w:rPr>
                <w:rFonts w:hint="eastAsia"/>
              </w:rPr>
              <w:t>气浮池浮渣S2：气浮池浮渣S2产生量3t/a，含有石油类，危废间暂存交有危废处置资质单位转运处置。</w:t>
            </w:r>
          </w:p>
          <w:p>
            <w:pPr>
              <w:pStyle w:val="5"/>
              <w:ind w:firstLine="480"/>
            </w:pPr>
            <w:r>
              <w:rPr>
                <w:rFonts w:hint="eastAsia"/>
              </w:rPr>
              <w:t>废紫外灯S5:废紫外灯产生量0.2t/a，危废间暂存交有危废处置资质单位转运处置。</w:t>
            </w:r>
          </w:p>
          <w:p>
            <w:pPr>
              <w:pStyle w:val="5"/>
              <w:ind w:firstLine="480"/>
            </w:pPr>
            <w:r>
              <w:rPr>
                <w:rFonts w:hint="eastAsia"/>
              </w:rPr>
              <w:t>维修废油和沾染物S6：维修废油产生量0.1t/a，废油沾染物0.05t/a，危废间暂存交有危废处置资质单位转运处置。</w:t>
            </w:r>
          </w:p>
          <w:p>
            <w:pPr>
              <w:pStyle w:val="5"/>
              <w:ind w:firstLine="480"/>
            </w:pPr>
            <w:r>
              <w:rPr>
                <w:rFonts w:hint="eastAsia"/>
              </w:rPr>
              <w:t>沾染化学品的化验包装物和废液S7:化验废包装物产生量0.01t/a，废液1.8t/a，废液于化验室专用区域废液罐暂存，定期转运至危废间暂存，交有危废处置资质单位转运处置。</w:t>
            </w:r>
          </w:p>
          <w:p>
            <w:pPr>
              <w:pStyle w:val="5"/>
              <w:ind w:firstLine="480"/>
            </w:pPr>
            <w:r>
              <w:rPr>
                <w:rFonts w:hint="eastAsia"/>
              </w:rPr>
              <w:t>在线监测设备产生的废液和废试剂瓶S9：在线监测设备产生的废液和废试剂瓶产生量3t/</w:t>
            </w:r>
            <w:r>
              <w:t>a，</w:t>
            </w:r>
            <w:r>
              <w:rPr>
                <w:rFonts w:hint="eastAsia"/>
              </w:rPr>
              <w:t>交由有危废处置资质单位处置。</w:t>
            </w:r>
          </w:p>
          <w:p>
            <w:pPr>
              <w:pStyle w:val="14"/>
              <w:keepNext/>
            </w:pPr>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22</w:t>
            </w:r>
            <w:r>
              <w:fldChar w:fldCharType="end"/>
            </w:r>
            <w:r>
              <w:rPr>
                <w:rFonts w:hint="eastAsia"/>
              </w:rPr>
              <w:t xml:space="preserve">   危险废物产生、处置情况</w:t>
            </w:r>
          </w:p>
          <w:tbl>
            <w:tblPr>
              <w:tblStyle w:val="3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86"/>
              <w:gridCol w:w="768"/>
              <w:gridCol w:w="808"/>
              <w:gridCol w:w="818"/>
              <w:gridCol w:w="753"/>
              <w:gridCol w:w="753"/>
              <w:gridCol w:w="753"/>
              <w:gridCol w:w="767"/>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63"/>
                    <w:rPr>
                      <w:rFonts w:cs="Times New Roman"/>
                      <w:sz w:val="18"/>
                      <w:szCs w:val="18"/>
                    </w:rPr>
                  </w:pPr>
                  <w:r>
                    <w:rPr>
                      <w:rFonts w:cs="Times New Roman"/>
                      <w:sz w:val="18"/>
                      <w:szCs w:val="18"/>
                    </w:rPr>
                    <w:t>危废名称</w:t>
                  </w:r>
                </w:p>
              </w:tc>
              <w:tc>
                <w:tcPr>
                  <w:tcW w:w="786" w:type="dxa"/>
                  <w:vAlign w:val="center"/>
                </w:tcPr>
                <w:p>
                  <w:pPr>
                    <w:pStyle w:val="63"/>
                    <w:rPr>
                      <w:rFonts w:cs="Times New Roman"/>
                      <w:sz w:val="18"/>
                      <w:szCs w:val="18"/>
                    </w:rPr>
                  </w:pPr>
                  <w:r>
                    <w:rPr>
                      <w:rFonts w:cs="Times New Roman"/>
                      <w:sz w:val="18"/>
                      <w:szCs w:val="18"/>
                    </w:rPr>
                    <w:t>危废</w:t>
                  </w:r>
                </w:p>
                <w:p>
                  <w:pPr>
                    <w:pStyle w:val="63"/>
                    <w:rPr>
                      <w:rFonts w:cs="Times New Roman"/>
                      <w:sz w:val="18"/>
                      <w:szCs w:val="18"/>
                    </w:rPr>
                  </w:pPr>
                  <w:r>
                    <w:rPr>
                      <w:rFonts w:cs="Times New Roman"/>
                      <w:sz w:val="18"/>
                      <w:szCs w:val="18"/>
                    </w:rPr>
                    <w:t>类别</w:t>
                  </w:r>
                </w:p>
              </w:tc>
              <w:tc>
                <w:tcPr>
                  <w:tcW w:w="768" w:type="dxa"/>
                  <w:vAlign w:val="center"/>
                </w:tcPr>
                <w:p>
                  <w:pPr>
                    <w:pStyle w:val="63"/>
                    <w:rPr>
                      <w:rFonts w:cs="Times New Roman"/>
                      <w:sz w:val="18"/>
                      <w:szCs w:val="18"/>
                    </w:rPr>
                  </w:pPr>
                  <w:r>
                    <w:rPr>
                      <w:rFonts w:cs="Times New Roman"/>
                      <w:sz w:val="18"/>
                      <w:szCs w:val="18"/>
                    </w:rPr>
                    <w:t>危废</w:t>
                  </w:r>
                </w:p>
                <w:p>
                  <w:pPr>
                    <w:pStyle w:val="63"/>
                    <w:rPr>
                      <w:rFonts w:cs="Times New Roman"/>
                      <w:sz w:val="18"/>
                      <w:szCs w:val="18"/>
                    </w:rPr>
                  </w:pPr>
                  <w:r>
                    <w:rPr>
                      <w:rFonts w:cs="Times New Roman"/>
                      <w:sz w:val="18"/>
                      <w:szCs w:val="18"/>
                    </w:rPr>
                    <w:t>代码</w:t>
                  </w:r>
                </w:p>
              </w:tc>
              <w:tc>
                <w:tcPr>
                  <w:tcW w:w="808" w:type="dxa"/>
                  <w:vAlign w:val="center"/>
                </w:tcPr>
                <w:p>
                  <w:pPr>
                    <w:pStyle w:val="63"/>
                    <w:rPr>
                      <w:rFonts w:cs="Times New Roman"/>
                      <w:sz w:val="18"/>
                      <w:szCs w:val="18"/>
                    </w:rPr>
                  </w:pPr>
                  <w:r>
                    <w:rPr>
                      <w:rFonts w:cs="Times New Roman"/>
                      <w:sz w:val="18"/>
                      <w:szCs w:val="18"/>
                    </w:rPr>
                    <w:t>产生量t/a</w:t>
                  </w:r>
                </w:p>
              </w:tc>
              <w:tc>
                <w:tcPr>
                  <w:tcW w:w="818" w:type="dxa"/>
                  <w:vAlign w:val="center"/>
                </w:tcPr>
                <w:p>
                  <w:pPr>
                    <w:pStyle w:val="63"/>
                    <w:rPr>
                      <w:rFonts w:cs="Times New Roman"/>
                      <w:sz w:val="18"/>
                      <w:szCs w:val="18"/>
                    </w:rPr>
                  </w:pPr>
                  <w:r>
                    <w:rPr>
                      <w:rFonts w:cs="Times New Roman"/>
                      <w:sz w:val="18"/>
                      <w:szCs w:val="18"/>
                    </w:rPr>
                    <w:t>产生</w:t>
                  </w:r>
                </w:p>
                <w:p>
                  <w:pPr>
                    <w:pStyle w:val="63"/>
                    <w:rPr>
                      <w:rFonts w:cs="Times New Roman"/>
                      <w:sz w:val="18"/>
                      <w:szCs w:val="18"/>
                    </w:rPr>
                  </w:pPr>
                  <w:r>
                    <w:rPr>
                      <w:rFonts w:cs="Times New Roman"/>
                      <w:sz w:val="18"/>
                      <w:szCs w:val="18"/>
                    </w:rPr>
                    <w:t>工序</w:t>
                  </w:r>
                </w:p>
              </w:tc>
              <w:tc>
                <w:tcPr>
                  <w:tcW w:w="753" w:type="dxa"/>
                  <w:vAlign w:val="center"/>
                </w:tcPr>
                <w:p>
                  <w:pPr>
                    <w:pStyle w:val="63"/>
                    <w:rPr>
                      <w:rFonts w:cs="Times New Roman"/>
                      <w:sz w:val="18"/>
                      <w:szCs w:val="18"/>
                    </w:rPr>
                  </w:pPr>
                  <w:r>
                    <w:rPr>
                      <w:rFonts w:cs="Times New Roman"/>
                      <w:sz w:val="18"/>
                      <w:szCs w:val="18"/>
                    </w:rPr>
                    <w:t>形态</w:t>
                  </w:r>
                </w:p>
              </w:tc>
              <w:tc>
                <w:tcPr>
                  <w:tcW w:w="753" w:type="dxa"/>
                  <w:vAlign w:val="center"/>
                </w:tcPr>
                <w:p>
                  <w:pPr>
                    <w:pStyle w:val="63"/>
                    <w:rPr>
                      <w:rFonts w:cs="Times New Roman"/>
                      <w:sz w:val="18"/>
                      <w:szCs w:val="18"/>
                    </w:rPr>
                  </w:pPr>
                  <w:r>
                    <w:rPr>
                      <w:rFonts w:cs="Times New Roman"/>
                      <w:sz w:val="18"/>
                      <w:szCs w:val="18"/>
                    </w:rPr>
                    <w:t>有害成分</w:t>
                  </w:r>
                </w:p>
              </w:tc>
              <w:tc>
                <w:tcPr>
                  <w:tcW w:w="753" w:type="dxa"/>
                  <w:vAlign w:val="center"/>
                </w:tcPr>
                <w:p>
                  <w:pPr>
                    <w:pStyle w:val="63"/>
                    <w:rPr>
                      <w:rFonts w:cs="Times New Roman"/>
                      <w:sz w:val="18"/>
                      <w:szCs w:val="18"/>
                    </w:rPr>
                  </w:pPr>
                  <w:r>
                    <w:rPr>
                      <w:rFonts w:cs="Times New Roman"/>
                      <w:sz w:val="18"/>
                      <w:szCs w:val="18"/>
                    </w:rPr>
                    <w:t>产废周期</w:t>
                  </w:r>
                </w:p>
              </w:tc>
              <w:tc>
                <w:tcPr>
                  <w:tcW w:w="767" w:type="dxa"/>
                  <w:vAlign w:val="center"/>
                </w:tcPr>
                <w:p>
                  <w:pPr>
                    <w:pStyle w:val="63"/>
                    <w:rPr>
                      <w:rFonts w:cs="Times New Roman"/>
                      <w:sz w:val="18"/>
                      <w:szCs w:val="18"/>
                    </w:rPr>
                  </w:pPr>
                  <w:r>
                    <w:rPr>
                      <w:rFonts w:cs="Times New Roman"/>
                      <w:sz w:val="18"/>
                      <w:szCs w:val="18"/>
                    </w:rPr>
                    <w:t>危险</w:t>
                  </w:r>
                </w:p>
                <w:p>
                  <w:pPr>
                    <w:pStyle w:val="63"/>
                    <w:rPr>
                      <w:rFonts w:cs="Times New Roman"/>
                      <w:sz w:val="18"/>
                      <w:szCs w:val="18"/>
                    </w:rPr>
                  </w:pPr>
                  <w:r>
                    <w:rPr>
                      <w:rFonts w:cs="Times New Roman"/>
                      <w:sz w:val="18"/>
                      <w:szCs w:val="18"/>
                    </w:rPr>
                    <w:t>特性</w:t>
                  </w:r>
                </w:p>
              </w:tc>
              <w:tc>
                <w:tcPr>
                  <w:tcW w:w="773" w:type="dxa"/>
                  <w:vAlign w:val="center"/>
                </w:tcPr>
                <w:p>
                  <w:pPr>
                    <w:pStyle w:val="63"/>
                    <w:rPr>
                      <w:rFonts w:cs="Times New Roman"/>
                      <w:sz w:val="18"/>
                      <w:szCs w:val="18"/>
                    </w:rPr>
                  </w:pPr>
                  <w:r>
                    <w:rPr>
                      <w:rFonts w:cs="Times New Roman"/>
                      <w:sz w:val="18"/>
                      <w:szCs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63"/>
                    <w:rPr>
                      <w:rFonts w:cs="Times New Roman"/>
                      <w:sz w:val="18"/>
                      <w:szCs w:val="18"/>
                    </w:rPr>
                  </w:pPr>
                  <w:r>
                    <w:rPr>
                      <w:rFonts w:hint="eastAsia" w:cs="Times New Roman"/>
                      <w:sz w:val="18"/>
                      <w:szCs w:val="18"/>
                    </w:rPr>
                    <w:t>气浮池浮渣S2</w:t>
                  </w:r>
                </w:p>
              </w:tc>
              <w:tc>
                <w:tcPr>
                  <w:tcW w:w="786" w:type="dxa"/>
                  <w:vAlign w:val="center"/>
                </w:tcPr>
                <w:p>
                  <w:pPr>
                    <w:pStyle w:val="63"/>
                    <w:rPr>
                      <w:rFonts w:cs="Times New Roman"/>
                      <w:sz w:val="18"/>
                      <w:szCs w:val="18"/>
                    </w:rPr>
                  </w:pPr>
                  <w:r>
                    <w:rPr>
                      <w:rFonts w:cs="Times New Roman"/>
                      <w:sz w:val="18"/>
                      <w:szCs w:val="18"/>
                    </w:rPr>
                    <w:t>HW49</w:t>
                  </w:r>
                </w:p>
              </w:tc>
              <w:tc>
                <w:tcPr>
                  <w:tcW w:w="768" w:type="dxa"/>
                  <w:vAlign w:val="center"/>
                </w:tcPr>
                <w:p>
                  <w:pPr>
                    <w:pStyle w:val="63"/>
                    <w:rPr>
                      <w:rFonts w:cs="Times New Roman"/>
                      <w:sz w:val="18"/>
                      <w:szCs w:val="18"/>
                    </w:rPr>
                  </w:pPr>
                  <w:r>
                    <w:rPr>
                      <w:rFonts w:cs="Times New Roman"/>
                      <w:sz w:val="18"/>
                      <w:szCs w:val="18"/>
                    </w:rPr>
                    <w:t>900-041-49</w:t>
                  </w:r>
                </w:p>
              </w:tc>
              <w:tc>
                <w:tcPr>
                  <w:tcW w:w="808" w:type="dxa"/>
                  <w:vAlign w:val="center"/>
                </w:tcPr>
                <w:p>
                  <w:pPr>
                    <w:pStyle w:val="63"/>
                    <w:rPr>
                      <w:rFonts w:cs="Times New Roman"/>
                      <w:sz w:val="18"/>
                      <w:szCs w:val="18"/>
                    </w:rPr>
                  </w:pPr>
                  <w:r>
                    <w:rPr>
                      <w:rFonts w:hint="eastAsia" w:cs="Times New Roman"/>
                      <w:sz w:val="18"/>
                      <w:szCs w:val="18"/>
                    </w:rPr>
                    <w:t>3</w:t>
                  </w:r>
                </w:p>
              </w:tc>
              <w:tc>
                <w:tcPr>
                  <w:tcW w:w="818" w:type="dxa"/>
                  <w:vAlign w:val="center"/>
                </w:tcPr>
                <w:p>
                  <w:pPr>
                    <w:pStyle w:val="63"/>
                    <w:rPr>
                      <w:rFonts w:cs="Times New Roman"/>
                      <w:sz w:val="18"/>
                      <w:szCs w:val="18"/>
                    </w:rPr>
                  </w:pPr>
                  <w:r>
                    <w:rPr>
                      <w:rFonts w:hint="eastAsia" w:cs="Times New Roman"/>
                      <w:sz w:val="18"/>
                      <w:szCs w:val="18"/>
                    </w:rPr>
                    <w:t>气浮</w:t>
                  </w:r>
                </w:p>
              </w:tc>
              <w:tc>
                <w:tcPr>
                  <w:tcW w:w="753" w:type="dxa"/>
                  <w:vAlign w:val="center"/>
                </w:tcPr>
                <w:p>
                  <w:pPr>
                    <w:pStyle w:val="63"/>
                    <w:rPr>
                      <w:rFonts w:cs="Times New Roman"/>
                      <w:sz w:val="18"/>
                      <w:szCs w:val="18"/>
                    </w:rPr>
                  </w:pPr>
                  <w:r>
                    <w:rPr>
                      <w:rFonts w:cs="Times New Roman"/>
                      <w:sz w:val="18"/>
                      <w:szCs w:val="18"/>
                    </w:rPr>
                    <w:t>固态</w:t>
                  </w:r>
                </w:p>
              </w:tc>
              <w:tc>
                <w:tcPr>
                  <w:tcW w:w="753" w:type="dxa"/>
                  <w:vAlign w:val="center"/>
                </w:tcPr>
                <w:p>
                  <w:pPr>
                    <w:pStyle w:val="63"/>
                    <w:rPr>
                      <w:rFonts w:cs="Times New Roman"/>
                      <w:sz w:val="18"/>
                      <w:szCs w:val="18"/>
                    </w:rPr>
                  </w:pPr>
                  <w:r>
                    <w:rPr>
                      <w:rFonts w:cs="Times New Roman"/>
                      <w:sz w:val="18"/>
                      <w:szCs w:val="18"/>
                    </w:rPr>
                    <w:t>烃类</w:t>
                  </w:r>
                </w:p>
                <w:p>
                  <w:pPr>
                    <w:pStyle w:val="63"/>
                    <w:rPr>
                      <w:rFonts w:cs="Times New Roman"/>
                      <w:sz w:val="18"/>
                      <w:szCs w:val="18"/>
                    </w:rPr>
                  </w:pPr>
                  <w:r>
                    <w:rPr>
                      <w:rFonts w:cs="Times New Roman"/>
                      <w:sz w:val="18"/>
                      <w:szCs w:val="18"/>
                    </w:rPr>
                    <w:t>物质</w:t>
                  </w:r>
                </w:p>
              </w:tc>
              <w:tc>
                <w:tcPr>
                  <w:tcW w:w="753" w:type="dxa"/>
                  <w:vAlign w:val="center"/>
                </w:tcPr>
                <w:p>
                  <w:pPr>
                    <w:pStyle w:val="63"/>
                    <w:rPr>
                      <w:rFonts w:cs="Times New Roman"/>
                      <w:sz w:val="18"/>
                      <w:szCs w:val="18"/>
                    </w:rPr>
                  </w:pPr>
                  <w:r>
                    <w:rPr>
                      <w:rFonts w:hint="eastAsia" w:cs="Times New Roman"/>
                      <w:sz w:val="18"/>
                      <w:szCs w:val="18"/>
                    </w:rPr>
                    <w:t>3个月</w:t>
                  </w:r>
                </w:p>
              </w:tc>
              <w:tc>
                <w:tcPr>
                  <w:tcW w:w="767" w:type="dxa"/>
                  <w:vAlign w:val="center"/>
                </w:tcPr>
                <w:p>
                  <w:pPr>
                    <w:pStyle w:val="63"/>
                    <w:rPr>
                      <w:rFonts w:cs="Times New Roman"/>
                      <w:sz w:val="18"/>
                      <w:szCs w:val="18"/>
                    </w:rPr>
                  </w:pPr>
                  <w:r>
                    <w:rPr>
                      <w:rFonts w:cs="Times New Roman"/>
                      <w:sz w:val="18"/>
                      <w:szCs w:val="18"/>
                    </w:rPr>
                    <w:t>T，I</w:t>
                  </w:r>
                </w:p>
              </w:tc>
              <w:tc>
                <w:tcPr>
                  <w:tcW w:w="773" w:type="dxa"/>
                  <w:vMerge w:val="restart"/>
                  <w:vAlign w:val="center"/>
                </w:tcPr>
                <w:p>
                  <w:pPr>
                    <w:pStyle w:val="63"/>
                    <w:rPr>
                      <w:rFonts w:cs="Times New Roman"/>
                      <w:sz w:val="18"/>
                      <w:szCs w:val="18"/>
                    </w:rPr>
                  </w:pPr>
                  <w:r>
                    <w:rPr>
                      <w:rFonts w:hint="eastAsia" w:cs="Times New Roman"/>
                      <w:sz w:val="18"/>
                      <w:szCs w:val="18"/>
                    </w:rPr>
                    <w:t>危废间暂存，定期交有危废处置资质单位转运处置。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63"/>
                    <w:rPr>
                      <w:rFonts w:cs="Times New Roman"/>
                      <w:sz w:val="18"/>
                      <w:szCs w:val="18"/>
                    </w:rPr>
                  </w:pPr>
                  <w:r>
                    <w:rPr>
                      <w:rFonts w:hint="eastAsia" w:cs="Times New Roman"/>
                      <w:sz w:val="18"/>
                      <w:szCs w:val="18"/>
                    </w:rPr>
                    <w:t>废紫外灯</w:t>
                  </w:r>
                  <w:r>
                    <w:rPr>
                      <w:rFonts w:cs="Times New Roman"/>
                      <w:sz w:val="18"/>
                      <w:szCs w:val="18"/>
                    </w:rPr>
                    <w:t>S5</w:t>
                  </w:r>
                </w:p>
              </w:tc>
              <w:tc>
                <w:tcPr>
                  <w:tcW w:w="786" w:type="dxa"/>
                  <w:vAlign w:val="center"/>
                </w:tcPr>
                <w:p>
                  <w:pPr>
                    <w:pStyle w:val="63"/>
                    <w:rPr>
                      <w:rFonts w:cs="Times New Roman"/>
                      <w:sz w:val="18"/>
                      <w:szCs w:val="18"/>
                    </w:rPr>
                  </w:pPr>
                  <w:r>
                    <w:rPr>
                      <w:rFonts w:cs="Times New Roman"/>
                      <w:sz w:val="18"/>
                      <w:szCs w:val="18"/>
                    </w:rPr>
                    <w:t>HW</w:t>
                  </w:r>
                  <w:r>
                    <w:rPr>
                      <w:rFonts w:hint="eastAsia" w:cs="Times New Roman"/>
                      <w:sz w:val="18"/>
                      <w:szCs w:val="18"/>
                    </w:rPr>
                    <w:t>29</w:t>
                  </w:r>
                </w:p>
              </w:tc>
              <w:tc>
                <w:tcPr>
                  <w:tcW w:w="768" w:type="dxa"/>
                  <w:vAlign w:val="center"/>
                </w:tcPr>
                <w:p>
                  <w:pPr>
                    <w:pStyle w:val="63"/>
                    <w:rPr>
                      <w:rFonts w:cs="Times New Roman"/>
                      <w:sz w:val="18"/>
                      <w:szCs w:val="18"/>
                    </w:rPr>
                  </w:pPr>
                  <w:r>
                    <w:rPr>
                      <w:rFonts w:cs="Times New Roman"/>
                      <w:sz w:val="18"/>
                      <w:szCs w:val="18"/>
                    </w:rPr>
                    <w:t>900-023-29</w:t>
                  </w:r>
                </w:p>
              </w:tc>
              <w:tc>
                <w:tcPr>
                  <w:tcW w:w="808" w:type="dxa"/>
                  <w:vAlign w:val="center"/>
                </w:tcPr>
                <w:p>
                  <w:pPr>
                    <w:pStyle w:val="63"/>
                    <w:rPr>
                      <w:rFonts w:cs="Times New Roman"/>
                      <w:sz w:val="18"/>
                      <w:szCs w:val="18"/>
                    </w:rPr>
                  </w:pPr>
                  <w:r>
                    <w:rPr>
                      <w:rFonts w:hint="eastAsia" w:cs="Times New Roman"/>
                      <w:sz w:val="18"/>
                      <w:szCs w:val="18"/>
                    </w:rPr>
                    <w:t>0.2</w:t>
                  </w:r>
                </w:p>
              </w:tc>
              <w:tc>
                <w:tcPr>
                  <w:tcW w:w="818" w:type="dxa"/>
                  <w:vAlign w:val="center"/>
                </w:tcPr>
                <w:p>
                  <w:pPr>
                    <w:pStyle w:val="63"/>
                    <w:rPr>
                      <w:rFonts w:cs="Times New Roman"/>
                      <w:sz w:val="18"/>
                      <w:szCs w:val="18"/>
                    </w:rPr>
                  </w:pPr>
                  <w:r>
                    <w:rPr>
                      <w:rFonts w:hint="eastAsia" w:cs="Times New Roman"/>
                      <w:sz w:val="18"/>
                      <w:szCs w:val="18"/>
                    </w:rPr>
                    <w:t>消毒</w:t>
                  </w:r>
                </w:p>
              </w:tc>
              <w:tc>
                <w:tcPr>
                  <w:tcW w:w="753" w:type="dxa"/>
                  <w:vAlign w:val="center"/>
                </w:tcPr>
                <w:p>
                  <w:pPr>
                    <w:pStyle w:val="63"/>
                    <w:rPr>
                      <w:rFonts w:cs="Times New Roman"/>
                      <w:sz w:val="18"/>
                      <w:szCs w:val="18"/>
                    </w:rPr>
                  </w:pPr>
                  <w:r>
                    <w:rPr>
                      <w:rFonts w:cs="Times New Roman"/>
                      <w:sz w:val="18"/>
                      <w:szCs w:val="18"/>
                    </w:rPr>
                    <w:t>固态</w:t>
                  </w:r>
                </w:p>
              </w:tc>
              <w:tc>
                <w:tcPr>
                  <w:tcW w:w="753" w:type="dxa"/>
                  <w:vAlign w:val="center"/>
                </w:tcPr>
                <w:p>
                  <w:pPr>
                    <w:pStyle w:val="63"/>
                    <w:rPr>
                      <w:rFonts w:cs="Times New Roman"/>
                      <w:sz w:val="18"/>
                      <w:szCs w:val="18"/>
                    </w:rPr>
                  </w:pPr>
                  <w:r>
                    <w:rPr>
                      <w:rFonts w:hint="eastAsia" w:cs="Times New Roman"/>
                      <w:sz w:val="18"/>
                      <w:szCs w:val="18"/>
                    </w:rPr>
                    <w:t>重金属</w:t>
                  </w:r>
                </w:p>
              </w:tc>
              <w:tc>
                <w:tcPr>
                  <w:tcW w:w="753" w:type="dxa"/>
                  <w:vAlign w:val="center"/>
                </w:tcPr>
                <w:p>
                  <w:pPr>
                    <w:pStyle w:val="63"/>
                    <w:rPr>
                      <w:rFonts w:cs="Times New Roman"/>
                      <w:sz w:val="18"/>
                      <w:szCs w:val="18"/>
                    </w:rPr>
                  </w:pPr>
                  <w:r>
                    <w:rPr>
                      <w:rFonts w:hint="eastAsia" w:cs="Times New Roman"/>
                      <w:sz w:val="18"/>
                      <w:szCs w:val="18"/>
                    </w:rPr>
                    <w:t>6</w:t>
                  </w:r>
                  <w:r>
                    <w:rPr>
                      <w:rFonts w:cs="Times New Roman"/>
                      <w:sz w:val="18"/>
                      <w:szCs w:val="18"/>
                    </w:rPr>
                    <w:t>个月</w:t>
                  </w:r>
                </w:p>
              </w:tc>
              <w:tc>
                <w:tcPr>
                  <w:tcW w:w="767" w:type="dxa"/>
                  <w:vAlign w:val="center"/>
                </w:tcPr>
                <w:p>
                  <w:pPr>
                    <w:pStyle w:val="63"/>
                    <w:rPr>
                      <w:rFonts w:cs="Times New Roman"/>
                      <w:sz w:val="18"/>
                      <w:szCs w:val="18"/>
                    </w:rPr>
                  </w:pPr>
                  <w:r>
                    <w:rPr>
                      <w:rFonts w:cs="Times New Roman"/>
                      <w:sz w:val="18"/>
                      <w:szCs w:val="18"/>
                    </w:rPr>
                    <w:t>T</w:t>
                  </w:r>
                </w:p>
              </w:tc>
              <w:tc>
                <w:tcPr>
                  <w:tcW w:w="773" w:type="dxa"/>
                  <w:vMerge w:val="continue"/>
                  <w:vAlign w:val="center"/>
                </w:tcPr>
                <w:p>
                  <w:pPr>
                    <w:pStyle w:val="63"/>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63"/>
                    <w:rPr>
                      <w:rFonts w:cs="Times New Roman"/>
                      <w:sz w:val="18"/>
                      <w:szCs w:val="18"/>
                    </w:rPr>
                  </w:pPr>
                  <w:r>
                    <w:rPr>
                      <w:rFonts w:cs="Times New Roman"/>
                      <w:sz w:val="18"/>
                      <w:szCs w:val="18"/>
                    </w:rPr>
                    <w:t>废机油S</w:t>
                  </w:r>
                  <w:r>
                    <w:rPr>
                      <w:rFonts w:hint="eastAsia" w:cs="Times New Roman"/>
                      <w:sz w:val="18"/>
                      <w:szCs w:val="18"/>
                    </w:rPr>
                    <w:t>6</w:t>
                  </w:r>
                </w:p>
              </w:tc>
              <w:tc>
                <w:tcPr>
                  <w:tcW w:w="786" w:type="dxa"/>
                  <w:vAlign w:val="center"/>
                </w:tcPr>
                <w:p>
                  <w:pPr>
                    <w:pStyle w:val="63"/>
                    <w:rPr>
                      <w:rFonts w:cs="Times New Roman"/>
                      <w:sz w:val="18"/>
                      <w:szCs w:val="18"/>
                    </w:rPr>
                  </w:pPr>
                  <w:r>
                    <w:rPr>
                      <w:rFonts w:cs="Times New Roman"/>
                      <w:sz w:val="18"/>
                      <w:szCs w:val="18"/>
                    </w:rPr>
                    <w:t>HW08</w:t>
                  </w:r>
                </w:p>
              </w:tc>
              <w:tc>
                <w:tcPr>
                  <w:tcW w:w="768" w:type="dxa"/>
                  <w:vAlign w:val="center"/>
                </w:tcPr>
                <w:p>
                  <w:pPr>
                    <w:pStyle w:val="63"/>
                    <w:rPr>
                      <w:rFonts w:cs="Times New Roman"/>
                      <w:sz w:val="18"/>
                      <w:szCs w:val="18"/>
                    </w:rPr>
                  </w:pPr>
                  <w:r>
                    <w:rPr>
                      <w:rFonts w:cs="Times New Roman"/>
                      <w:sz w:val="18"/>
                      <w:szCs w:val="18"/>
                    </w:rPr>
                    <w:t>900-249-08</w:t>
                  </w:r>
                </w:p>
              </w:tc>
              <w:tc>
                <w:tcPr>
                  <w:tcW w:w="808" w:type="dxa"/>
                  <w:vAlign w:val="center"/>
                </w:tcPr>
                <w:p>
                  <w:pPr>
                    <w:pStyle w:val="63"/>
                    <w:rPr>
                      <w:rFonts w:cs="Times New Roman"/>
                      <w:sz w:val="18"/>
                      <w:szCs w:val="18"/>
                    </w:rPr>
                  </w:pPr>
                  <w:r>
                    <w:rPr>
                      <w:rFonts w:cs="Times New Roman"/>
                      <w:sz w:val="18"/>
                      <w:szCs w:val="18"/>
                    </w:rPr>
                    <w:t>0.</w:t>
                  </w:r>
                  <w:r>
                    <w:rPr>
                      <w:rFonts w:hint="eastAsia" w:cs="Times New Roman"/>
                      <w:sz w:val="18"/>
                      <w:szCs w:val="18"/>
                    </w:rPr>
                    <w:t>1</w:t>
                  </w:r>
                </w:p>
              </w:tc>
              <w:tc>
                <w:tcPr>
                  <w:tcW w:w="818" w:type="dxa"/>
                  <w:vAlign w:val="center"/>
                </w:tcPr>
                <w:p>
                  <w:pPr>
                    <w:pStyle w:val="63"/>
                    <w:rPr>
                      <w:rFonts w:cs="Times New Roman"/>
                      <w:sz w:val="18"/>
                      <w:szCs w:val="18"/>
                    </w:rPr>
                  </w:pPr>
                  <w:r>
                    <w:rPr>
                      <w:rFonts w:cs="Times New Roman"/>
                      <w:sz w:val="18"/>
                      <w:szCs w:val="18"/>
                    </w:rPr>
                    <w:t>设备维护</w:t>
                  </w:r>
                </w:p>
              </w:tc>
              <w:tc>
                <w:tcPr>
                  <w:tcW w:w="753" w:type="dxa"/>
                  <w:vAlign w:val="center"/>
                </w:tcPr>
                <w:p>
                  <w:pPr>
                    <w:pStyle w:val="63"/>
                    <w:rPr>
                      <w:rFonts w:cs="Times New Roman"/>
                      <w:sz w:val="18"/>
                      <w:szCs w:val="18"/>
                    </w:rPr>
                  </w:pPr>
                  <w:r>
                    <w:rPr>
                      <w:rFonts w:cs="Times New Roman"/>
                      <w:sz w:val="18"/>
                      <w:szCs w:val="18"/>
                    </w:rPr>
                    <w:t>液态</w:t>
                  </w:r>
                </w:p>
              </w:tc>
              <w:tc>
                <w:tcPr>
                  <w:tcW w:w="753" w:type="dxa"/>
                  <w:vAlign w:val="center"/>
                </w:tcPr>
                <w:p>
                  <w:pPr>
                    <w:pStyle w:val="63"/>
                    <w:rPr>
                      <w:rFonts w:cs="Times New Roman"/>
                      <w:sz w:val="18"/>
                      <w:szCs w:val="18"/>
                    </w:rPr>
                  </w:pPr>
                  <w:r>
                    <w:rPr>
                      <w:rFonts w:cs="Times New Roman"/>
                      <w:sz w:val="18"/>
                      <w:szCs w:val="18"/>
                    </w:rPr>
                    <w:t>烃类</w:t>
                  </w:r>
                </w:p>
                <w:p>
                  <w:pPr>
                    <w:pStyle w:val="63"/>
                    <w:rPr>
                      <w:rFonts w:cs="Times New Roman"/>
                      <w:sz w:val="18"/>
                      <w:szCs w:val="18"/>
                    </w:rPr>
                  </w:pPr>
                  <w:r>
                    <w:rPr>
                      <w:rFonts w:cs="Times New Roman"/>
                      <w:sz w:val="18"/>
                      <w:szCs w:val="18"/>
                    </w:rPr>
                    <w:t>物质</w:t>
                  </w:r>
                </w:p>
              </w:tc>
              <w:tc>
                <w:tcPr>
                  <w:tcW w:w="753" w:type="dxa"/>
                  <w:vAlign w:val="center"/>
                </w:tcPr>
                <w:p>
                  <w:pPr>
                    <w:pStyle w:val="63"/>
                    <w:rPr>
                      <w:rFonts w:cs="Times New Roman"/>
                      <w:sz w:val="18"/>
                      <w:szCs w:val="18"/>
                    </w:rPr>
                  </w:pPr>
                  <w:r>
                    <w:rPr>
                      <w:rFonts w:cs="Times New Roman"/>
                      <w:sz w:val="18"/>
                      <w:szCs w:val="18"/>
                    </w:rPr>
                    <w:t>6个月</w:t>
                  </w:r>
                </w:p>
              </w:tc>
              <w:tc>
                <w:tcPr>
                  <w:tcW w:w="767" w:type="dxa"/>
                  <w:vAlign w:val="center"/>
                </w:tcPr>
                <w:p>
                  <w:pPr>
                    <w:pStyle w:val="63"/>
                    <w:rPr>
                      <w:rFonts w:cs="Times New Roman"/>
                      <w:sz w:val="18"/>
                      <w:szCs w:val="18"/>
                    </w:rPr>
                  </w:pPr>
                  <w:r>
                    <w:rPr>
                      <w:rFonts w:cs="Times New Roman"/>
                      <w:sz w:val="18"/>
                      <w:szCs w:val="18"/>
                    </w:rPr>
                    <w:t>T，I</w:t>
                  </w:r>
                </w:p>
              </w:tc>
              <w:tc>
                <w:tcPr>
                  <w:tcW w:w="773" w:type="dxa"/>
                  <w:vMerge w:val="continue"/>
                  <w:vAlign w:val="center"/>
                </w:tcPr>
                <w:p>
                  <w:pPr>
                    <w:pStyle w:val="63"/>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63"/>
                    <w:rPr>
                      <w:rFonts w:cs="Times New Roman"/>
                      <w:sz w:val="18"/>
                      <w:szCs w:val="18"/>
                    </w:rPr>
                  </w:pPr>
                  <w:r>
                    <w:rPr>
                      <w:rFonts w:cs="Times New Roman"/>
                      <w:sz w:val="18"/>
                      <w:szCs w:val="18"/>
                    </w:rPr>
                    <w:t>机油沾染物</w:t>
                  </w:r>
                  <w:r>
                    <w:rPr>
                      <w:rFonts w:hint="eastAsia" w:cs="Times New Roman"/>
                      <w:sz w:val="18"/>
                      <w:szCs w:val="18"/>
                    </w:rPr>
                    <w:t>S6</w:t>
                  </w:r>
                </w:p>
              </w:tc>
              <w:tc>
                <w:tcPr>
                  <w:tcW w:w="786" w:type="dxa"/>
                  <w:vAlign w:val="center"/>
                </w:tcPr>
                <w:p>
                  <w:pPr>
                    <w:pStyle w:val="63"/>
                    <w:rPr>
                      <w:rFonts w:cs="Times New Roman"/>
                      <w:sz w:val="18"/>
                      <w:szCs w:val="18"/>
                    </w:rPr>
                  </w:pPr>
                  <w:r>
                    <w:rPr>
                      <w:rFonts w:cs="Times New Roman"/>
                      <w:sz w:val="18"/>
                      <w:szCs w:val="18"/>
                    </w:rPr>
                    <w:t>HW49</w:t>
                  </w:r>
                </w:p>
              </w:tc>
              <w:tc>
                <w:tcPr>
                  <w:tcW w:w="768" w:type="dxa"/>
                  <w:vAlign w:val="center"/>
                </w:tcPr>
                <w:p>
                  <w:pPr>
                    <w:pStyle w:val="63"/>
                    <w:rPr>
                      <w:rFonts w:cs="Times New Roman"/>
                      <w:sz w:val="18"/>
                      <w:szCs w:val="18"/>
                    </w:rPr>
                  </w:pPr>
                  <w:r>
                    <w:rPr>
                      <w:rFonts w:cs="Times New Roman"/>
                      <w:sz w:val="18"/>
                      <w:szCs w:val="18"/>
                    </w:rPr>
                    <w:t>900-041-49</w:t>
                  </w:r>
                </w:p>
              </w:tc>
              <w:tc>
                <w:tcPr>
                  <w:tcW w:w="808" w:type="dxa"/>
                  <w:vAlign w:val="center"/>
                </w:tcPr>
                <w:p>
                  <w:pPr>
                    <w:pStyle w:val="63"/>
                    <w:rPr>
                      <w:rFonts w:cs="Times New Roman"/>
                      <w:sz w:val="18"/>
                      <w:szCs w:val="18"/>
                    </w:rPr>
                  </w:pPr>
                  <w:r>
                    <w:rPr>
                      <w:rFonts w:hint="eastAsia" w:cs="Times New Roman"/>
                      <w:sz w:val="18"/>
                      <w:szCs w:val="18"/>
                    </w:rPr>
                    <w:t>0.05</w:t>
                  </w:r>
                </w:p>
              </w:tc>
              <w:tc>
                <w:tcPr>
                  <w:tcW w:w="818" w:type="dxa"/>
                  <w:vAlign w:val="center"/>
                </w:tcPr>
                <w:p>
                  <w:pPr>
                    <w:pStyle w:val="63"/>
                    <w:rPr>
                      <w:rFonts w:cs="Times New Roman"/>
                      <w:sz w:val="18"/>
                      <w:szCs w:val="18"/>
                    </w:rPr>
                  </w:pPr>
                  <w:r>
                    <w:rPr>
                      <w:rFonts w:cs="Times New Roman"/>
                      <w:sz w:val="18"/>
                      <w:szCs w:val="18"/>
                    </w:rPr>
                    <w:t>设备维护</w:t>
                  </w:r>
                </w:p>
              </w:tc>
              <w:tc>
                <w:tcPr>
                  <w:tcW w:w="753" w:type="dxa"/>
                  <w:vAlign w:val="center"/>
                </w:tcPr>
                <w:p>
                  <w:pPr>
                    <w:pStyle w:val="63"/>
                    <w:rPr>
                      <w:rFonts w:cs="Times New Roman"/>
                      <w:sz w:val="18"/>
                      <w:szCs w:val="18"/>
                    </w:rPr>
                  </w:pPr>
                  <w:r>
                    <w:rPr>
                      <w:rFonts w:cs="Times New Roman"/>
                      <w:sz w:val="18"/>
                      <w:szCs w:val="18"/>
                    </w:rPr>
                    <w:t>固态</w:t>
                  </w:r>
                </w:p>
              </w:tc>
              <w:tc>
                <w:tcPr>
                  <w:tcW w:w="753" w:type="dxa"/>
                  <w:vAlign w:val="center"/>
                </w:tcPr>
                <w:p>
                  <w:pPr>
                    <w:pStyle w:val="63"/>
                    <w:rPr>
                      <w:rFonts w:cs="Times New Roman"/>
                      <w:sz w:val="18"/>
                      <w:szCs w:val="18"/>
                    </w:rPr>
                  </w:pPr>
                  <w:r>
                    <w:rPr>
                      <w:rFonts w:cs="Times New Roman"/>
                      <w:sz w:val="18"/>
                      <w:szCs w:val="18"/>
                    </w:rPr>
                    <w:t>烃类</w:t>
                  </w:r>
                </w:p>
                <w:p>
                  <w:pPr>
                    <w:pStyle w:val="63"/>
                    <w:rPr>
                      <w:rFonts w:cs="Times New Roman"/>
                      <w:sz w:val="18"/>
                      <w:szCs w:val="18"/>
                    </w:rPr>
                  </w:pPr>
                  <w:r>
                    <w:rPr>
                      <w:rFonts w:cs="Times New Roman"/>
                      <w:sz w:val="18"/>
                      <w:szCs w:val="18"/>
                    </w:rPr>
                    <w:t>物质</w:t>
                  </w:r>
                </w:p>
              </w:tc>
              <w:tc>
                <w:tcPr>
                  <w:tcW w:w="753" w:type="dxa"/>
                  <w:vAlign w:val="center"/>
                </w:tcPr>
                <w:p>
                  <w:pPr>
                    <w:pStyle w:val="63"/>
                    <w:rPr>
                      <w:rFonts w:cs="Times New Roman"/>
                      <w:sz w:val="18"/>
                      <w:szCs w:val="18"/>
                    </w:rPr>
                  </w:pPr>
                  <w:r>
                    <w:rPr>
                      <w:rFonts w:cs="Times New Roman"/>
                      <w:sz w:val="18"/>
                      <w:szCs w:val="18"/>
                    </w:rPr>
                    <w:t>6个月</w:t>
                  </w:r>
                </w:p>
              </w:tc>
              <w:tc>
                <w:tcPr>
                  <w:tcW w:w="767" w:type="dxa"/>
                  <w:vAlign w:val="center"/>
                </w:tcPr>
                <w:p>
                  <w:pPr>
                    <w:pStyle w:val="63"/>
                    <w:rPr>
                      <w:rFonts w:cs="Times New Roman"/>
                      <w:sz w:val="18"/>
                      <w:szCs w:val="18"/>
                    </w:rPr>
                  </w:pPr>
                  <w:r>
                    <w:rPr>
                      <w:rFonts w:cs="Times New Roman"/>
                      <w:sz w:val="18"/>
                      <w:szCs w:val="18"/>
                    </w:rPr>
                    <w:t>T，I</w:t>
                  </w:r>
                </w:p>
              </w:tc>
              <w:tc>
                <w:tcPr>
                  <w:tcW w:w="773" w:type="dxa"/>
                  <w:vMerge w:val="continue"/>
                  <w:vAlign w:val="center"/>
                </w:tcPr>
                <w:p>
                  <w:pPr>
                    <w:pStyle w:val="63"/>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63"/>
                    <w:rPr>
                      <w:rFonts w:cs="Times New Roman"/>
                      <w:sz w:val="18"/>
                      <w:szCs w:val="18"/>
                    </w:rPr>
                  </w:pPr>
                  <w:r>
                    <w:rPr>
                      <w:rFonts w:hint="eastAsia" w:cs="Times New Roman"/>
                      <w:sz w:val="18"/>
                      <w:szCs w:val="18"/>
                    </w:rPr>
                    <w:t>沾染化学品的化验包装物和废液</w:t>
                  </w:r>
                  <w:r>
                    <w:rPr>
                      <w:rFonts w:cs="Times New Roman"/>
                      <w:sz w:val="18"/>
                      <w:szCs w:val="18"/>
                    </w:rPr>
                    <w:t>S7</w:t>
                  </w:r>
                </w:p>
              </w:tc>
              <w:tc>
                <w:tcPr>
                  <w:tcW w:w="786" w:type="dxa"/>
                  <w:vAlign w:val="center"/>
                </w:tcPr>
                <w:p>
                  <w:pPr>
                    <w:pStyle w:val="63"/>
                    <w:rPr>
                      <w:rFonts w:cs="Times New Roman"/>
                      <w:sz w:val="18"/>
                      <w:szCs w:val="18"/>
                    </w:rPr>
                  </w:pPr>
                  <w:r>
                    <w:rPr>
                      <w:rFonts w:cs="Times New Roman"/>
                      <w:sz w:val="18"/>
                      <w:szCs w:val="18"/>
                    </w:rPr>
                    <w:t>HW49</w:t>
                  </w:r>
                </w:p>
              </w:tc>
              <w:tc>
                <w:tcPr>
                  <w:tcW w:w="768" w:type="dxa"/>
                  <w:vAlign w:val="center"/>
                </w:tcPr>
                <w:p>
                  <w:pPr>
                    <w:pStyle w:val="63"/>
                    <w:rPr>
                      <w:rFonts w:cs="Times New Roman"/>
                      <w:sz w:val="18"/>
                      <w:szCs w:val="18"/>
                    </w:rPr>
                  </w:pPr>
                  <w:r>
                    <w:rPr>
                      <w:rFonts w:cs="Times New Roman"/>
                      <w:sz w:val="18"/>
                      <w:szCs w:val="18"/>
                    </w:rPr>
                    <w:t>900-047-49</w:t>
                  </w:r>
                </w:p>
              </w:tc>
              <w:tc>
                <w:tcPr>
                  <w:tcW w:w="808" w:type="dxa"/>
                  <w:vAlign w:val="center"/>
                </w:tcPr>
                <w:p>
                  <w:pPr>
                    <w:pStyle w:val="63"/>
                    <w:rPr>
                      <w:rFonts w:cs="Times New Roman"/>
                      <w:sz w:val="18"/>
                      <w:szCs w:val="18"/>
                    </w:rPr>
                  </w:pPr>
                  <w:r>
                    <w:rPr>
                      <w:rFonts w:hint="eastAsia" w:cs="Times New Roman"/>
                      <w:sz w:val="18"/>
                      <w:szCs w:val="18"/>
                    </w:rPr>
                    <w:t>1.8</w:t>
                  </w:r>
                </w:p>
              </w:tc>
              <w:tc>
                <w:tcPr>
                  <w:tcW w:w="818" w:type="dxa"/>
                  <w:vAlign w:val="center"/>
                </w:tcPr>
                <w:p>
                  <w:pPr>
                    <w:pStyle w:val="63"/>
                    <w:rPr>
                      <w:rFonts w:cs="Times New Roman"/>
                      <w:sz w:val="18"/>
                      <w:szCs w:val="18"/>
                    </w:rPr>
                  </w:pPr>
                  <w:r>
                    <w:rPr>
                      <w:rFonts w:hint="eastAsia" w:cs="Times New Roman"/>
                      <w:sz w:val="18"/>
                      <w:szCs w:val="18"/>
                    </w:rPr>
                    <w:t>化验</w:t>
                  </w:r>
                </w:p>
              </w:tc>
              <w:tc>
                <w:tcPr>
                  <w:tcW w:w="753" w:type="dxa"/>
                  <w:vAlign w:val="center"/>
                </w:tcPr>
                <w:p>
                  <w:pPr>
                    <w:pStyle w:val="63"/>
                    <w:rPr>
                      <w:rFonts w:cs="Times New Roman"/>
                      <w:sz w:val="18"/>
                      <w:szCs w:val="18"/>
                    </w:rPr>
                  </w:pPr>
                  <w:r>
                    <w:rPr>
                      <w:rFonts w:hint="eastAsia" w:cs="Times New Roman"/>
                      <w:sz w:val="18"/>
                      <w:szCs w:val="18"/>
                    </w:rPr>
                    <w:t>固态</w:t>
                  </w:r>
                </w:p>
                <w:p>
                  <w:pPr>
                    <w:pStyle w:val="63"/>
                    <w:rPr>
                      <w:rFonts w:cs="Times New Roman"/>
                      <w:sz w:val="18"/>
                      <w:szCs w:val="18"/>
                    </w:rPr>
                  </w:pPr>
                  <w:r>
                    <w:rPr>
                      <w:rFonts w:hint="eastAsia" w:cs="Times New Roman"/>
                      <w:sz w:val="18"/>
                      <w:szCs w:val="18"/>
                    </w:rPr>
                    <w:t>液态</w:t>
                  </w:r>
                </w:p>
              </w:tc>
              <w:tc>
                <w:tcPr>
                  <w:tcW w:w="753" w:type="dxa"/>
                  <w:vAlign w:val="center"/>
                </w:tcPr>
                <w:p>
                  <w:pPr>
                    <w:pStyle w:val="63"/>
                    <w:rPr>
                      <w:rFonts w:cs="Times New Roman"/>
                      <w:sz w:val="18"/>
                      <w:szCs w:val="18"/>
                    </w:rPr>
                  </w:pPr>
                  <w:r>
                    <w:rPr>
                      <w:rFonts w:cs="Times New Roman"/>
                      <w:sz w:val="18"/>
                      <w:szCs w:val="18"/>
                    </w:rPr>
                    <w:t>烃类</w:t>
                  </w:r>
                </w:p>
                <w:p>
                  <w:pPr>
                    <w:pStyle w:val="63"/>
                    <w:rPr>
                      <w:rFonts w:cs="Times New Roman"/>
                      <w:sz w:val="18"/>
                      <w:szCs w:val="18"/>
                    </w:rPr>
                  </w:pPr>
                  <w:r>
                    <w:rPr>
                      <w:rFonts w:cs="Times New Roman"/>
                      <w:sz w:val="18"/>
                      <w:szCs w:val="18"/>
                    </w:rPr>
                    <w:t>物质</w:t>
                  </w:r>
                </w:p>
              </w:tc>
              <w:tc>
                <w:tcPr>
                  <w:tcW w:w="753" w:type="dxa"/>
                  <w:vAlign w:val="center"/>
                </w:tcPr>
                <w:p>
                  <w:pPr>
                    <w:pStyle w:val="63"/>
                    <w:rPr>
                      <w:rFonts w:cs="Times New Roman"/>
                      <w:sz w:val="18"/>
                      <w:szCs w:val="18"/>
                    </w:rPr>
                  </w:pPr>
                  <w:r>
                    <w:rPr>
                      <w:rFonts w:cs="Times New Roman"/>
                      <w:sz w:val="18"/>
                      <w:szCs w:val="18"/>
                    </w:rPr>
                    <w:t>6个月</w:t>
                  </w:r>
                </w:p>
              </w:tc>
              <w:tc>
                <w:tcPr>
                  <w:tcW w:w="767" w:type="dxa"/>
                  <w:vAlign w:val="center"/>
                </w:tcPr>
                <w:p>
                  <w:pPr>
                    <w:pStyle w:val="63"/>
                    <w:rPr>
                      <w:rFonts w:cs="Times New Roman"/>
                      <w:sz w:val="18"/>
                      <w:szCs w:val="18"/>
                    </w:rPr>
                  </w:pPr>
                  <w:r>
                    <w:rPr>
                      <w:rFonts w:cs="Times New Roman"/>
                      <w:sz w:val="18"/>
                      <w:szCs w:val="18"/>
                    </w:rPr>
                    <w:t>T，I</w:t>
                  </w:r>
                </w:p>
              </w:tc>
              <w:tc>
                <w:tcPr>
                  <w:tcW w:w="773" w:type="dxa"/>
                  <w:vMerge w:val="continue"/>
                  <w:vAlign w:val="center"/>
                </w:tcPr>
                <w:p>
                  <w:pPr>
                    <w:pStyle w:val="63"/>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63"/>
                    <w:rPr>
                      <w:rFonts w:cs="Times New Roman"/>
                      <w:sz w:val="18"/>
                      <w:szCs w:val="18"/>
                    </w:rPr>
                  </w:pPr>
                  <w:r>
                    <w:rPr>
                      <w:rFonts w:hint="eastAsia" w:cs="Times New Roman"/>
                      <w:sz w:val="18"/>
                      <w:szCs w:val="18"/>
                    </w:rPr>
                    <w:t>在线监测设备产生的废液和废试剂瓶</w:t>
                  </w:r>
                  <w:r>
                    <w:rPr>
                      <w:rFonts w:cs="Times New Roman"/>
                      <w:sz w:val="18"/>
                      <w:szCs w:val="18"/>
                    </w:rPr>
                    <w:t>S9</w:t>
                  </w:r>
                </w:p>
              </w:tc>
              <w:tc>
                <w:tcPr>
                  <w:tcW w:w="786" w:type="dxa"/>
                  <w:vAlign w:val="center"/>
                </w:tcPr>
                <w:p>
                  <w:pPr>
                    <w:pStyle w:val="63"/>
                    <w:rPr>
                      <w:rFonts w:cs="Times New Roman"/>
                      <w:sz w:val="18"/>
                      <w:szCs w:val="18"/>
                    </w:rPr>
                  </w:pPr>
                  <w:r>
                    <w:rPr>
                      <w:rFonts w:cs="Times New Roman"/>
                      <w:sz w:val="18"/>
                      <w:szCs w:val="18"/>
                    </w:rPr>
                    <w:t>HW49</w:t>
                  </w:r>
                </w:p>
              </w:tc>
              <w:tc>
                <w:tcPr>
                  <w:tcW w:w="768" w:type="dxa"/>
                  <w:vAlign w:val="center"/>
                </w:tcPr>
                <w:p>
                  <w:pPr>
                    <w:pStyle w:val="63"/>
                    <w:rPr>
                      <w:rFonts w:cs="Times New Roman"/>
                      <w:sz w:val="18"/>
                      <w:szCs w:val="18"/>
                    </w:rPr>
                  </w:pPr>
                  <w:r>
                    <w:rPr>
                      <w:rFonts w:cs="Times New Roman"/>
                      <w:sz w:val="18"/>
                      <w:szCs w:val="18"/>
                    </w:rPr>
                    <w:t>900-047-49</w:t>
                  </w:r>
                </w:p>
              </w:tc>
              <w:tc>
                <w:tcPr>
                  <w:tcW w:w="808" w:type="dxa"/>
                  <w:vAlign w:val="center"/>
                </w:tcPr>
                <w:p>
                  <w:pPr>
                    <w:pStyle w:val="63"/>
                    <w:rPr>
                      <w:rFonts w:cs="Times New Roman"/>
                      <w:sz w:val="18"/>
                      <w:szCs w:val="18"/>
                    </w:rPr>
                  </w:pPr>
                  <w:r>
                    <w:rPr>
                      <w:rFonts w:hint="eastAsia" w:cs="Times New Roman"/>
                      <w:sz w:val="18"/>
                      <w:szCs w:val="18"/>
                    </w:rPr>
                    <w:t>3</w:t>
                  </w:r>
                </w:p>
              </w:tc>
              <w:tc>
                <w:tcPr>
                  <w:tcW w:w="818" w:type="dxa"/>
                  <w:vAlign w:val="center"/>
                </w:tcPr>
                <w:p>
                  <w:pPr>
                    <w:pStyle w:val="63"/>
                    <w:rPr>
                      <w:rFonts w:cs="Times New Roman"/>
                      <w:sz w:val="18"/>
                      <w:szCs w:val="18"/>
                    </w:rPr>
                  </w:pPr>
                  <w:r>
                    <w:rPr>
                      <w:rFonts w:hint="eastAsia" w:cs="Times New Roman"/>
                      <w:sz w:val="18"/>
                      <w:szCs w:val="18"/>
                    </w:rPr>
                    <w:t>化验</w:t>
                  </w:r>
                </w:p>
              </w:tc>
              <w:tc>
                <w:tcPr>
                  <w:tcW w:w="753" w:type="dxa"/>
                  <w:vAlign w:val="center"/>
                </w:tcPr>
                <w:p>
                  <w:pPr>
                    <w:pStyle w:val="63"/>
                    <w:rPr>
                      <w:rFonts w:cs="Times New Roman"/>
                      <w:sz w:val="18"/>
                      <w:szCs w:val="18"/>
                    </w:rPr>
                  </w:pPr>
                  <w:r>
                    <w:rPr>
                      <w:rFonts w:hint="eastAsia" w:cs="Times New Roman"/>
                      <w:sz w:val="18"/>
                      <w:szCs w:val="18"/>
                    </w:rPr>
                    <w:t>固态</w:t>
                  </w:r>
                </w:p>
                <w:p>
                  <w:pPr>
                    <w:pStyle w:val="63"/>
                    <w:rPr>
                      <w:rFonts w:cs="Times New Roman"/>
                      <w:sz w:val="18"/>
                      <w:szCs w:val="18"/>
                    </w:rPr>
                  </w:pPr>
                  <w:r>
                    <w:rPr>
                      <w:rFonts w:hint="eastAsia" w:cs="Times New Roman"/>
                      <w:sz w:val="18"/>
                      <w:szCs w:val="18"/>
                    </w:rPr>
                    <w:t>液态</w:t>
                  </w:r>
                </w:p>
              </w:tc>
              <w:tc>
                <w:tcPr>
                  <w:tcW w:w="753" w:type="dxa"/>
                  <w:vAlign w:val="center"/>
                </w:tcPr>
                <w:p>
                  <w:pPr>
                    <w:pStyle w:val="63"/>
                    <w:rPr>
                      <w:rFonts w:cs="Times New Roman"/>
                      <w:sz w:val="18"/>
                      <w:szCs w:val="18"/>
                    </w:rPr>
                  </w:pPr>
                  <w:r>
                    <w:rPr>
                      <w:rFonts w:cs="Times New Roman"/>
                      <w:sz w:val="18"/>
                      <w:szCs w:val="18"/>
                    </w:rPr>
                    <w:t>烃类</w:t>
                  </w:r>
                </w:p>
                <w:p>
                  <w:pPr>
                    <w:pStyle w:val="63"/>
                    <w:rPr>
                      <w:rFonts w:cs="Times New Roman"/>
                      <w:sz w:val="18"/>
                      <w:szCs w:val="18"/>
                    </w:rPr>
                  </w:pPr>
                  <w:r>
                    <w:rPr>
                      <w:rFonts w:cs="Times New Roman"/>
                      <w:sz w:val="18"/>
                      <w:szCs w:val="18"/>
                    </w:rPr>
                    <w:t>物质</w:t>
                  </w:r>
                </w:p>
                <w:p>
                  <w:pPr>
                    <w:pStyle w:val="63"/>
                    <w:rPr>
                      <w:rFonts w:cs="Times New Roman"/>
                      <w:sz w:val="18"/>
                      <w:szCs w:val="18"/>
                    </w:rPr>
                  </w:pPr>
                  <w:r>
                    <w:rPr>
                      <w:rFonts w:hint="eastAsia" w:cs="Times New Roman"/>
                      <w:sz w:val="18"/>
                      <w:szCs w:val="18"/>
                    </w:rPr>
                    <w:t>重金属</w:t>
                  </w:r>
                </w:p>
              </w:tc>
              <w:tc>
                <w:tcPr>
                  <w:tcW w:w="753" w:type="dxa"/>
                  <w:vAlign w:val="center"/>
                </w:tcPr>
                <w:p>
                  <w:pPr>
                    <w:pStyle w:val="63"/>
                    <w:rPr>
                      <w:rFonts w:cs="Times New Roman"/>
                      <w:sz w:val="18"/>
                      <w:szCs w:val="18"/>
                    </w:rPr>
                  </w:pPr>
                  <w:r>
                    <w:rPr>
                      <w:rFonts w:cs="Times New Roman"/>
                      <w:sz w:val="18"/>
                      <w:szCs w:val="18"/>
                    </w:rPr>
                    <w:t>6个月</w:t>
                  </w:r>
                </w:p>
              </w:tc>
              <w:tc>
                <w:tcPr>
                  <w:tcW w:w="767" w:type="dxa"/>
                  <w:vAlign w:val="center"/>
                </w:tcPr>
                <w:p>
                  <w:pPr>
                    <w:pStyle w:val="63"/>
                    <w:rPr>
                      <w:rFonts w:cs="Times New Roman"/>
                      <w:sz w:val="18"/>
                      <w:szCs w:val="18"/>
                    </w:rPr>
                  </w:pPr>
                  <w:r>
                    <w:rPr>
                      <w:rFonts w:cs="Times New Roman"/>
                      <w:sz w:val="18"/>
                      <w:szCs w:val="18"/>
                    </w:rPr>
                    <w:t>T，I</w:t>
                  </w:r>
                </w:p>
              </w:tc>
              <w:tc>
                <w:tcPr>
                  <w:tcW w:w="773" w:type="dxa"/>
                  <w:vMerge w:val="continue"/>
                  <w:vAlign w:val="center"/>
                </w:tcPr>
                <w:p>
                  <w:pPr>
                    <w:pStyle w:val="63"/>
                    <w:rPr>
                      <w:rFonts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pStyle w:val="63"/>
                    <w:rPr>
                      <w:rFonts w:cs="Times New Roman"/>
                      <w:sz w:val="18"/>
                      <w:szCs w:val="18"/>
                    </w:rPr>
                  </w:pPr>
                  <w:r>
                    <w:rPr>
                      <w:rFonts w:cs="Times New Roman"/>
                      <w:sz w:val="18"/>
                      <w:szCs w:val="18"/>
                    </w:rPr>
                    <w:t>合计</w:t>
                  </w:r>
                </w:p>
              </w:tc>
              <w:tc>
                <w:tcPr>
                  <w:tcW w:w="786" w:type="dxa"/>
                  <w:vAlign w:val="center"/>
                </w:tcPr>
                <w:p>
                  <w:pPr>
                    <w:pStyle w:val="63"/>
                    <w:rPr>
                      <w:rFonts w:cs="Times New Roman"/>
                      <w:sz w:val="18"/>
                      <w:szCs w:val="18"/>
                    </w:rPr>
                  </w:pPr>
                  <w:r>
                    <w:rPr>
                      <w:rFonts w:cs="Times New Roman"/>
                      <w:sz w:val="18"/>
                      <w:szCs w:val="18"/>
                    </w:rPr>
                    <w:t>-</w:t>
                  </w:r>
                </w:p>
              </w:tc>
              <w:tc>
                <w:tcPr>
                  <w:tcW w:w="768" w:type="dxa"/>
                  <w:vAlign w:val="center"/>
                </w:tcPr>
                <w:p>
                  <w:pPr>
                    <w:pStyle w:val="63"/>
                    <w:rPr>
                      <w:rFonts w:cs="Times New Roman"/>
                      <w:sz w:val="18"/>
                      <w:szCs w:val="18"/>
                    </w:rPr>
                  </w:pPr>
                  <w:r>
                    <w:rPr>
                      <w:rFonts w:cs="Times New Roman"/>
                      <w:sz w:val="18"/>
                      <w:szCs w:val="18"/>
                    </w:rPr>
                    <w:t>-</w:t>
                  </w:r>
                </w:p>
              </w:tc>
              <w:tc>
                <w:tcPr>
                  <w:tcW w:w="808" w:type="dxa"/>
                  <w:vAlign w:val="center"/>
                </w:tcPr>
                <w:p>
                  <w:pPr>
                    <w:pStyle w:val="63"/>
                    <w:rPr>
                      <w:rFonts w:cs="Times New Roman"/>
                      <w:sz w:val="18"/>
                      <w:szCs w:val="18"/>
                    </w:rPr>
                  </w:pPr>
                  <w:r>
                    <w:rPr>
                      <w:rFonts w:hint="eastAsia" w:cs="Times New Roman"/>
                      <w:sz w:val="18"/>
                      <w:szCs w:val="18"/>
                    </w:rPr>
                    <w:t>8.15</w:t>
                  </w:r>
                </w:p>
              </w:tc>
              <w:tc>
                <w:tcPr>
                  <w:tcW w:w="818" w:type="dxa"/>
                  <w:vAlign w:val="center"/>
                </w:tcPr>
                <w:p>
                  <w:pPr>
                    <w:pStyle w:val="63"/>
                    <w:rPr>
                      <w:rFonts w:cs="Times New Roman"/>
                      <w:sz w:val="18"/>
                      <w:szCs w:val="18"/>
                    </w:rPr>
                  </w:pPr>
                  <w:r>
                    <w:rPr>
                      <w:rFonts w:cs="Times New Roman"/>
                      <w:sz w:val="18"/>
                      <w:szCs w:val="18"/>
                    </w:rPr>
                    <w:t>-</w:t>
                  </w:r>
                </w:p>
              </w:tc>
              <w:tc>
                <w:tcPr>
                  <w:tcW w:w="753" w:type="dxa"/>
                  <w:vAlign w:val="center"/>
                </w:tcPr>
                <w:p>
                  <w:pPr>
                    <w:pStyle w:val="63"/>
                    <w:rPr>
                      <w:rFonts w:cs="Times New Roman"/>
                      <w:sz w:val="18"/>
                      <w:szCs w:val="18"/>
                    </w:rPr>
                  </w:pPr>
                  <w:r>
                    <w:rPr>
                      <w:rFonts w:cs="Times New Roman"/>
                      <w:sz w:val="18"/>
                      <w:szCs w:val="18"/>
                    </w:rPr>
                    <w:t>-</w:t>
                  </w:r>
                </w:p>
              </w:tc>
              <w:tc>
                <w:tcPr>
                  <w:tcW w:w="753" w:type="dxa"/>
                  <w:vAlign w:val="center"/>
                </w:tcPr>
                <w:p>
                  <w:pPr>
                    <w:pStyle w:val="63"/>
                    <w:rPr>
                      <w:rFonts w:cs="Times New Roman"/>
                      <w:sz w:val="18"/>
                      <w:szCs w:val="18"/>
                    </w:rPr>
                  </w:pPr>
                  <w:r>
                    <w:rPr>
                      <w:rFonts w:cs="Times New Roman"/>
                      <w:sz w:val="18"/>
                      <w:szCs w:val="18"/>
                    </w:rPr>
                    <w:t>-</w:t>
                  </w:r>
                </w:p>
              </w:tc>
              <w:tc>
                <w:tcPr>
                  <w:tcW w:w="753" w:type="dxa"/>
                  <w:vAlign w:val="center"/>
                </w:tcPr>
                <w:p>
                  <w:pPr>
                    <w:pStyle w:val="63"/>
                    <w:rPr>
                      <w:rFonts w:cs="Times New Roman"/>
                      <w:sz w:val="18"/>
                      <w:szCs w:val="18"/>
                    </w:rPr>
                  </w:pPr>
                  <w:r>
                    <w:rPr>
                      <w:rFonts w:cs="Times New Roman"/>
                      <w:sz w:val="18"/>
                      <w:szCs w:val="18"/>
                    </w:rPr>
                    <w:t>-</w:t>
                  </w:r>
                </w:p>
              </w:tc>
              <w:tc>
                <w:tcPr>
                  <w:tcW w:w="767" w:type="dxa"/>
                  <w:vAlign w:val="center"/>
                </w:tcPr>
                <w:p>
                  <w:pPr>
                    <w:pStyle w:val="63"/>
                    <w:rPr>
                      <w:rFonts w:cs="Times New Roman"/>
                      <w:sz w:val="18"/>
                      <w:szCs w:val="18"/>
                    </w:rPr>
                  </w:pPr>
                  <w:r>
                    <w:rPr>
                      <w:rFonts w:cs="Times New Roman"/>
                      <w:sz w:val="18"/>
                      <w:szCs w:val="18"/>
                    </w:rPr>
                    <w:t>-</w:t>
                  </w:r>
                </w:p>
              </w:tc>
              <w:tc>
                <w:tcPr>
                  <w:tcW w:w="773" w:type="dxa"/>
                  <w:vAlign w:val="center"/>
                </w:tcPr>
                <w:p>
                  <w:pPr>
                    <w:pStyle w:val="63"/>
                    <w:rPr>
                      <w:rFonts w:cs="Times New Roman"/>
                      <w:sz w:val="18"/>
                      <w:szCs w:val="18"/>
                    </w:rPr>
                  </w:pPr>
                  <w:r>
                    <w:rPr>
                      <w:rFonts w:cs="Times New Roman"/>
                      <w:sz w:val="18"/>
                      <w:szCs w:val="18"/>
                    </w:rPr>
                    <w:t>-</w:t>
                  </w:r>
                </w:p>
              </w:tc>
            </w:tr>
          </w:tbl>
          <w:p>
            <w:pPr>
              <w:pStyle w:val="63"/>
            </w:pPr>
          </w:p>
          <w:p>
            <w:pPr>
              <w:pStyle w:val="5"/>
              <w:ind w:firstLine="480"/>
            </w:pPr>
            <w:r>
              <w:rPr>
                <w:rFonts w:hint="eastAsia"/>
              </w:rPr>
              <w:t>（3）生活垃圾</w:t>
            </w:r>
          </w:p>
          <w:p>
            <w:pPr>
              <w:pStyle w:val="5"/>
              <w:ind w:firstLine="480"/>
            </w:pPr>
            <w:r>
              <w:rPr>
                <w:rFonts w:hint="eastAsia"/>
              </w:rPr>
              <w:t>生活垃圾S8：工作人员1</w:t>
            </w:r>
            <w:r>
              <w:t>2人，生活垃圾产生系数为0.5kg/d，产生量</w:t>
            </w:r>
            <w:r>
              <w:rPr>
                <w:rFonts w:hint="eastAsia"/>
              </w:rPr>
              <w:t>2.2</w:t>
            </w:r>
            <w:r>
              <w:t>t/a，交由环卫转运处置。</w:t>
            </w:r>
          </w:p>
          <w:p>
            <w:pPr>
              <w:pStyle w:val="5"/>
              <w:ind w:firstLine="480"/>
            </w:pPr>
            <w:r>
              <w:rPr>
                <w:rFonts w:hint="eastAsia"/>
              </w:rPr>
              <w:t>项目固体废物产生、处置情况见</w:t>
            </w:r>
            <w:r>
              <w:fldChar w:fldCharType="begin"/>
            </w:r>
            <w:r>
              <w:instrText xml:space="preserve"> </w:instrText>
            </w:r>
            <w:r>
              <w:rPr>
                <w:rFonts w:hint="eastAsia"/>
              </w:rPr>
              <w:instrText xml:space="preserve">REF _Ref169797837 \h</w:instrText>
            </w:r>
            <w:r>
              <w:instrText xml:space="preserve"> </w:instrText>
            </w:r>
            <w:r>
              <w:fldChar w:fldCharType="separate"/>
            </w:r>
            <w:r>
              <w:t>表 4.2</w:t>
            </w:r>
            <w:r>
              <w:noBreakHyphen/>
            </w:r>
            <w:r>
              <w:t>23</w:t>
            </w:r>
            <w:r>
              <w:fldChar w:fldCharType="end"/>
            </w:r>
            <w:r>
              <w:rPr>
                <w:rFonts w:hint="eastAsia"/>
              </w:rPr>
              <w:t>。</w:t>
            </w:r>
          </w:p>
          <w:p>
            <w:pPr>
              <w:pStyle w:val="14"/>
              <w:keepNext/>
            </w:pPr>
            <w:bookmarkStart w:id="77" w:name="_Ref169797837"/>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23</w:t>
            </w:r>
            <w:r>
              <w:fldChar w:fldCharType="end"/>
            </w:r>
            <w:bookmarkEnd w:id="77"/>
            <w:r>
              <w:rPr>
                <w:rFonts w:hint="eastAsia"/>
              </w:rPr>
              <w:t xml:space="preserve">   项目固体废物产生、处置情况</w:t>
            </w:r>
          </w:p>
          <w:tbl>
            <w:tblPr>
              <w:tblStyle w:val="3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1476"/>
              <w:gridCol w:w="1334"/>
              <w:gridCol w:w="3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46" w:type="dxa"/>
                  <w:vAlign w:val="center"/>
                </w:tcPr>
                <w:p>
                  <w:pPr>
                    <w:pStyle w:val="63"/>
                  </w:pPr>
                  <w:r>
                    <w:rPr>
                      <w:rFonts w:hint="eastAsia"/>
                    </w:rPr>
                    <w:t>固体废物类型</w:t>
                  </w:r>
                </w:p>
              </w:tc>
              <w:tc>
                <w:tcPr>
                  <w:tcW w:w="1476" w:type="dxa"/>
                  <w:vAlign w:val="center"/>
                </w:tcPr>
                <w:p>
                  <w:pPr>
                    <w:pStyle w:val="63"/>
                  </w:pPr>
                  <w:r>
                    <w:rPr>
                      <w:rFonts w:hint="eastAsia"/>
                    </w:rPr>
                    <w:t>产生量t/a</w:t>
                  </w:r>
                </w:p>
              </w:tc>
              <w:tc>
                <w:tcPr>
                  <w:tcW w:w="1334" w:type="dxa"/>
                  <w:vAlign w:val="center"/>
                </w:tcPr>
                <w:p>
                  <w:pPr>
                    <w:pStyle w:val="63"/>
                  </w:pPr>
                  <w:r>
                    <w:rPr>
                      <w:rFonts w:hint="eastAsia"/>
                    </w:rPr>
                    <w:t>处置量t/a</w:t>
                  </w:r>
                </w:p>
              </w:tc>
              <w:tc>
                <w:tcPr>
                  <w:tcW w:w="3182"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46" w:type="dxa"/>
                  <w:vAlign w:val="center"/>
                </w:tcPr>
                <w:p>
                  <w:pPr>
                    <w:pStyle w:val="63"/>
                  </w:pPr>
                  <w:r>
                    <w:rPr>
                      <w:rFonts w:hint="eastAsia"/>
                    </w:rPr>
                    <w:t>一般固体废物</w:t>
                  </w:r>
                </w:p>
              </w:tc>
              <w:tc>
                <w:tcPr>
                  <w:tcW w:w="1476" w:type="dxa"/>
                  <w:vAlign w:val="center"/>
                </w:tcPr>
                <w:p>
                  <w:pPr>
                    <w:pStyle w:val="63"/>
                  </w:pPr>
                  <w:r>
                    <w:rPr>
                      <w:rFonts w:hint="eastAsia" w:cs="Times New Roman"/>
                    </w:rPr>
                    <w:t>1263.52</w:t>
                  </w:r>
                </w:p>
              </w:tc>
              <w:tc>
                <w:tcPr>
                  <w:tcW w:w="1334" w:type="dxa"/>
                  <w:vAlign w:val="center"/>
                </w:tcPr>
                <w:p>
                  <w:pPr>
                    <w:pStyle w:val="63"/>
                  </w:pPr>
                  <w:r>
                    <w:rPr>
                      <w:rFonts w:hint="eastAsia" w:cs="Times New Roman"/>
                    </w:rPr>
                    <w:t>1263.52</w:t>
                  </w:r>
                </w:p>
              </w:tc>
              <w:tc>
                <w:tcPr>
                  <w:tcW w:w="3182" w:type="dxa"/>
                  <w:vAlign w:val="center"/>
                </w:tcPr>
                <w:p>
                  <w:pPr>
                    <w:pStyle w:val="63"/>
                  </w:pPr>
                  <w:r>
                    <w:rPr>
                      <w:rFonts w:cs="Times New Roman"/>
                    </w:rPr>
                    <w:t>外委单位处置或利用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46" w:type="dxa"/>
                  <w:vAlign w:val="center"/>
                </w:tcPr>
                <w:p>
                  <w:pPr>
                    <w:pStyle w:val="63"/>
                  </w:pPr>
                  <w:r>
                    <w:rPr>
                      <w:rFonts w:hint="eastAsia"/>
                    </w:rPr>
                    <w:t>危险废物</w:t>
                  </w:r>
                </w:p>
              </w:tc>
              <w:tc>
                <w:tcPr>
                  <w:tcW w:w="1476" w:type="dxa"/>
                  <w:vAlign w:val="center"/>
                </w:tcPr>
                <w:p>
                  <w:pPr>
                    <w:pStyle w:val="63"/>
                  </w:pPr>
                  <w:r>
                    <w:rPr>
                      <w:rFonts w:hint="eastAsia"/>
                    </w:rPr>
                    <w:t>8.15</w:t>
                  </w:r>
                </w:p>
              </w:tc>
              <w:tc>
                <w:tcPr>
                  <w:tcW w:w="1334" w:type="dxa"/>
                  <w:vAlign w:val="center"/>
                </w:tcPr>
                <w:p>
                  <w:pPr>
                    <w:pStyle w:val="63"/>
                  </w:pPr>
                  <w:r>
                    <w:rPr>
                      <w:rFonts w:hint="eastAsia"/>
                    </w:rPr>
                    <w:t>8.15</w:t>
                  </w:r>
                </w:p>
              </w:tc>
              <w:tc>
                <w:tcPr>
                  <w:tcW w:w="3182" w:type="dxa"/>
                  <w:vAlign w:val="center"/>
                </w:tcPr>
                <w:p>
                  <w:pPr>
                    <w:pStyle w:val="63"/>
                  </w:pPr>
                  <w:r>
                    <w:rPr>
                      <w:rFonts w:hint="eastAsia"/>
                    </w:rPr>
                    <w:t>交有危废处置资质单位转运处置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46" w:type="dxa"/>
                  <w:vAlign w:val="center"/>
                </w:tcPr>
                <w:p>
                  <w:pPr>
                    <w:pStyle w:val="63"/>
                  </w:pPr>
                  <w:r>
                    <w:rPr>
                      <w:rFonts w:hint="eastAsia"/>
                    </w:rPr>
                    <w:t>生活垃圾</w:t>
                  </w:r>
                </w:p>
              </w:tc>
              <w:tc>
                <w:tcPr>
                  <w:tcW w:w="1476" w:type="dxa"/>
                  <w:vAlign w:val="center"/>
                </w:tcPr>
                <w:p>
                  <w:pPr>
                    <w:pStyle w:val="63"/>
                  </w:pPr>
                  <w:r>
                    <w:rPr>
                      <w:rFonts w:hint="eastAsia"/>
                    </w:rPr>
                    <w:t>2.2</w:t>
                  </w:r>
                </w:p>
              </w:tc>
              <w:tc>
                <w:tcPr>
                  <w:tcW w:w="1334" w:type="dxa"/>
                  <w:vAlign w:val="center"/>
                </w:tcPr>
                <w:p>
                  <w:pPr>
                    <w:pStyle w:val="63"/>
                  </w:pPr>
                  <w:r>
                    <w:rPr>
                      <w:rFonts w:hint="eastAsia"/>
                    </w:rPr>
                    <w:t>2.2</w:t>
                  </w:r>
                </w:p>
              </w:tc>
              <w:tc>
                <w:tcPr>
                  <w:tcW w:w="3182" w:type="dxa"/>
                  <w:vAlign w:val="center"/>
                </w:tcPr>
                <w:p>
                  <w:pPr>
                    <w:pStyle w:val="63"/>
                  </w:pPr>
                  <w:r>
                    <w:rPr>
                      <w:rFonts w:hint="eastAsia"/>
                    </w:rPr>
                    <w:t>环卫转运处置</w:t>
                  </w:r>
                </w:p>
              </w:tc>
            </w:tr>
          </w:tbl>
          <w:p/>
          <w:p>
            <w:pPr>
              <w:pStyle w:val="6"/>
              <w:spacing w:before="120" w:after="120"/>
            </w:pPr>
            <w:r>
              <w:rPr>
                <w:rFonts w:hint="eastAsia"/>
              </w:rPr>
              <w:t>处置措施和可行性</w:t>
            </w:r>
          </w:p>
          <w:p>
            <w:pPr>
              <w:pStyle w:val="5"/>
              <w:ind w:firstLine="480"/>
            </w:pPr>
            <w:r>
              <w:rPr>
                <w:rFonts w:hint="eastAsia"/>
              </w:rPr>
              <w:t>根据《排污许可证申请与核发技术规范 水处理（试行）》（HJ978-2018），污泥处理处置利用工艺可行性见</w:t>
            </w:r>
            <w:r>
              <w:fldChar w:fldCharType="begin"/>
            </w:r>
            <w:r>
              <w:instrText xml:space="preserve"> </w:instrText>
            </w:r>
            <w:r>
              <w:rPr>
                <w:rFonts w:hint="eastAsia"/>
              </w:rPr>
              <w:instrText xml:space="preserve">REF _Ref170741784 \h</w:instrText>
            </w:r>
            <w:r>
              <w:instrText xml:space="preserve"> </w:instrText>
            </w:r>
            <w:r>
              <w:fldChar w:fldCharType="separate"/>
            </w:r>
            <w:r>
              <w:t>表 4.2</w:t>
            </w:r>
            <w:r>
              <w:noBreakHyphen/>
            </w:r>
            <w:r>
              <w:t>24</w:t>
            </w:r>
            <w:r>
              <w:fldChar w:fldCharType="end"/>
            </w:r>
            <w:r>
              <w:rPr>
                <w:rFonts w:hint="eastAsia"/>
              </w:rPr>
              <w:t>，根据下表项目污泥处理处置利用工艺可行。</w:t>
            </w:r>
          </w:p>
          <w:p>
            <w:pPr>
              <w:pStyle w:val="14"/>
              <w:keepNext/>
            </w:pPr>
            <w:bookmarkStart w:id="78" w:name="_Ref170741784"/>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24</w:t>
            </w:r>
            <w:r>
              <w:fldChar w:fldCharType="end"/>
            </w:r>
            <w:bookmarkEnd w:id="78"/>
            <w:r>
              <w:rPr>
                <w:rFonts w:hint="eastAsia"/>
              </w:rPr>
              <w:t xml:space="preserve">   污泥处理处置利用工艺可行性</w:t>
            </w:r>
          </w:p>
          <w:tbl>
            <w:tblPr>
              <w:tblStyle w:val="3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726"/>
              <w:gridCol w:w="2658"/>
              <w:gridCol w:w="265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66" w:type="dxa"/>
                  <w:gridSpan w:val="2"/>
                  <w:vAlign w:val="center"/>
                </w:tcPr>
                <w:p>
                  <w:pPr>
                    <w:pStyle w:val="63"/>
                  </w:pPr>
                  <w:r>
                    <w:rPr>
                      <w:rFonts w:hint="eastAsia"/>
                    </w:rPr>
                    <w:t>分类</w:t>
                  </w:r>
                </w:p>
              </w:tc>
              <w:tc>
                <w:tcPr>
                  <w:tcW w:w="2658" w:type="dxa"/>
                  <w:vAlign w:val="center"/>
                </w:tcPr>
                <w:p>
                  <w:pPr>
                    <w:pStyle w:val="63"/>
                  </w:pPr>
                  <w:r>
                    <w:rPr>
                      <w:rFonts w:hint="eastAsia"/>
                    </w:rPr>
                    <w:t>HJ978-2018可行技术</w:t>
                  </w:r>
                </w:p>
              </w:tc>
              <w:tc>
                <w:tcPr>
                  <w:tcW w:w="2656" w:type="dxa"/>
                  <w:vAlign w:val="center"/>
                </w:tcPr>
                <w:p>
                  <w:pPr>
                    <w:pStyle w:val="63"/>
                  </w:pPr>
                  <w:r>
                    <w:rPr>
                      <w:rFonts w:hint="eastAsia"/>
                    </w:rPr>
                    <w:t>本项目</w:t>
                  </w:r>
                </w:p>
              </w:tc>
              <w:tc>
                <w:tcPr>
                  <w:tcW w:w="1158" w:type="dxa"/>
                  <w:vAlign w:val="center"/>
                </w:tcPr>
                <w:p>
                  <w:pPr>
                    <w:pStyle w:val="63"/>
                  </w:pPr>
                  <w:r>
                    <w:rPr>
                      <w:rFonts w:hint="eastAsia"/>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66" w:type="dxa"/>
                  <w:gridSpan w:val="2"/>
                  <w:vAlign w:val="center"/>
                </w:tcPr>
                <w:p>
                  <w:pPr>
                    <w:pStyle w:val="63"/>
                  </w:pPr>
                  <w:r>
                    <w:rPr>
                      <w:rFonts w:hint="eastAsia"/>
                    </w:rPr>
                    <w:t>暂存</w:t>
                  </w:r>
                </w:p>
              </w:tc>
              <w:tc>
                <w:tcPr>
                  <w:tcW w:w="2658" w:type="dxa"/>
                  <w:vAlign w:val="center"/>
                </w:tcPr>
                <w:p>
                  <w:pPr>
                    <w:pStyle w:val="63"/>
                  </w:pPr>
                  <w:r>
                    <w:rPr>
                      <w:rFonts w:hint="eastAsia"/>
                    </w:rPr>
                    <w:t>封闭</w:t>
                  </w:r>
                </w:p>
              </w:tc>
              <w:tc>
                <w:tcPr>
                  <w:tcW w:w="2656" w:type="dxa"/>
                  <w:vAlign w:val="center"/>
                </w:tcPr>
                <w:p>
                  <w:pPr>
                    <w:pStyle w:val="63"/>
                  </w:pPr>
                  <w:r>
                    <w:rPr>
                      <w:rFonts w:hint="eastAsia"/>
                    </w:rPr>
                    <w:t>脱水污泥设置在脱水间内，脱水间封闭框架建筑</w:t>
                  </w:r>
                </w:p>
              </w:tc>
              <w:tc>
                <w:tcPr>
                  <w:tcW w:w="1158" w:type="dxa"/>
                  <w:vAlign w:val="center"/>
                </w:tcPr>
                <w:p>
                  <w:pPr>
                    <w:pStyle w:val="63"/>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66" w:type="dxa"/>
                  <w:gridSpan w:val="2"/>
                  <w:vAlign w:val="center"/>
                </w:tcPr>
                <w:p>
                  <w:pPr>
                    <w:pStyle w:val="63"/>
                  </w:pPr>
                  <w:r>
                    <w:rPr>
                      <w:rFonts w:hint="eastAsia"/>
                    </w:rPr>
                    <w:t>处理</w:t>
                  </w:r>
                </w:p>
              </w:tc>
              <w:tc>
                <w:tcPr>
                  <w:tcW w:w="2658" w:type="dxa"/>
                  <w:vAlign w:val="center"/>
                </w:tcPr>
                <w:p>
                  <w:pPr>
                    <w:pStyle w:val="63"/>
                  </w:pPr>
                  <w:r>
                    <w:rPr>
                      <w:rFonts w:hint="eastAsia"/>
                    </w:rPr>
                    <w:t>污泥脱水：机械脱水</w:t>
                  </w:r>
                </w:p>
              </w:tc>
              <w:tc>
                <w:tcPr>
                  <w:tcW w:w="2656" w:type="dxa"/>
                  <w:vAlign w:val="center"/>
                </w:tcPr>
                <w:p>
                  <w:pPr>
                    <w:pStyle w:val="63"/>
                  </w:pPr>
                  <w:r>
                    <w:rPr>
                      <w:rFonts w:hint="eastAsia"/>
                    </w:rPr>
                    <w:t>污泥采用机械脱水</w:t>
                  </w:r>
                </w:p>
              </w:tc>
              <w:tc>
                <w:tcPr>
                  <w:tcW w:w="1158" w:type="dxa"/>
                  <w:vAlign w:val="center"/>
                </w:tcPr>
                <w:p>
                  <w:pPr>
                    <w:pStyle w:val="63"/>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0" w:type="dxa"/>
                  <w:vAlign w:val="center"/>
                </w:tcPr>
                <w:p>
                  <w:pPr>
                    <w:pStyle w:val="63"/>
                  </w:pPr>
                  <w:r>
                    <w:rPr>
                      <w:rFonts w:hint="eastAsia"/>
                    </w:rPr>
                    <w:t>处置利用</w:t>
                  </w:r>
                </w:p>
              </w:tc>
              <w:tc>
                <w:tcPr>
                  <w:tcW w:w="726" w:type="dxa"/>
                  <w:vAlign w:val="center"/>
                </w:tcPr>
                <w:p>
                  <w:pPr>
                    <w:pStyle w:val="63"/>
                  </w:pPr>
                  <w:r>
                    <w:rPr>
                      <w:rFonts w:hint="eastAsia"/>
                    </w:rPr>
                    <w:t>危险</w:t>
                  </w:r>
                </w:p>
                <w:p>
                  <w:pPr>
                    <w:pStyle w:val="63"/>
                  </w:pPr>
                  <w:r>
                    <w:rPr>
                      <w:rFonts w:hint="eastAsia"/>
                    </w:rPr>
                    <w:t>废物</w:t>
                  </w:r>
                </w:p>
              </w:tc>
              <w:tc>
                <w:tcPr>
                  <w:tcW w:w="2658" w:type="dxa"/>
                  <w:vAlign w:val="center"/>
                </w:tcPr>
                <w:p>
                  <w:pPr>
                    <w:pStyle w:val="63"/>
                  </w:pPr>
                  <w:r>
                    <w:rPr>
                      <w:rFonts w:hint="eastAsia"/>
                    </w:rPr>
                    <w:t>委托具有危险废物处理资质的单位进行处置</w:t>
                  </w:r>
                </w:p>
              </w:tc>
              <w:tc>
                <w:tcPr>
                  <w:tcW w:w="2656" w:type="dxa"/>
                  <w:vAlign w:val="center"/>
                </w:tcPr>
                <w:p>
                  <w:pPr>
                    <w:pStyle w:val="63"/>
                  </w:pPr>
                  <w:r>
                    <w:rPr>
                      <w:rFonts w:hint="eastAsia"/>
                    </w:rPr>
                    <w:t>委托具有危险废物处理资质的单位进行处置</w:t>
                  </w:r>
                </w:p>
              </w:tc>
              <w:tc>
                <w:tcPr>
                  <w:tcW w:w="1158" w:type="dxa"/>
                  <w:vAlign w:val="center"/>
                </w:tcPr>
                <w:p>
                  <w:pPr>
                    <w:pStyle w:val="63"/>
                  </w:pPr>
                  <w:r>
                    <w:rPr>
                      <w:rFonts w:hint="eastAsia"/>
                    </w:rPr>
                    <w:t>是</w:t>
                  </w:r>
                </w:p>
              </w:tc>
            </w:tr>
          </w:tbl>
          <w:p/>
          <w:p>
            <w:pPr>
              <w:pStyle w:val="5"/>
              <w:ind w:firstLine="480"/>
            </w:pPr>
            <w:r>
              <w:rPr>
                <w:rFonts w:hint="eastAsia"/>
              </w:rPr>
              <w:t>运行管理要求：</w:t>
            </w:r>
          </w:p>
          <w:p>
            <w:pPr>
              <w:pStyle w:val="5"/>
              <w:ind w:firstLine="480"/>
            </w:pPr>
            <w:r>
              <w:rPr>
                <w:rFonts w:hint="eastAsia"/>
              </w:rPr>
              <w:t>（1）</w:t>
            </w:r>
            <w:r>
              <w:rPr>
                <w:rFonts w:hint="eastAsia"/>
              </w:rPr>
              <w:tab/>
            </w:r>
            <w:r>
              <w:rPr>
                <w:rFonts w:hint="eastAsia"/>
              </w:rPr>
              <w:t>应收集污水处理过程中产生的全部污泥，并实行有效的稳定、减容、减量处理。</w:t>
            </w:r>
          </w:p>
          <w:p>
            <w:pPr>
              <w:pStyle w:val="5"/>
              <w:ind w:firstLine="480"/>
            </w:pPr>
            <w:r>
              <w:rPr>
                <w:rFonts w:hint="eastAsia"/>
              </w:rPr>
              <w:t>（2）</w:t>
            </w:r>
            <w:r>
              <w:rPr>
                <w:rFonts w:hint="eastAsia"/>
              </w:rPr>
              <w:tab/>
            </w:r>
            <w:r>
              <w:rPr>
                <w:rFonts w:hint="eastAsia"/>
              </w:rPr>
              <w:t>加强污泥处理各个环节(收集、储存、调节、脱水及外运等)的运行管理，处理过程中应防止污染。</w:t>
            </w:r>
          </w:p>
          <w:p>
            <w:pPr>
              <w:pStyle w:val="5"/>
              <w:ind w:firstLine="480"/>
            </w:pPr>
            <w:r>
              <w:rPr>
                <w:rFonts w:hint="eastAsia"/>
              </w:rPr>
              <w:t>（3）</w:t>
            </w:r>
            <w:r>
              <w:rPr>
                <w:rFonts w:hint="eastAsia"/>
              </w:rPr>
              <w:tab/>
            </w:r>
            <w:r>
              <w:rPr>
                <w:rFonts w:hint="eastAsia"/>
              </w:rPr>
              <w:t>应保持污泥处理设施稳定运行，产生的污泥应及时处理和清运，按照《奉节县城乡生活污水处理设施建设运行管理办法的通知》（奉节府办发〔2022〕88号），运营主体单位要严格对污泥去向、用途、用量等进行跟踪、记录，并向县住房城乡建委报告，不得擅自倾倒、堆放、丢弃、遗撒污泥。</w:t>
            </w:r>
          </w:p>
          <w:p>
            <w:pPr>
              <w:pStyle w:val="5"/>
              <w:ind w:firstLine="480"/>
            </w:pPr>
            <w:r>
              <w:rPr>
                <w:rFonts w:hint="eastAsia"/>
              </w:rPr>
              <w:t>（4）</w:t>
            </w:r>
            <w:r>
              <w:rPr>
                <w:rFonts w:hint="eastAsia"/>
              </w:rPr>
              <w:tab/>
            </w:r>
            <w:r>
              <w:rPr>
                <w:rFonts w:hint="eastAsia"/>
              </w:rPr>
              <w:t>污泥暂存间地面应采取防雨、防渗漏措施，排水设施应该采取防渗措施。</w:t>
            </w:r>
          </w:p>
          <w:p>
            <w:pPr>
              <w:pStyle w:val="5"/>
              <w:ind w:firstLine="480"/>
            </w:pPr>
            <w:r>
              <w:rPr>
                <w:rFonts w:hint="eastAsia"/>
              </w:rPr>
              <w:t>（5）危险废物暂存间按要求做好六防措施，专人管理，建立台账，定期交由有危废处置资质单位转运处置。</w:t>
            </w:r>
          </w:p>
          <w:p>
            <w:pPr>
              <w:pStyle w:val="5"/>
              <w:ind w:firstLine="480"/>
            </w:pPr>
            <w:r>
              <w:rPr>
                <w:rFonts w:hint="eastAsia"/>
              </w:rPr>
              <w:t>脱水污泥应采用密闭车辆运输。</w:t>
            </w:r>
          </w:p>
          <w:p>
            <w:pPr>
              <w:pStyle w:val="6"/>
              <w:spacing w:before="120" w:after="120"/>
            </w:pPr>
            <w:r>
              <w:rPr>
                <w:rFonts w:hint="eastAsia"/>
              </w:rPr>
              <w:t>影响分析结论</w:t>
            </w:r>
          </w:p>
          <w:p>
            <w:pPr>
              <w:pStyle w:val="5"/>
              <w:ind w:firstLine="480"/>
            </w:pPr>
            <w:r>
              <w:rPr>
                <w:rFonts w:hint="eastAsia"/>
              </w:rPr>
              <w:t>本项目运营期产生的固体废物主要为污水处理过程中产生的栅渣、剩余污泥</w:t>
            </w:r>
            <w:r>
              <w:t>实验室废液及废实验用品、废包装材料</w:t>
            </w:r>
            <w:r>
              <w:rPr>
                <w:rFonts w:hint="eastAsia"/>
              </w:rPr>
              <w:t>等</w:t>
            </w:r>
            <w:r>
              <w:t>。</w:t>
            </w:r>
            <w:r>
              <w:rPr>
                <w:rFonts w:hint="eastAsia"/>
              </w:rPr>
              <w:t>一般工业固体废物外委单位处置或利用，脱水污泥于污泥脱水间专用区域暂存。危险废物危废暂存间暂存，其中在线监测设备产生的废液和废试剂瓶于在线监控间专用区域桶内暂存，定期交有危废处置资质单位转运处置。生活垃圾于厂内生活垃圾收集箱暂存，环卫转运处置。</w:t>
            </w:r>
            <w:r>
              <w:t>严格执行上述措施，项目产生的危险废物不会排入外环境造成二次污染。</w:t>
            </w:r>
          </w:p>
          <w:p>
            <w:pPr>
              <w:pStyle w:val="4"/>
              <w:spacing w:before="120" w:after="120"/>
            </w:pPr>
            <w:r>
              <w:rPr>
                <w:rFonts w:hint="eastAsia"/>
              </w:rPr>
              <w:t>地下水、土壤</w:t>
            </w:r>
          </w:p>
          <w:p>
            <w:pPr>
              <w:pStyle w:val="6"/>
              <w:spacing w:before="120" w:after="120"/>
            </w:pPr>
            <w:r>
              <w:rPr>
                <w:rFonts w:hint="eastAsia"/>
              </w:rPr>
              <w:t>地下水、土壤污染源</w:t>
            </w:r>
          </w:p>
          <w:p>
            <w:pPr>
              <w:pStyle w:val="5"/>
              <w:ind w:firstLine="480"/>
            </w:pPr>
            <w:r>
              <w:rPr>
                <w:rFonts w:hint="eastAsia"/>
              </w:rPr>
              <w:t>地下水、土壤污染源主要为</w:t>
            </w:r>
            <w:r>
              <w:t>非正常状况下</w:t>
            </w:r>
            <w:r>
              <w:rPr>
                <w:rFonts w:hint="eastAsia"/>
              </w:rPr>
              <w:t>池体渗漏、管道破损导致污水流出，污染地下水和土壤。</w:t>
            </w:r>
          </w:p>
          <w:p>
            <w:pPr>
              <w:pStyle w:val="6"/>
              <w:spacing w:before="120" w:after="120"/>
            </w:pPr>
            <w:r>
              <w:rPr>
                <w:rFonts w:hint="eastAsia"/>
              </w:rPr>
              <w:t>污染物类型和污染途径</w:t>
            </w:r>
          </w:p>
          <w:p>
            <w:pPr>
              <w:pStyle w:val="5"/>
              <w:ind w:firstLine="480"/>
            </w:pPr>
            <w:r>
              <w:rPr>
                <w:rFonts w:hint="eastAsia"/>
              </w:rPr>
              <w:t>污染物类型和污染途径见</w:t>
            </w:r>
            <w:r>
              <w:fldChar w:fldCharType="begin"/>
            </w:r>
            <w:r>
              <w:instrText xml:space="preserve"> </w:instrText>
            </w:r>
            <w:r>
              <w:rPr>
                <w:rFonts w:hint="eastAsia"/>
              </w:rPr>
              <w:instrText xml:space="preserve">REF _Ref170229775 \h</w:instrText>
            </w:r>
            <w:r>
              <w:instrText xml:space="preserve"> </w:instrText>
            </w:r>
            <w:r>
              <w:fldChar w:fldCharType="separate"/>
            </w:r>
            <w:r>
              <w:t>表 4.2</w:t>
            </w:r>
            <w:r>
              <w:noBreakHyphen/>
            </w:r>
            <w:r>
              <w:t>25</w:t>
            </w:r>
            <w:r>
              <w:fldChar w:fldCharType="end"/>
            </w:r>
            <w:r>
              <w:rPr>
                <w:rFonts w:hint="eastAsia"/>
              </w:rPr>
              <w:t>。</w:t>
            </w:r>
          </w:p>
          <w:p>
            <w:pPr>
              <w:pStyle w:val="14"/>
              <w:keepNext/>
            </w:pPr>
            <w:bookmarkStart w:id="79" w:name="_Ref170229775"/>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25</w:t>
            </w:r>
            <w:r>
              <w:fldChar w:fldCharType="end"/>
            </w:r>
            <w:bookmarkEnd w:id="79"/>
            <w:r>
              <w:rPr>
                <w:rFonts w:hint="eastAsia"/>
              </w:rPr>
              <w:t xml:space="preserve">   污染物类型和污染途径</w:t>
            </w:r>
          </w:p>
          <w:tbl>
            <w:tblPr>
              <w:tblStyle w:val="39"/>
              <w:tblW w:w="7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572"/>
              <w:gridCol w:w="1281"/>
              <w:gridCol w:w="1533"/>
              <w:gridCol w:w="1560"/>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1" w:type="dxa"/>
                  <w:vAlign w:val="center"/>
                </w:tcPr>
                <w:p>
                  <w:pPr>
                    <w:pStyle w:val="63"/>
                  </w:pPr>
                  <w:r>
                    <w:rPr>
                      <w:rFonts w:hint="eastAsia"/>
                    </w:rPr>
                    <w:t>污染源</w:t>
                  </w:r>
                </w:p>
              </w:tc>
              <w:tc>
                <w:tcPr>
                  <w:tcW w:w="1572" w:type="dxa"/>
                  <w:vAlign w:val="center"/>
                </w:tcPr>
                <w:p>
                  <w:pPr>
                    <w:pStyle w:val="63"/>
                  </w:pPr>
                  <w:r>
                    <w:rPr>
                      <w:rFonts w:hint="eastAsia"/>
                    </w:rPr>
                    <w:t>工艺流程/节点</w:t>
                  </w:r>
                </w:p>
              </w:tc>
              <w:tc>
                <w:tcPr>
                  <w:tcW w:w="1281" w:type="dxa"/>
                  <w:vAlign w:val="center"/>
                </w:tcPr>
                <w:p>
                  <w:pPr>
                    <w:pStyle w:val="63"/>
                  </w:pPr>
                  <w:r>
                    <w:rPr>
                      <w:rFonts w:hint="eastAsia"/>
                    </w:rPr>
                    <w:t>污染途径</w:t>
                  </w:r>
                </w:p>
              </w:tc>
              <w:tc>
                <w:tcPr>
                  <w:tcW w:w="1533" w:type="dxa"/>
                  <w:vAlign w:val="center"/>
                </w:tcPr>
                <w:p>
                  <w:pPr>
                    <w:pStyle w:val="63"/>
                  </w:pPr>
                  <w:r>
                    <w:rPr>
                      <w:rFonts w:hint="eastAsia"/>
                    </w:rPr>
                    <w:t>污染物指标</w:t>
                  </w:r>
                </w:p>
              </w:tc>
              <w:tc>
                <w:tcPr>
                  <w:tcW w:w="1560" w:type="dxa"/>
                  <w:vAlign w:val="center"/>
                </w:tcPr>
                <w:p>
                  <w:pPr>
                    <w:pStyle w:val="63"/>
                  </w:pPr>
                  <w:r>
                    <w:rPr>
                      <w:rFonts w:hint="eastAsia"/>
                    </w:rPr>
                    <w:t>特征因子</w:t>
                  </w:r>
                </w:p>
              </w:tc>
              <w:tc>
                <w:tcPr>
                  <w:tcW w:w="927"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1" w:type="dxa"/>
                  <w:vMerge w:val="restart"/>
                  <w:vAlign w:val="center"/>
                </w:tcPr>
                <w:p>
                  <w:pPr>
                    <w:pStyle w:val="63"/>
                  </w:pPr>
                  <w:r>
                    <w:rPr>
                      <w:rFonts w:hint="eastAsia"/>
                    </w:rPr>
                    <w:t>场地</w:t>
                  </w:r>
                </w:p>
              </w:tc>
              <w:tc>
                <w:tcPr>
                  <w:tcW w:w="1572" w:type="dxa"/>
                  <w:vMerge w:val="restart"/>
                  <w:vAlign w:val="center"/>
                </w:tcPr>
                <w:p>
                  <w:pPr>
                    <w:pStyle w:val="63"/>
                  </w:pPr>
                  <w:r>
                    <w:rPr>
                      <w:rFonts w:hint="eastAsia"/>
                    </w:rPr>
                    <w:t>污水管道</w:t>
                  </w:r>
                </w:p>
                <w:p>
                  <w:pPr>
                    <w:pStyle w:val="63"/>
                  </w:pPr>
                  <w:r>
                    <w:rPr>
                      <w:rFonts w:hint="eastAsia"/>
                    </w:rPr>
                    <w:t>污水处理构筑物</w:t>
                  </w:r>
                </w:p>
              </w:tc>
              <w:tc>
                <w:tcPr>
                  <w:tcW w:w="1281" w:type="dxa"/>
                  <w:vAlign w:val="center"/>
                </w:tcPr>
                <w:p>
                  <w:pPr>
                    <w:pStyle w:val="63"/>
                  </w:pPr>
                  <w:r>
                    <w:rPr>
                      <w:rFonts w:hint="eastAsia"/>
                    </w:rPr>
                    <w:t>大气沉降</w:t>
                  </w:r>
                </w:p>
              </w:tc>
              <w:tc>
                <w:tcPr>
                  <w:tcW w:w="1533" w:type="dxa"/>
                  <w:vAlign w:val="center"/>
                </w:tcPr>
                <w:p>
                  <w:pPr>
                    <w:pStyle w:val="63"/>
                  </w:pPr>
                  <w:r>
                    <w:rPr>
                      <w:rFonts w:hint="eastAsia"/>
                    </w:rPr>
                    <w:t>-</w:t>
                  </w:r>
                </w:p>
              </w:tc>
              <w:tc>
                <w:tcPr>
                  <w:tcW w:w="1560" w:type="dxa"/>
                  <w:vAlign w:val="center"/>
                </w:tcPr>
                <w:p>
                  <w:pPr>
                    <w:pStyle w:val="63"/>
                  </w:pPr>
                  <w:r>
                    <w:rPr>
                      <w:rFonts w:hint="eastAsia"/>
                    </w:rPr>
                    <w:t>-</w:t>
                  </w:r>
                </w:p>
              </w:tc>
              <w:tc>
                <w:tcPr>
                  <w:tcW w:w="927"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1" w:type="dxa"/>
                  <w:vMerge w:val="continue"/>
                  <w:vAlign w:val="center"/>
                </w:tcPr>
                <w:p>
                  <w:pPr>
                    <w:pStyle w:val="63"/>
                  </w:pPr>
                </w:p>
              </w:tc>
              <w:tc>
                <w:tcPr>
                  <w:tcW w:w="1572" w:type="dxa"/>
                  <w:vMerge w:val="continue"/>
                  <w:vAlign w:val="center"/>
                </w:tcPr>
                <w:p>
                  <w:pPr>
                    <w:pStyle w:val="63"/>
                  </w:pPr>
                </w:p>
              </w:tc>
              <w:tc>
                <w:tcPr>
                  <w:tcW w:w="1281" w:type="dxa"/>
                  <w:vAlign w:val="center"/>
                </w:tcPr>
                <w:p>
                  <w:pPr>
                    <w:pStyle w:val="63"/>
                  </w:pPr>
                  <w:r>
                    <w:rPr>
                      <w:rFonts w:hint="eastAsia"/>
                    </w:rPr>
                    <w:t>地表漫流</w:t>
                  </w:r>
                </w:p>
              </w:tc>
              <w:tc>
                <w:tcPr>
                  <w:tcW w:w="1533" w:type="dxa"/>
                </w:tcPr>
                <w:p>
                  <w:pPr>
                    <w:pStyle w:val="63"/>
                  </w:pPr>
                  <w:r>
                    <w:rPr>
                      <w:rFonts w:hint="eastAsia"/>
                    </w:rPr>
                    <w:t>COD、氨氮等</w:t>
                  </w:r>
                </w:p>
              </w:tc>
              <w:tc>
                <w:tcPr>
                  <w:tcW w:w="1560" w:type="dxa"/>
                </w:tcPr>
                <w:p>
                  <w:pPr>
                    <w:pStyle w:val="63"/>
                  </w:pPr>
                  <w:r>
                    <w:rPr>
                      <w:rFonts w:hint="eastAsia"/>
                    </w:rPr>
                    <w:t>COD、氨氮等</w:t>
                  </w:r>
                </w:p>
              </w:tc>
              <w:tc>
                <w:tcPr>
                  <w:tcW w:w="927" w:type="dxa"/>
                  <w:vAlign w:val="center"/>
                </w:tcPr>
                <w:p>
                  <w:pPr>
                    <w:pStyle w:val="63"/>
                  </w:pPr>
                  <w:r>
                    <w:rPr>
                      <w:rFonts w:hint="eastAsia"/>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1" w:type="dxa"/>
                  <w:vMerge w:val="continue"/>
                  <w:vAlign w:val="center"/>
                </w:tcPr>
                <w:p>
                  <w:pPr>
                    <w:pStyle w:val="63"/>
                  </w:pPr>
                </w:p>
              </w:tc>
              <w:tc>
                <w:tcPr>
                  <w:tcW w:w="1572" w:type="dxa"/>
                  <w:vMerge w:val="continue"/>
                  <w:vAlign w:val="center"/>
                </w:tcPr>
                <w:p>
                  <w:pPr>
                    <w:pStyle w:val="63"/>
                  </w:pPr>
                </w:p>
              </w:tc>
              <w:tc>
                <w:tcPr>
                  <w:tcW w:w="1281" w:type="dxa"/>
                  <w:vAlign w:val="center"/>
                </w:tcPr>
                <w:p>
                  <w:pPr>
                    <w:pStyle w:val="63"/>
                  </w:pPr>
                  <w:r>
                    <w:rPr>
                      <w:rFonts w:hint="eastAsia"/>
                    </w:rPr>
                    <w:t>垂直入渗</w:t>
                  </w:r>
                </w:p>
              </w:tc>
              <w:tc>
                <w:tcPr>
                  <w:tcW w:w="1533" w:type="dxa"/>
                </w:tcPr>
                <w:p>
                  <w:pPr>
                    <w:pStyle w:val="63"/>
                  </w:pPr>
                  <w:r>
                    <w:rPr>
                      <w:rFonts w:hint="eastAsia"/>
                    </w:rPr>
                    <w:t>COD、氨氮等</w:t>
                  </w:r>
                </w:p>
              </w:tc>
              <w:tc>
                <w:tcPr>
                  <w:tcW w:w="1560" w:type="dxa"/>
                </w:tcPr>
                <w:p>
                  <w:pPr>
                    <w:pStyle w:val="63"/>
                  </w:pPr>
                  <w:r>
                    <w:rPr>
                      <w:rFonts w:hint="eastAsia"/>
                    </w:rPr>
                    <w:t>COD、氨氮等</w:t>
                  </w:r>
                </w:p>
              </w:tc>
              <w:tc>
                <w:tcPr>
                  <w:tcW w:w="927" w:type="dxa"/>
                  <w:vAlign w:val="center"/>
                </w:tcPr>
                <w:p>
                  <w:pPr>
                    <w:pStyle w:val="63"/>
                  </w:pPr>
                  <w:r>
                    <w:rPr>
                      <w:rFonts w:hint="eastAsia"/>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1" w:type="dxa"/>
                  <w:vMerge w:val="continue"/>
                  <w:vAlign w:val="center"/>
                </w:tcPr>
                <w:p>
                  <w:pPr>
                    <w:pStyle w:val="63"/>
                  </w:pPr>
                </w:p>
              </w:tc>
              <w:tc>
                <w:tcPr>
                  <w:tcW w:w="1572" w:type="dxa"/>
                  <w:vMerge w:val="continue"/>
                  <w:vAlign w:val="center"/>
                </w:tcPr>
                <w:p>
                  <w:pPr>
                    <w:pStyle w:val="63"/>
                  </w:pPr>
                </w:p>
              </w:tc>
              <w:tc>
                <w:tcPr>
                  <w:tcW w:w="1281" w:type="dxa"/>
                  <w:vAlign w:val="center"/>
                </w:tcPr>
                <w:p>
                  <w:pPr>
                    <w:pStyle w:val="63"/>
                  </w:pPr>
                  <w:r>
                    <w:rPr>
                      <w:rFonts w:hint="eastAsia"/>
                    </w:rPr>
                    <w:t>其他</w:t>
                  </w:r>
                </w:p>
              </w:tc>
              <w:tc>
                <w:tcPr>
                  <w:tcW w:w="1533" w:type="dxa"/>
                  <w:vAlign w:val="center"/>
                </w:tcPr>
                <w:p>
                  <w:pPr>
                    <w:pStyle w:val="63"/>
                  </w:pPr>
                  <w:r>
                    <w:rPr>
                      <w:rFonts w:hint="eastAsia"/>
                    </w:rPr>
                    <w:t>-</w:t>
                  </w:r>
                </w:p>
              </w:tc>
              <w:tc>
                <w:tcPr>
                  <w:tcW w:w="1560" w:type="dxa"/>
                  <w:vAlign w:val="center"/>
                </w:tcPr>
                <w:p>
                  <w:pPr>
                    <w:pStyle w:val="63"/>
                  </w:pPr>
                  <w:r>
                    <w:rPr>
                      <w:rFonts w:hint="eastAsia"/>
                    </w:rPr>
                    <w:t>--</w:t>
                  </w:r>
                </w:p>
              </w:tc>
              <w:tc>
                <w:tcPr>
                  <w:tcW w:w="927" w:type="dxa"/>
                  <w:vAlign w:val="center"/>
                </w:tcPr>
                <w:p>
                  <w:pPr>
                    <w:pStyle w:val="63"/>
                  </w:pPr>
                  <w:r>
                    <w:rPr>
                      <w:rFonts w:hint="eastAsia"/>
                    </w:rPr>
                    <w:t>-</w:t>
                  </w:r>
                </w:p>
              </w:tc>
            </w:tr>
          </w:tbl>
          <w:p>
            <w:pPr>
              <w:pStyle w:val="5"/>
              <w:ind w:firstLine="480"/>
            </w:pPr>
          </w:p>
          <w:p>
            <w:pPr>
              <w:pStyle w:val="6"/>
              <w:spacing w:before="120" w:after="120"/>
            </w:pPr>
            <w:r>
              <w:rPr>
                <w:rFonts w:hint="eastAsia"/>
              </w:rPr>
              <w:t>防控措施</w:t>
            </w:r>
          </w:p>
          <w:p>
            <w:pPr>
              <w:pStyle w:val="5"/>
              <w:ind w:firstLine="480"/>
            </w:pPr>
            <w:r>
              <w:rPr>
                <w:rFonts w:hint="eastAsia"/>
              </w:rPr>
              <w:t>地下水和土壤污染防治措施坚持“源头控制、分区防控、污染监控、应急响应”相结合的原则，即采取主动控制和被动控制相结合的措施。</w:t>
            </w:r>
          </w:p>
          <w:p>
            <w:pPr>
              <w:pStyle w:val="5"/>
              <w:ind w:firstLine="480"/>
            </w:pPr>
            <w:r>
              <w:rPr>
                <w:rFonts w:hint="eastAsia"/>
              </w:rPr>
              <w:t>（1）</w:t>
            </w:r>
            <w:r>
              <w:t>源头控制措施</w:t>
            </w:r>
          </w:p>
          <w:p>
            <w:pPr>
              <w:pStyle w:val="5"/>
              <w:ind w:firstLine="480"/>
            </w:pPr>
            <w:r>
              <w:rPr>
                <w:rFonts w:hint="eastAsia"/>
              </w:rPr>
              <w:t>严格按照国家相关规范要求，对本项目污水管道进行防腐处理、污水处理构筑物防渗等措施，以防止和降低污染物的跑、冒、滴、漏，降低风险事故；本项目污水管网设计时，其污水管线铺设采用“可视化”原则，即管道尽可能地上铺设，做到污染物“早发现、早处理”，以减少由于埋地管道泄漏而可能造成的地下水污染。污泥处理间地面、加药间地面、污水处理池体按照本环评要求做好防渗措施。</w:t>
            </w:r>
          </w:p>
          <w:p>
            <w:pPr>
              <w:pStyle w:val="5"/>
              <w:ind w:firstLine="480"/>
            </w:pPr>
            <w:r>
              <w:rPr>
                <w:rFonts w:hint="eastAsia"/>
              </w:rPr>
              <w:t>（2）污染防治区划分</w:t>
            </w:r>
          </w:p>
          <w:p>
            <w:pPr>
              <w:pStyle w:val="5"/>
              <w:ind w:firstLine="480"/>
            </w:pPr>
            <w:r>
              <w:rPr>
                <w:rFonts w:hint="eastAsia"/>
              </w:rPr>
              <w:t>对照《石油化工工程防渗技术规范》（</w:t>
            </w:r>
            <w:r>
              <w:t>GB/T50934-2013）中污染分区标准，将项目建设场地划分为重点污染防治区、一般污染防治区和非污染防治区。</w:t>
            </w:r>
          </w:p>
          <w:p>
            <w:pPr>
              <w:pStyle w:val="5"/>
              <w:ind w:firstLine="480"/>
            </w:pPr>
            <w:r>
              <w:rPr>
                <w:rFonts w:hint="eastAsia"/>
              </w:rPr>
              <w:t>重点污染防治区：对地下水环境有污染的物料或污染物泄漏后，不能及时发现和处理的区域或部位。主要指地下管道、地下容器、储罐及设备，（半）地下污水池等区域或部位。厂区重点污染防治区包括地下管道、污水处理设施、危废暂存间、事故池、加药间、臭气处理设施等区域。</w:t>
            </w:r>
          </w:p>
          <w:p>
            <w:pPr>
              <w:pStyle w:val="5"/>
              <w:ind w:firstLine="480"/>
            </w:pPr>
            <w:r>
              <w:rPr>
                <w:rFonts w:hint="eastAsia"/>
              </w:rPr>
              <w:t>一般污染防治区：对地下水环境有污染的物料或污染物泄漏后，可及时发现和处理的区域或部位。一般防渗区包括雨水沟、芬顿设施地面、系统地面管道、维修车间、鼓风机机房、在线监测、厂区地面区域。</w:t>
            </w:r>
          </w:p>
          <w:p>
            <w:pPr>
              <w:pStyle w:val="5"/>
              <w:ind w:firstLine="480"/>
            </w:pPr>
            <w:r>
              <w:rPr>
                <w:rFonts w:hint="eastAsia"/>
              </w:rPr>
              <w:t>非污染防治区：主要指没有污染物泄漏的区域或部位，不会对地下水环境造成污染，如厂区道路、综合楼、绿化区等，划为非污染防控区，进行简单防渗。</w:t>
            </w:r>
          </w:p>
          <w:p>
            <w:pPr>
              <w:pStyle w:val="5"/>
              <w:ind w:firstLine="480"/>
            </w:pPr>
            <w:r>
              <w:rPr>
                <w:rFonts w:hint="eastAsia"/>
              </w:rPr>
              <w:t>危险废物暂存间按《危险废物贮存污染控制标准》（</w:t>
            </w:r>
            <w:r>
              <w:t>GB18597-2023）要求进行设计、管理、运行。</w:t>
            </w:r>
          </w:p>
          <w:p>
            <w:pPr>
              <w:pStyle w:val="5"/>
              <w:ind w:firstLine="480"/>
              <w:rPr>
                <w:rFonts w:hint="eastAsia" w:hAnsi="宋体"/>
              </w:rPr>
            </w:pPr>
            <w:r>
              <w:rPr>
                <w:rFonts w:hint="eastAsia" w:hAnsi="宋体"/>
              </w:rPr>
              <w:t>地下水污染防渗分区划分见</w:t>
            </w:r>
            <w:r>
              <w:fldChar w:fldCharType="begin"/>
            </w:r>
            <w:r>
              <w:instrText xml:space="preserve"> </w:instrText>
            </w:r>
            <w:r>
              <w:rPr>
                <w:rFonts w:hint="eastAsia"/>
              </w:rPr>
              <w:instrText xml:space="preserve">REF _Ref170743525 \h</w:instrText>
            </w:r>
            <w:r>
              <w:instrText xml:space="preserve">  \* MERGEFORMAT </w:instrText>
            </w:r>
            <w:r>
              <w:fldChar w:fldCharType="separate"/>
            </w:r>
            <w:r>
              <w:t>表 4.2</w:t>
            </w:r>
            <w:r>
              <w:noBreakHyphen/>
            </w:r>
            <w:r>
              <w:t>26</w:t>
            </w:r>
            <w:r>
              <w:fldChar w:fldCharType="end"/>
            </w:r>
            <w:r>
              <w:rPr>
                <w:rFonts w:hint="eastAsia" w:hAnsi="宋体"/>
              </w:rPr>
              <w:t>。</w:t>
            </w:r>
          </w:p>
          <w:p>
            <w:pPr>
              <w:pStyle w:val="14"/>
              <w:keepNext/>
            </w:pPr>
            <w:bookmarkStart w:id="80" w:name="_Ref170743525"/>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26</w:t>
            </w:r>
            <w:r>
              <w:fldChar w:fldCharType="end"/>
            </w:r>
            <w:bookmarkEnd w:id="80"/>
            <w:r>
              <w:rPr>
                <w:rFonts w:hint="eastAsia"/>
              </w:rPr>
              <w:t xml:space="preserve">   地下水污染防渗分区划分</w:t>
            </w:r>
          </w:p>
          <w:tbl>
            <w:tblPr>
              <w:tblStyle w:val="3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6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0" w:type="dxa"/>
                  <w:vAlign w:val="center"/>
                </w:tcPr>
                <w:p>
                  <w:pPr>
                    <w:pStyle w:val="63"/>
                  </w:pPr>
                  <w:r>
                    <w:rPr>
                      <w:rFonts w:hint="eastAsia"/>
                    </w:rPr>
                    <w:t>防渗分区</w:t>
                  </w:r>
                </w:p>
              </w:tc>
              <w:tc>
                <w:tcPr>
                  <w:tcW w:w="6558" w:type="dxa"/>
                  <w:vAlign w:val="center"/>
                </w:tcPr>
                <w:p>
                  <w:pPr>
                    <w:pStyle w:val="63"/>
                  </w:pPr>
                  <w:r>
                    <w:rPr>
                      <w:rFonts w:hint="eastAsia"/>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0" w:type="dxa"/>
                  <w:vAlign w:val="center"/>
                </w:tcPr>
                <w:p>
                  <w:pPr>
                    <w:pStyle w:val="63"/>
                  </w:pPr>
                  <w:r>
                    <w:rPr>
                      <w:rFonts w:hint="eastAsia"/>
                    </w:rPr>
                    <w:t>重点防渗区</w:t>
                  </w:r>
                </w:p>
              </w:tc>
              <w:tc>
                <w:tcPr>
                  <w:tcW w:w="6558" w:type="dxa"/>
                  <w:vAlign w:val="center"/>
                </w:tcPr>
                <w:p>
                  <w:pPr>
                    <w:pStyle w:val="63"/>
                  </w:pPr>
                  <w:r>
                    <w:rPr>
                      <w:rFonts w:hint="eastAsia"/>
                    </w:rPr>
                    <w:t>污水处理设施、危废暂存间、事故池、维修和柴油发电车间、加药间、臭气处理设施、污泥脱水机房、回流污泥泵站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0" w:type="dxa"/>
                  <w:vAlign w:val="center"/>
                </w:tcPr>
                <w:p>
                  <w:pPr>
                    <w:pStyle w:val="63"/>
                  </w:pPr>
                  <w:r>
                    <w:rPr>
                      <w:rFonts w:hint="eastAsia"/>
                    </w:rPr>
                    <w:t>一般防渗区</w:t>
                  </w:r>
                </w:p>
              </w:tc>
              <w:tc>
                <w:tcPr>
                  <w:tcW w:w="6558" w:type="dxa"/>
                  <w:vAlign w:val="center"/>
                </w:tcPr>
                <w:p>
                  <w:pPr>
                    <w:pStyle w:val="63"/>
                  </w:pPr>
                  <w:r>
                    <w:rPr>
                      <w:rFonts w:hint="eastAsia"/>
                    </w:rPr>
                    <w:t>雨水沟、芬顿设施地面、系统地面管道、鼓风机机房、在线监测间、消毒池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0" w:type="dxa"/>
                  <w:vAlign w:val="center"/>
                </w:tcPr>
                <w:p>
                  <w:pPr>
                    <w:pStyle w:val="63"/>
                  </w:pPr>
                  <w:r>
                    <w:rPr>
                      <w:rFonts w:hint="eastAsia"/>
                    </w:rPr>
                    <w:t>简单防渗区</w:t>
                  </w:r>
                </w:p>
              </w:tc>
              <w:tc>
                <w:tcPr>
                  <w:tcW w:w="6558" w:type="dxa"/>
                  <w:vAlign w:val="center"/>
                </w:tcPr>
                <w:p>
                  <w:pPr>
                    <w:pStyle w:val="63"/>
                  </w:pPr>
                  <w:r>
                    <w:rPr>
                      <w:rFonts w:hint="eastAsia"/>
                    </w:rPr>
                    <w:t>厂区道路、综合楼、绿化区</w:t>
                  </w:r>
                </w:p>
              </w:tc>
            </w:tr>
          </w:tbl>
          <w:p/>
          <w:p>
            <w:pPr>
              <w:pStyle w:val="6"/>
              <w:numPr>
                <w:ilvl w:val="0"/>
                <w:numId w:val="0"/>
              </w:numPr>
              <w:spacing w:before="120" w:after="120"/>
              <w:ind w:left="480"/>
            </w:pPr>
            <w:r>
              <w:rPr>
                <w:rFonts w:hint="eastAsia"/>
              </w:rPr>
              <w:t>（3）分区防渗措施</w:t>
            </w:r>
          </w:p>
          <w:p>
            <w:pPr>
              <w:pStyle w:val="5"/>
              <w:ind w:firstLine="480"/>
            </w:pPr>
            <w:r>
              <w:t>根据《石油化工工程防渗技术规范》（GB/T50934-2013）要求，设备、地下管道、构筑物防渗的设计使用年限不应低于其主体的设计使用年限；污染防治区地面应坡向排水口或排水沟</w:t>
            </w:r>
            <w:r>
              <w:rPr>
                <w:rFonts w:hint="eastAsia"/>
              </w:rPr>
              <w:t>。</w:t>
            </w:r>
          </w:p>
          <w:p>
            <w:pPr>
              <w:pStyle w:val="5"/>
              <w:ind w:firstLine="480"/>
            </w:pPr>
            <w:r>
              <w:rPr>
                <w:rFonts w:hint="eastAsia"/>
              </w:rPr>
              <w:t>一、</w:t>
            </w:r>
            <w:r>
              <w:t>重点污染防治区防渗层的</w:t>
            </w:r>
            <w:r>
              <w:rPr>
                <w:rFonts w:hint="eastAsia"/>
              </w:rPr>
              <w:t>防渗技术要求为等效黏土防渗层</w:t>
            </w:r>
            <w:r>
              <w:t>M</w:t>
            </w:r>
            <w:r>
              <w:rPr>
                <w:rFonts w:hint="eastAsia"/>
              </w:rPr>
              <w:t>b≥</w:t>
            </w:r>
            <w:r>
              <w:t>6</w:t>
            </w:r>
            <w:r>
              <w:rPr>
                <w:rFonts w:hint="eastAsia"/>
              </w:rPr>
              <w:t>m</w:t>
            </w:r>
            <w:r>
              <w:t>，</w:t>
            </w:r>
            <w:r>
              <w:rPr>
                <w:rFonts w:hint="eastAsia"/>
              </w:rPr>
              <w:t>K≤</w:t>
            </w:r>
            <w:r>
              <w:t>1.0×10</w:t>
            </w:r>
            <w:r>
              <w:rPr>
                <w:vertAlign w:val="superscript"/>
              </w:rPr>
              <w:t>-7</w:t>
            </w:r>
            <w:r>
              <w:t>cm/s</w:t>
            </w:r>
            <w:r>
              <w:rPr>
                <w:rFonts w:hint="eastAsia"/>
              </w:rPr>
              <w:t>或参照G</w:t>
            </w:r>
            <w:r>
              <w:t>B18598</w:t>
            </w:r>
            <w:r>
              <w:rPr>
                <w:rFonts w:hint="eastAsia"/>
              </w:rPr>
              <w:t>执行，其中危废暂存间应满足</w:t>
            </w:r>
            <w:r>
              <w:rPr>
                <w:rFonts w:hAnsi="宋体"/>
              </w:rPr>
              <w:t>《危险废物贮存污染控制标准》（</w:t>
            </w:r>
            <w:r>
              <w:t>GB18597-2023</w:t>
            </w:r>
            <w:r>
              <w:rPr>
                <w:rFonts w:hAnsi="宋体"/>
              </w:rPr>
              <w:t>）</w:t>
            </w:r>
            <w:r>
              <w:rPr>
                <w:rFonts w:hint="eastAsia" w:hAnsi="宋体"/>
              </w:rPr>
              <w:t>要求</w:t>
            </w:r>
            <w:r>
              <w:rPr>
                <w:rFonts w:hint="eastAsia"/>
              </w:rPr>
              <w:t>；</w:t>
            </w:r>
          </w:p>
          <w:p>
            <w:pPr>
              <w:pStyle w:val="5"/>
              <w:ind w:firstLine="480"/>
            </w:pPr>
            <w:r>
              <w:rPr>
                <w:rFonts w:hint="eastAsia"/>
              </w:rPr>
              <w:t>二、</w:t>
            </w:r>
            <w:r>
              <w:t>一般污染防治区防渗层的</w:t>
            </w:r>
            <w:r>
              <w:rPr>
                <w:rFonts w:hint="eastAsia"/>
              </w:rPr>
              <w:t>防渗技术要求为等效黏土防渗层</w:t>
            </w:r>
            <w:r>
              <w:t>M</w:t>
            </w:r>
            <w:r>
              <w:rPr>
                <w:rFonts w:hint="eastAsia"/>
              </w:rPr>
              <w:t>b≥</w:t>
            </w:r>
            <w:r>
              <w:t>1.5</w:t>
            </w:r>
            <w:r>
              <w:rPr>
                <w:rFonts w:hint="eastAsia"/>
              </w:rPr>
              <w:t>m</w:t>
            </w:r>
            <w:r>
              <w:t>，</w:t>
            </w:r>
            <w:r>
              <w:rPr>
                <w:rFonts w:hint="eastAsia"/>
              </w:rPr>
              <w:t>K≤</w:t>
            </w:r>
            <w:r>
              <w:t>1.0×10</w:t>
            </w:r>
            <w:r>
              <w:rPr>
                <w:vertAlign w:val="superscript"/>
              </w:rPr>
              <w:t>-7</w:t>
            </w:r>
            <w:r>
              <w:t>cm/s</w:t>
            </w:r>
            <w:r>
              <w:rPr>
                <w:rFonts w:hint="eastAsia"/>
              </w:rPr>
              <w:t>或参照G</w:t>
            </w:r>
            <w:r>
              <w:t>B16889</w:t>
            </w:r>
            <w:r>
              <w:rPr>
                <w:rFonts w:hint="eastAsia"/>
              </w:rPr>
              <w:t>执行；</w:t>
            </w:r>
          </w:p>
          <w:p>
            <w:pPr>
              <w:pStyle w:val="5"/>
              <w:ind w:firstLine="480"/>
            </w:pPr>
            <w:r>
              <w:rPr>
                <w:rFonts w:hint="eastAsia"/>
              </w:rPr>
              <w:t>三、简单防渗层防渗技术要求为一般地面硬化。</w:t>
            </w:r>
          </w:p>
          <w:p>
            <w:pPr>
              <w:pStyle w:val="6"/>
              <w:spacing w:before="120" w:after="120"/>
            </w:pPr>
            <w:r>
              <w:rPr>
                <w:rFonts w:hint="eastAsia"/>
              </w:rPr>
              <w:t>环境跟踪监测</w:t>
            </w:r>
          </w:p>
          <w:p>
            <w:pPr>
              <w:pStyle w:val="5"/>
              <w:ind w:firstLine="480"/>
            </w:pPr>
            <w:r>
              <w:rPr>
                <w:rFonts w:hint="eastAsia"/>
              </w:rPr>
              <w:t>为及时准确的掌握厂区及下游地下水环境质量状况和地下水体中污染物的动态</w:t>
            </w:r>
            <w:r>
              <w:t>变化情况，本项目应建立地下水长期监控系统，包括科学、合理地设置地下水污染监控井，建立完善的监测制度，配备先进的检测仪器和设备，以便及时发现并及时控制。</w:t>
            </w:r>
          </w:p>
          <w:p>
            <w:pPr>
              <w:pStyle w:val="5"/>
              <w:ind w:firstLine="480"/>
            </w:pPr>
            <w:r>
              <w:rPr>
                <w:rFonts w:hint="eastAsia"/>
              </w:rPr>
              <w:t>地下水环境监测参考《地下水环境监测技术规范》（</w:t>
            </w:r>
            <w:r>
              <w:t xml:space="preserve"> HJ/T164-2004）和《环境影响评价技术导则地下水环境》（HJ610-2016），结合厂址区域地下水补径排特征，考虑潜在污染源、环境保护目标等因素，要求设地下水环境影响跟踪监测井</w:t>
            </w:r>
            <w:r>
              <w:rPr>
                <w:rFonts w:hint="eastAsia"/>
              </w:rPr>
              <w:t>1</w:t>
            </w:r>
            <w:r>
              <w:t>个，</w:t>
            </w:r>
            <w:r>
              <w:rPr>
                <w:rFonts w:hint="eastAsia"/>
              </w:rPr>
              <w:t>1</w:t>
            </w:r>
            <w:r>
              <w:t>#监测井位于厂区外北侧（下游）。定期进行地下水质量监控，若发现厂界监控井异常，及时采取应急措施。</w:t>
            </w:r>
          </w:p>
          <w:p>
            <w:pPr>
              <w:pStyle w:val="5"/>
              <w:ind w:firstLine="480"/>
            </w:pPr>
            <w:r>
              <w:t>地下水监测计划见</w:t>
            </w:r>
            <w:r>
              <w:fldChar w:fldCharType="begin"/>
            </w:r>
            <w:r>
              <w:instrText xml:space="preserve"> REF _Ref157174164 \h  \* MERGEFORMAT </w:instrText>
            </w:r>
            <w:r>
              <w:fldChar w:fldCharType="separate"/>
            </w:r>
            <w:r>
              <w:t>表 4.2</w:t>
            </w:r>
            <w:r>
              <w:noBreakHyphen/>
            </w:r>
            <w:r>
              <w:t>27</w:t>
            </w:r>
            <w:r>
              <w:fldChar w:fldCharType="end"/>
            </w:r>
            <w:r>
              <w:t>。</w:t>
            </w:r>
          </w:p>
          <w:p>
            <w:pPr>
              <w:pStyle w:val="14"/>
              <w:ind w:firstLine="480"/>
            </w:pPr>
            <w:bookmarkStart w:id="81" w:name="_Ref157174164"/>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27</w:t>
            </w:r>
            <w:r>
              <w:fldChar w:fldCharType="end"/>
            </w:r>
            <w:bookmarkEnd w:id="81"/>
            <w:r>
              <w:t>地下水监测计划一览表</w:t>
            </w:r>
          </w:p>
          <w:tbl>
            <w:tblPr>
              <w:tblStyle w:val="38"/>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452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trPr>
              <w:tc>
                <w:tcPr>
                  <w:tcW w:w="2137" w:type="dxa"/>
                  <w:tcBorders>
                    <w:top w:val="single" w:color="auto" w:sz="4" w:space="0"/>
                    <w:left w:val="single" w:color="auto" w:sz="4" w:space="0"/>
                    <w:bottom w:val="single" w:color="auto" w:sz="4" w:space="0"/>
                    <w:right w:val="single" w:color="auto" w:sz="4" w:space="0"/>
                  </w:tcBorders>
                  <w:vAlign w:val="center"/>
                </w:tcPr>
                <w:p>
                  <w:pPr>
                    <w:pStyle w:val="63"/>
                  </w:pPr>
                  <w:r>
                    <w:t>采样点位置</w:t>
                  </w:r>
                </w:p>
              </w:tc>
              <w:tc>
                <w:tcPr>
                  <w:tcW w:w="4525" w:type="dxa"/>
                  <w:tcBorders>
                    <w:top w:val="single" w:color="auto" w:sz="4" w:space="0"/>
                    <w:left w:val="single" w:color="auto" w:sz="4" w:space="0"/>
                    <w:bottom w:val="single" w:color="auto" w:sz="4" w:space="0"/>
                    <w:right w:val="single" w:color="auto" w:sz="4" w:space="0"/>
                  </w:tcBorders>
                  <w:vAlign w:val="center"/>
                </w:tcPr>
                <w:p>
                  <w:pPr>
                    <w:pStyle w:val="63"/>
                  </w:pPr>
                  <w:r>
                    <w:t>监测项目</w:t>
                  </w:r>
                </w:p>
              </w:tc>
              <w:tc>
                <w:tcPr>
                  <w:tcW w:w="1276" w:type="dxa"/>
                  <w:tcBorders>
                    <w:top w:val="single" w:color="auto" w:sz="4" w:space="0"/>
                    <w:left w:val="single" w:color="auto" w:sz="4" w:space="0"/>
                    <w:bottom w:val="single" w:color="auto" w:sz="4" w:space="0"/>
                    <w:right w:val="single" w:color="auto" w:sz="4" w:space="0"/>
                  </w:tcBorders>
                  <w:vAlign w:val="center"/>
                </w:tcPr>
                <w:p>
                  <w:pPr>
                    <w:pStyle w:val="63"/>
                  </w:pPr>
                  <w:r>
                    <w:t>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37" w:type="dxa"/>
                  <w:tcBorders>
                    <w:top w:val="single" w:color="auto" w:sz="4" w:space="0"/>
                    <w:left w:val="single" w:color="auto" w:sz="4" w:space="0"/>
                    <w:bottom w:val="single" w:color="auto" w:sz="4" w:space="0"/>
                    <w:right w:val="single" w:color="auto" w:sz="4" w:space="0"/>
                  </w:tcBorders>
                  <w:vAlign w:val="center"/>
                </w:tcPr>
                <w:p>
                  <w:pPr>
                    <w:pStyle w:val="63"/>
                  </w:pPr>
                  <w:r>
                    <w:t>1#监测井位于厂区外北侧（下游）</w:t>
                  </w:r>
                </w:p>
              </w:tc>
              <w:tc>
                <w:tcPr>
                  <w:tcW w:w="4525" w:type="dxa"/>
                  <w:tcBorders>
                    <w:top w:val="single" w:color="auto" w:sz="4" w:space="0"/>
                    <w:left w:val="single" w:color="auto" w:sz="4" w:space="0"/>
                    <w:bottom w:val="single" w:color="auto" w:sz="4" w:space="0"/>
                    <w:right w:val="single" w:color="auto" w:sz="4" w:space="0"/>
                  </w:tcBorders>
                  <w:vAlign w:val="center"/>
                </w:tcPr>
                <w:p>
                  <w:pPr>
                    <w:pStyle w:val="63"/>
                  </w:pPr>
                  <w:r>
                    <w:t>pH、氨氮、硝酸盐、亚硝酸盐、挥发性酚类、氰化物、砷、汞、铬(六价)、总硬度、铅、氟、镉、铁、锰、溶解性总固体、耗氧量、硫酸盐、氯化物、总大肠菌群、细菌总数</w:t>
                  </w:r>
                </w:p>
              </w:tc>
              <w:tc>
                <w:tcPr>
                  <w:tcW w:w="1276" w:type="dxa"/>
                  <w:tcBorders>
                    <w:top w:val="single" w:color="auto" w:sz="4" w:space="0"/>
                    <w:left w:val="single" w:color="auto" w:sz="4" w:space="0"/>
                    <w:bottom w:val="single" w:color="auto" w:sz="4" w:space="0"/>
                    <w:right w:val="single" w:color="auto" w:sz="4" w:space="0"/>
                  </w:tcBorders>
                  <w:vAlign w:val="center"/>
                </w:tcPr>
                <w:p>
                  <w:pPr>
                    <w:pStyle w:val="63"/>
                  </w:pPr>
                  <w:r>
                    <w:t>1次/年，非正常工况另外监测</w:t>
                  </w:r>
                </w:p>
              </w:tc>
            </w:tr>
          </w:tbl>
          <w:p/>
          <w:p>
            <w:pPr>
              <w:pStyle w:val="4"/>
              <w:spacing w:before="120" w:after="120"/>
            </w:pPr>
            <w:r>
              <w:rPr>
                <w:rFonts w:hint="eastAsia"/>
              </w:rPr>
              <w:t>生态</w:t>
            </w:r>
          </w:p>
          <w:p>
            <w:pPr>
              <w:pStyle w:val="6"/>
              <w:spacing w:before="120" w:after="120"/>
            </w:pPr>
            <w:r>
              <w:rPr>
                <w:rFonts w:hint="eastAsia"/>
              </w:rPr>
              <w:t>陆生生态</w:t>
            </w:r>
          </w:p>
          <w:p>
            <w:pPr>
              <w:pStyle w:val="5"/>
              <w:ind w:firstLine="480"/>
            </w:pPr>
            <w:r>
              <w:rPr>
                <w:rFonts w:hint="eastAsia"/>
              </w:rPr>
              <w:t>区域内无国家和重庆市重点保护植物，无挂牌的古树名木，无易危、濒危、极危物种的分布，营运期项目在红线内运行，无临时占地，产生的废气通过大气扩散，对周围植物影响较小。</w:t>
            </w:r>
          </w:p>
          <w:p>
            <w:pPr>
              <w:pStyle w:val="5"/>
              <w:ind w:firstLine="480"/>
            </w:pPr>
            <w:r>
              <w:rPr>
                <w:rFonts w:hint="eastAsia"/>
              </w:rPr>
              <w:t>区域生境次生化，人为活动显著，缺乏适宜大型野生动物栖息的环境，区域无国家和重庆市保护动物；无极危、濒危、易危物种分布；无动物极小种群分布。项目运行产生的噪声可能会惊扰动物，使其远离。项目周围类似原生境分布广泛，远离动物可找到新的适宜活动区域，所以对陆生动物影响小。项目厂区绿化采用本地常见植物，不涉及生物入侵。</w:t>
            </w:r>
          </w:p>
          <w:p>
            <w:pPr>
              <w:pStyle w:val="6"/>
              <w:spacing w:before="120" w:after="120"/>
            </w:pPr>
            <w:r>
              <w:rPr>
                <w:rFonts w:hint="eastAsia"/>
              </w:rPr>
              <w:t>水生生态</w:t>
            </w:r>
          </w:p>
          <w:p>
            <w:pPr>
              <w:pStyle w:val="5"/>
              <w:numPr>
                <w:ilvl w:val="0"/>
                <w:numId w:val="12"/>
              </w:numPr>
              <w:ind w:firstLineChars="0"/>
            </w:pPr>
            <w:r>
              <w:t>对浮游植物的影响</w:t>
            </w:r>
          </w:p>
          <w:p>
            <w:pPr>
              <w:pStyle w:val="5"/>
              <w:ind w:firstLine="480"/>
            </w:pPr>
            <w:r>
              <w:rPr>
                <w:rFonts w:hint="eastAsia"/>
              </w:rPr>
              <w:t>本项目尾水影响区域小，经处理后排放的尾水对整个评价河段的浮游植物影响有限。项目投运使用可减少收集区域污水污染物排放中的营养盐含量，有助于控制河流的营养盐负荷，从而减缓浮游植物的过度；能够更有效地去除污水中的有机物、悬浮物和其他污染物，降低区域发展对水质影响，有利于维持河流浮游植物的多样性和生态平衡。根据《再生水水质生物毒性监测研究进展》（2020），经</w:t>
            </w:r>
            <w:r>
              <w:t>NaClO 消毒工艺处理后的再生水对藻的细胞</w:t>
            </w:r>
            <w:r>
              <w:rPr>
                <w:rFonts w:hint="eastAsia"/>
              </w:rPr>
              <w:t>膜有破坏作用，增加尾水毒性，本项目尾水采用紫外消毒，消毒副产物少，对浮游植物影响小。因此，本项目在运营期间对浮游植物的影响较小。</w:t>
            </w:r>
          </w:p>
          <w:p>
            <w:pPr>
              <w:pStyle w:val="5"/>
              <w:numPr>
                <w:ilvl w:val="0"/>
                <w:numId w:val="12"/>
              </w:numPr>
              <w:ind w:firstLineChars="0"/>
            </w:pPr>
            <w:r>
              <w:t>对浮游动物的影响</w:t>
            </w:r>
          </w:p>
          <w:p>
            <w:pPr>
              <w:pStyle w:val="5"/>
              <w:ind w:firstLine="480"/>
            </w:pPr>
            <w:r>
              <w:rPr>
                <w:rFonts w:hint="eastAsia"/>
              </w:rPr>
              <w:t>本项目实施后减少收集区域污水污染物排放，有利于浮游动物的生存和繁殖，可能会增加浮游动物的种类和数量。根据《再生水水质生物毒性监测研究进展》（2020），尾水经氯消毒和臭氧氧化工艺处理后，对大型蚤有很强的抑制作用，</w:t>
            </w:r>
            <w:r>
              <w:t>显著增加了</w:t>
            </w:r>
            <w:r>
              <w:rPr>
                <w:rFonts w:hint="eastAsia"/>
              </w:rPr>
              <w:t>尾水</w:t>
            </w:r>
            <w:r>
              <w:t>对大型蚤的毒性，</w:t>
            </w:r>
            <w:r>
              <w:rPr>
                <w:rFonts w:hint="eastAsia"/>
              </w:rPr>
              <w:t>项目尾水采用紫外消毒，消毒副产物少，对浮游动物影响小。因此，本项目在运营期间对浮游动物的影响较小。</w:t>
            </w:r>
          </w:p>
          <w:p>
            <w:pPr>
              <w:pStyle w:val="5"/>
              <w:numPr>
                <w:ilvl w:val="0"/>
                <w:numId w:val="12"/>
              </w:numPr>
              <w:ind w:firstLineChars="0"/>
            </w:pPr>
            <w:r>
              <w:t>对底栖动物的影响</w:t>
            </w:r>
          </w:p>
          <w:p>
            <w:pPr>
              <w:pStyle w:val="5"/>
              <w:ind w:firstLine="480"/>
            </w:pPr>
            <w:r>
              <w:rPr>
                <w:rFonts w:hint="eastAsia"/>
              </w:rPr>
              <w:t>一些对水质要求较高的底栖动物种类可能会增加，而一些耐污种可能会减少。根据预测，项目正常排放朱衣河水质满足水域功能要求，项目尾水采用紫外消毒，消毒副产物少，对</w:t>
            </w:r>
            <w:r>
              <w:t>底栖</w:t>
            </w:r>
            <w:r>
              <w:rPr>
                <w:rFonts w:hint="eastAsia"/>
              </w:rPr>
              <w:t>动物影响小。所以本项目对底栖动物的影响小。</w:t>
            </w:r>
          </w:p>
          <w:p>
            <w:pPr>
              <w:pStyle w:val="5"/>
              <w:numPr>
                <w:ilvl w:val="0"/>
                <w:numId w:val="12"/>
              </w:numPr>
              <w:ind w:firstLineChars="0"/>
            </w:pPr>
            <w:r>
              <w:rPr>
                <w:rFonts w:hint="eastAsia"/>
              </w:rPr>
              <w:t>对鱼类影响</w:t>
            </w:r>
          </w:p>
          <w:p>
            <w:pPr>
              <w:pStyle w:val="5"/>
              <w:ind w:firstLine="480"/>
            </w:pPr>
            <w:r>
              <w:rPr>
                <w:rFonts w:hint="eastAsia"/>
              </w:rPr>
              <w:t>根据《三峡成库后洛碛河段鱼类越冬特性研究》（2020），鱼类栖息适宜的水环境条件如下：</w:t>
            </w:r>
          </w:p>
          <w:p>
            <w:pPr>
              <w:pStyle w:val="5"/>
              <w:ind w:firstLine="480"/>
            </w:pPr>
            <w:r>
              <w:rPr>
                <w:rFonts w:hint="eastAsia"/>
              </w:rPr>
              <w:t>一、溶解氧：鱼类在水体中生活，以鳃进行气体交换，水中的溶解氧会直接影响鱼类的新陈代谢。鱼类生长最适宜的溶解氧为</w:t>
            </w:r>
            <w:r>
              <w:t xml:space="preserve"> 5</w:t>
            </w:r>
            <w:r>
              <w:rPr>
                <w:rFonts w:hint="eastAsia"/>
              </w:rPr>
              <w:t>~</w:t>
            </w:r>
            <w:r>
              <w:t>8mg/L，当水中溶解氧低于2mg/L时将会影响</w:t>
            </w:r>
            <w:r>
              <w:rPr>
                <w:rFonts w:hint="eastAsia"/>
              </w:rPr>
              <w:t>鱼类生存。</w:t>
            </w:r>
          </w:p>
          <w:p>
            <w:pPr>
              <w:pStyle w:val="5"/>
              <w:ind w:firstLine="480"/>
            </w:pPr>
            <w:r>
              <w:rPr>
                <w:rFonts w:hint="eastAsia"/>
              </w:rPr>
              <w:t>二、水中营养盐含量：营养盐是水生生物的重要营养物质，对水生生物</w:t>
            </w:r>
            <w:r>
              <w:t>的生长产生调控作用。营养盐</w:t>
            </w:r>
            <w:r>
              <w:rPr>
                <w:rFonts w:hint="eastAsia"/>
              </w:rPr>
              <w:t>含量过低，会对水生生物的生长产生限制作用。</w:t>
            </w:r>
            <w:r>
              <w:t>在适宜的浓度范围内，营养盐对鱼</w:t>
            </w:r>
            <w:r>
              <w:rPr>
                <w:rFonts w:hint="eastAsia"/>
              </w:rPr>
              <w:t>类有好处为适宜营养盐含量会促进浮游植物生长，浮游植物是水体的初级生产者，不仅为鱼类直接和间接提供天然活饵料，同时还是水体溶氧的主要制造者（占溶氧来源的</w:t>
            </w:r>
            <w:r>
              <w:t xml:space="preserve"> 80%-90%），对水体生态环境起正面作用。</w:t>
            </w:r>
            <w:r>
              <w:rPr>
                <w:rFonts w:hint="eastAsia"/>
              </w:rPr>
              <w:t>若水体内营养盐含量过高，会导致水体中的藻类等浮游植物大量繁殖，藻类及其他浮游生物死亡后被需氧微生物分解，不断消耗水中的溶解氧，或被厌氧微生物分解，不断产生硫化氢</w:t>
            </w:r>
            <w:r>
              <w:t>等气体，从两个方面使水质恶化，造成鱼类和其他水</w:t>
            </w:r>
            <w:r>
              <w:rPr>
                <w:rFonts w:hint="eastAsia"/>
              </w:rPr>
              <w:t>生生物大量死亡。</w:t>
            </w:r>
            <w:r>
              <w:t>鱼类生长最适宜的氮含量为1</w:t>
            </w:r>
            <w:r>
              <w:rPr>
                <w:rFonts w:hint="eastAsia"/>
              </w:rPr>
              <w:t>~</w:t>
            </w:r>
            <w:r>
              <w:t>2mg/L，若超过3mg/L则易造成水</w:t>
            </w:r>
            <w:r>
              <w:rPr>
                <w:rFonts w:hint="eastAsia"/>
              </w:rPr>
              <w:t>体中溶解氧含量过低，导致鱼类缺氧死亡；另外，</w:t>
            </w:r>
            <w:r>
              <w:t>研究表明，氮污染物中的氨氮能够像 O</w:t>
            </w:r>
            <w:r>
              <w:rPr>
                <w:vertAlign w:val="subscript"/>
              </w:rPr>
              <w:t>2</w:t>
            </w:r>
            <w:r>
              <w:t>、CO</w:t>
            </w:r>
            <w:r>
              <w:rPr>
                <w:vertAlign w:val="subscript"/>
              </w:rPr>
              <w:t>2</w:t>
            </w:r>
            <w:r>
              <w:t>一样通过鱼鳃的上皮细胞内的水蛋白通道进入到鱼体内，</w:t>
            </w:r>
            <w:r>
              <w:rPr>
                <w:rFonts w:hint="eastAsia"/>
              </w:rPr>
              <w:t>在血液中氨氮</w:t>
            </w:r>
            <w:r>
              <w:t>会转化成离子氨，从而影响机体的渗透压平衡以及机体内正常的生</w:t>
            </w:r>
            <w:r>
              <w:rPr>
                <w:rFonts w:hint="eastAsia"/>
              </w:rPr>
              <w:t>化反应，进而危害到鱼类</w:t>
            </w:r>
            <w:r>
              <w:t>。</w:t>
            </w:r>
          </w:p>
          <w:p>
            <w:pPr>
              <w:pStyle w:val="5"/>
              <w:ind w:firstLine="480"/>
            </w:pPr>
            <w:r>
              <w:rPr>
                <w:rFonts w:hint="eastAsia"/>
              </w:rPr>
              <w:t>根据《长江上游珍稀特有鱼类国家级自然保护区重要鱼类繁殖生态需求》（2014），鱼类生长繁殖受理化环境因子和水文水动力及地形的制约。主要环境因子包括温度、溶解氧、光照、食物、盐度和其他理化因子等</w:t>
            </w:r>
            <w:r>
              <w:t>。</w:t>
            </w:r>
            <w:r>
              <w:rPr>
                <w:rFonts w:hint="eastAsia"/>
              </w:rPr>
              <w:t>鱼类属变温动物，</w:t>
            </w:r>
            <w:r>
              <w:t>环境温度是鱼类生长发育最重要</w:t>
            </w:r>
            <w:r>
              <w:rPr>
                <w:rFonts w:hint="eastAsia"/>
              </w:rPr>
              <w:t>的气候因子，</w:t>
            </w:r>
            <w:r>
              <w:t>对鱼类的代谢反应速率起控制作用，</w:t>
            </w:r>
            <w:r>
              <w:rPr>
                <w:rFonts w:hint="eastAsia"/>
              </w:rPr>
              <w:t>从而影响鱼类的活动和生长。普通鱼类适宜生活的水温范围一般是12~30℃</w:t>
            </w:r>
            <w:r>
              <w:t>。</w:t>
            </w:r>
          </w:p>
          <w:p>
            <w:pPr>
              <w:pStyle w:val="5"/>
              <w:ind w:firstLine="480"/>
            </w:pPr>
            <w:r>
              <w:rPr>
                <w:rFonts w:hint="eastAsia"/>
              </w:rPr>
              <w:t>鱼类的生长都有临界氧浓度，</w:t>
            </w:r>
            <w:r>
              <w:t>低于临界</w:t>
            </w:r>
            <w:r>
              <w:rPr>
                <w:rFonts w:hint="eastAsia"/>
              </w:rPr>
              <w:t>值，</w:t>
            </w:r>
            <w:r>
              <w:t>鱼类停止生长，甚至死亡； 高于临界值，在食</w:t>
            </w:r>
            <w:r>
              <w:rPr>
                <w:rFonts w:hint="eastAsia"/>
              </w:rPr>
              <w:t>量不受限制的情况下，</w:t>
            </w:r>
            <w:r>
              <w:t>生长率随溶解氧浓度上升而</w:t>
            </w:r>
            <w:r>
              <w:rPr>
                <w:rFonts w:hint="eastAsia"/>
              </w:rPr>
              <w:t>上升。水中适宜的悬浮物浓度不仅有利于鱼类的活动和摄食，</w:t>
            </w:r>
            <w:r>
              <w:t>而且为鱼类逃避敌害创造了条件；悬浮</w:t>
            </w:r>
            <w:r>
              <w:rPr>
                <w:rFonts w:hint="eastAsia"/>
              </w:rPr>
              <w:t>物太多则会影响鱼类鳃的呼吸效率，</w:t>
            </w:r>
            <w:r>
              <w:t>也给病原体的</w:t>
            </w:r>
            <w:r>
              <w:rPr>
                <w:rFonts w:hint="eastAsia"/>
              </w:rPr>
              <w:t>侵入创造条件</w:t>
            </w:r>
            <w:r>
              <w:t>。大多数鱼类喜欢在微碱性水体</w:t>
            </w:r>
            <w:r>
              <w:rPr>
                <w:rFonts w:hint="eastAsia"/>
              </w:rPr>
              <w:t>中生活，</w:t>
            </w:r>
            <w:r>
              <w:t xml:space="preserve"> 通常适宜鱼类生长的</w:t>
            </w:r>
            <w:r>
              <w:rPr>
                <w:rFonts w:hint="eastAsia"/>
              </w:rPr>
              <w:t>pH</w:t>
            </w:r>
            <w:r>
              <w:t>值为</w:t>
            </w:r>
            <w:r>
              <w:rPr>
                <w:rFonts w:hint="eastAsia"/>
              </w:rPr>
              <w:t>7.5</w:t>
            </w:r>
            <w:r>
              <w:t>～</w:t>
            </w:r>
            <w:r>
              <w:rPr>
                <w:rFonts w:hint="eastAsia"/>
              </w:rPr>
              <w:t>8.5</w:t>
            </w:r>
            <w:r>
              <w:t>；</w:t>
            </w:r>
            <w:r>
              <w:rPr>
                <w:rFonts w:hint="eastAsia"/>
              </w:rPr>
              <w:t>水质偏酸对鱼类的呼吸和消化不利</w:t>
            </w:r>
            <w:r>
              <w:t>； 酸碱度过</w:t>
            </w:r>
            <w:r>
              <w:rPr>
                <w:rFonts w:hint="eastAsia"/>
              </w:rPr>
              <w:t>高会加重水体中氨的毒害程度，</w:t>
            </w:r>
            <w:r>
              <w:t>抑制光合作用。水体中以氮、</w:t>
            </w:r>
            <w:r>
              <w:rPr>
                <w:rFonts w:hint="eastAsia"/>
              </w:rPr>
              <w:t>磷为代表的营养物质含量对提供足够的食物来维持鱼类生长繁殖的需要至关重要。</w:t>
            </w:r>
          </w:p>
          <w:p>
            <w:pPr>
              <w:pStyle w:val="5"/>
              <w:ind w:firstLine="480"/>
            </w:pPr>
            <w:r>
              <w:rPr>
                <w:rFonts w:hint="eastAsia"/>
              </w:rPr>
              <w:t>鱼类栖息地分为中上层鱼类和下层鱼类。根据朱衣河地表水现状监测结果，朱衣河水质满足《地表水环境质量标准》（GB3838-2002）Ⅲ类水域标准要求，表明适宜的营养盐含量为</w:t>
            </w:r>
            <w:r>
              <w:t>鱼类生长重要的营养物质；也会促进浮游植物生长为鱼类提供天</w:t>
            </w:r>
            <w:r>
              <w:rPr>
                <w:rFonts w:hint="eastAsia"/>
              </w:rPr>
              <w:t>活饵料</w:t>
            </w:r>
            <w:r>
              <w:t>的同时</w:t>
            </w:r>
            <w:r>
              <w:rPr>
                <w:rFonts w:hint="eastAsia"/>
              </w:rPr>
              <w:t>制造溶解氧，为中上层鱼类营造较适宜的栖息生境。下层鱼类的水体环境与中上层一致，除水体环境外，底栖鱼类受底泥影响。泥沙淤积在河流底部，会掩盖底栖鱼的栖息地。由于泥沙对营养盐的吸附作用，大量的营养盐会随着泥沙淤积沉积在河流底部，会增加水底底层的耗氧量，导致水体底层缺氧</w:t>
            </w:r>
            <w:r>
              <w:t>，对鱼类及其他水生生物造成</w:t>
            </w:r>
            <w:r>
              <w:rPr>
                <w:rFonts w:hint="eastAsia"/>
              </w:rPr>
              <w:t>影响。本项目排水不改变河流原有水文要素，鱼类区域底泥满足质量要求对底栖鱼的生境不会产生明显影响。</w:t>
            </w:r>
          </w:p>
          <w:p>
            <w:pPr>
              <w:pStyle w:val="5"/>
              <w:ind w:firstLine="480"/>
            </w:pPr>
            <w:r>
              <w:rPr>
                <w:rFonts w:hint="eastAsia"/>
              </w:rPr>
              <w:t>根据《再生水水质生物毒性监测研究进展》（2020），污水处理厂尾水消毒过程会产生消毒副产物，对鱼类有一定生态风险。</w:t>
            </w:r>
            <w:r>
              <w:t>O</w:t>
            </w:r>
            <w:r>
              <w:rPr>
                <w:vertAlign w:val="subscript"/>
              </w:rPr>
              <w:t>3</w:t>
            </w:r>
            <w:r>
              <w:t>和NaClO 等氧化剂用于二沉淀出水消毒时，</w:t>
            </w:r>
            <w:r>
              <w:rPr>
                <w:rFonts w:hint="eastAsia"/>
              </w:rPr>
              <w:t>会产生消毒副产物，对鱼具有一定毒性，尤其是经</w:t>
            </w:r>
            <w:r>
              <w:t>O</w:t>
            </w:r>
            <w:r>
              <w:rPr>
                <w:vertAlign w:val="subscript"/>
              </w:rPr>
              <w:t>3</w:t>
            </w:r>
            <w:r>
              <w:t>消毒后对</w:t>
            </w:r>
            <w:r>
              <w:rPr>
                <w:rFonts w:hint="eastAsia"/>
              </w:rPr>
              <w:t>鱼的毒性最大。当氧化剂与紫外线组合消毒后，能一定程度削减毒性，本项目尾水采用紫外消毒，消毒副产物少，对鱼类影响小。</w:t>
            </w:r>
          </w:p>
          <w:p>
            <w:pPr>
              <w:pStyle w:val="5"/>
              <w:ind w:firstLine="480"/>
            </w:pPr>
            <w:r>
              <w:rPr>
                <w:rFonts w:hint="eastAsia"/>
              </w:rPr>
              <w:t>根据预测，项目正常情况下对朱衣河水质满足水域功能要求，项目实施减少了因区域发展导致对朱衣河污染物排放量，保护了鱼类生存空间，不涉及水工设施，不改变河流水动力，不会对鱼类生境水动力因素产生影响。</w:t>
            </w:r>
          </w:p>
          <w:p>
            <w:pPr>
              <w:pStyle w:val="5"/>
              <w:ind w:firstLine="480"/>
            </w:pPr>
            <w:r>
              <w:rPr>
                <w:rFonts w:hint="eastAsia"/>
              </w:rPr>
              <w:t>项目排水导致水体中TP等营养物质增加，导致浮游生物增加，以浮游生物为食的鱼类可能增加。鱼类经多年的生长繁殖，已逐渐适应局部环境的变化情况。本项目尾水排放</w:t>
            </w:r>
            <w:r>
              <w:t>对鱼类的饵料基础影响小，仅表现为非常有限的局部效应，因此，项目运营对鱼类组成的影响小。</w:t>
            </w:r>
          </w:p>
          <w:p>
            <w:pPr>
              <w:pStyle w:val="5"/>
              <w:numPr>
                <w:ilvl w:val="0"/>
                <w:numId w:val="12"/>
              </w:numPr>
              <w:ind w:firstLineChars="0"/>
            </w:pPr>
            <w:r>
              <w:rPr>
                <w:rFonts w:hint="eastAsia"/>
              </w:rPr>
              <w:t>对鱼类“三场”影响</w:t>
            </w:r>
          </w:p>
          <w:p>
            <w:pPr>
              <w:pStyle w:val="5"/>
              <w:ind w:left="480" w:firstLine="0" w:firstLineChars="0"/>
            </w:pPr>
            <w:r>
              <w:rPr>
                <w:rFonts w:hint="eastAsia"/>
              </w:rPr>
              <w:t>一、产卵场</w:t>
            </w:r>
          </w:p>
          <w:p>
            <w:pPr>
              <w:pStyle w:val="5"/>
              <w:ind w:firstLine="480"/>
            </w:pPr>
            <w:r>
              <w:rPr>
                <w:rFonts w:hint="eastAsia"/>
              </w:rPr>
              <w:t>鱼类产卵场的水流特征量主要是流速、流速梯度、流量等，</w:t>
            </w:r>
            <w:r>
              <w:t xml:space="preserve"> 河道特征量包括水深、底质和湿周</w:t>
            </w:r>
            <w:r>
              <w:rPr>
                <w:rFonts w:hint="eastAsia"/>
              </w:rPr>
              <w:t>等</w:t>
            </w:r>
            <w:r>
              <w:t>。</w:t>
            </w:r>
            <w:r>
              <w:rPr>
                <w:rFonts w:hint="eastAsia"/>
              </w:rPr>
              <w:t>水流能够刺激鱼类的感觉器官，</w:t>
            </w:r>
            <w:r>
              <w:t>影响鱼类的摄食、生长、代谢等生命活</w:t>
            </w:r>
            <w:r>
              <w:rPr>
                <w:rFonts w:hint="eastAsia"/>
              </w:rPr>
              <w:t>动</w:t>
            </w:r>
            <w:r>
              <w:t>。流速对鱼类有短期的胁迫作用，产漂流性</w:t>
            </w:r>
            <w:r>
              <w:rPr>
                <w:rFonts w:hint="eastAsia"/>
              </w:rPr>
              <w:t>卵鱼类对水文过程的需求明显高于产粘沉性卵的鱼类。产漂流性卵鱼类的大规模产卵伴随着涨水过程的出现，</w:t>
            </w:r>
            <w:r>
              <w:t>涨水过程越明显，产卵量越大。泥</w:t>
            </w:r>
            <w:r>
              <w:rPr>
                <w:rFonts w:hint="eastAsia"/>
              </w:rPr>
              <w:t>沙对水体中耗氧有机物、有毒有机物和营养物质的迁移转化具有重要的作用，在含沙量达到3kg/m</w:t>
            </w:r>
            <w:r>
              <w:rPr>
                <w:rFonts w:hint="eastAsia"/>
                <w:vertAlign w:val="superscript"/>
              </w:rPr>
              <w:t>3</w:t>
            </w:r>
            <w:r>
              <w:t>时，鱼类死亡率达到</w:t>
            </w:r>
            <w:r>
              <w:rPr>
                <w:rFonts w:hint="eastAsia"/>
              </w:rPr>
              <w:t>50%</w:t>
            </w:r>
            <w:r>
              <w:t>。当水</w:t>
            </w:r>
            <w:r>
              <w:rPr>
                <w:rFonts w:hint="eastAsia"/>
              </w:rPr>
              <w:t>流紊动强度过大时，</w:t>
            </w:r>
            <w:r>
              <w:t xml:space="preserve"> 鱼类不能维持正常的游动姿</w:t>
            </w:r>
            <w:r>
              <w:rPr>
                <w:rFonts w:hint="eastAsia"/>
              </w:rPr>
              <w:t>态，</w:t>
            </w:r>
            <w:r>
              <w:t>紊动强度适宜时，鱼类能够充分利用涡来提高</w:t>
            </w:r>
            <w:r>
              <w:rPr>
                <w:rFonts w:hint="eastAsia"/>
              </w:rPr>
              <w:t>自身的游动效率。根据《长江上游江津段产漂流性卵鱼类早期资源现状及繁殖需求》（2024），鱼类繁殖规模与水流量正相关、与透明度负相关。</w:t>
            </w:r>
          </w:p>
          <w:p>
            <w:pPr>
              <w:pStyle w:val="5"/>
              <w:ind w:firstLine="480"/>
            </w:pPr>
            <w:r>
              <w:rPr>
                <w:rFonts w:hint="eastAsia"/>
              </w:rPr>
              <w:t>项目不改变河流水动力因素，不改变河流水温，项目尾水排放可能导致河流水体透明度下降，但是项目排放尾水通过河流自净到达鱼类产卵场处时，《长江上游珍稀特有鱼类国家级自然保护区重要鱼类繁殖生态需求》（2014）</w:t>
            </w:r>
            <w:r>
              <w:t>岩原鲤</w:t>
            </w:r>
            <w:r>
              <w:rPr>
                <w:rFonts w:hint="eastAsia"/>
              </w:rPr>
              <w:t>、四大家鱼等鱼类繁殖对水质要求较高，根据预测产卵场水质质量满足</w:t>
            </w:r>
            <w:r>
              <w:rPr>
                <w:rFonts w:hint="eastAsia" w:ascii="宋体" w:hAnsi="宋体"/>
              </w:rPr>
              <w:t>Ⅲ</w:t>
            </w:r>
            <w:r>
              <w:rPr>
                <w:rFonts w:hint="eastAsia"/>
              </w:rPr>
              <w:t>类标准水质要求，且满足</w:t>
            </w:r>
            <w:r>
              <w:t>安全余量的要求</w:t>
            </w:r>
            <w:r>
              <w:rPr>
                <w:rFonts w:hint="eastAsia"/>
              </w:rPr>
              <w:t>，水体透明度变化不大，可满足鱼类对水质的需求，对鱼类繁殖影响小，所以</w:t>
            </w:r>
            <w:r>
              <w:t>，本项目在运营期间对产卵场影响较小。</w:t>
            </w:r>
          </w:p>
          <w:p>
            <w:pPr>
              <w:pStyle w:val="5"/>
              <w:ind w:firstLine="480"/>
            </w:pPr>
            <w:r>
              <w:rPr>
                <w:rFonts w:hint="eastAsia"/>
              </w:rPr>
              <w:t>二、越冬场、索饵场和洄游通道</w:t>
            </w:r>
          </w:p>
          <w:p>
            <w:pPr>
              <w:pStyle w:val="5"/>
              <w:ind w:firstLine="480"/>
            </w:pPr>
            <w:r>
              <w:rPr>
                <w:rFonts w:hint="eastAsia"/>
              </w:rPr>
              <w:t>项目尾水中含有营养物质可能导致索饵场区域</w:t>
            </w:r>
            <w:r>
              <w:t>浮游</w:t>
            </w:r>
            <w:r>
              <w:rPr>
                <w:rFonts w:hint="eastAsia"/>
              </w:rPr>
              <w:t>生物数量增加，增加鱼类饵料来源，项目尾水温度不高，不会改变河流自然温度，所以对鱼类索饵场影响小。</w:t>
            </w:r>
          </w:p>
          <w:p>
            <w:pPr>
              <w:pStyle w:val="5"/>
              <w:ind w:firstLine="480"/>
            </w:pPr>
            <w:r>
              <w:rPr>
                <w:rFonts w:hint="eastAsia"/>
              </w:rPr>
              <w:t>鱼类在夏秋季节经过索饵，体内贮藏着大量脂肪，为越冬提供能量。在越冬季节，少数鱼类会进入冬眠不吃食，其余鱼类虽食欲降低，但仍然会继续吃食。如鲴</w:t>
            </w:r>
            <w:r>
              <w:t xml:space="preserve"> 类 ，它们在冬季的食物十分匮乏，但它们大多在体内已贮积大量</w:t>
            </w:r>
            <w:r>
              <w:rPr>
                <w:rFonts w:hint="eastAsia"/>
              </w:rPr>
              <w:t>脂肪</w:t>
            </w:r>
            <w:r>
              <w:t>，它们进入越冬场后会停食以越冬；鲶鱼等肉食性种类，它们冬季则并不停食</w:t>
            </w:r>
            <w:r>
              <w:rPr>
                <w:rFonts w:hint="eastAsia"/>
              </w:rPr>
              <w:t>饵料主要</w:t>
            </w:r>
            <w:r>
              <w:t>为越冬场内越冬的一些小型鱼类，数量较多；</w:t>
            </w:r>
            <w:r>
              <w:rPr>
                <w:rFonts w:hint="eastAsia"/>
              </w:rPr>
              <w:t>项目不改变河流原有水文情况，不改变河段水温分布，项目排放营养物质会促进浮游植物等鱼类饵料生长，所以对鱼类越冬影响小。</w:t>
            </w:r>
          </w:p>
          <w:p>
            <w:pPr>
              <w:pStyle w:val="5"/>
              <w:ind w:firstLine="480"/>
            </w:pPr>
            <w:r>
              <w:rPr>
                <w:rFonts w:hint="eastAsia"/>
              </w:rPr>
              <w:t>项目不涉及水工构筑物，对河流流量改变小，不产生阻断作用，不会影响鱼类的洄游，对鱼类洄游通道影响小，不改变其时空分布。</w:t>
            </w:r>
          </w:p>
          <w:p>
            <w:pPr>
              <w:pStyle w:val="6"/>
              <w:spacing w:before="120" w:after="120"/>
            </w:pPr>
            <w:r>
              <w:rPr>
                <w:rFonts w:hint="eastAsia"/>
              </w:rPr>
              <w:t>生态保护措施</w:t>
            </w:r>
          </w:p>
          <w:p>
            <w:pPr>
              <w:pStyle w:val="5"/>
              <w:ind w:firstLine="480"/>
            </w:pPr>
            <w:r>
              <w:rPr>
                <w:rFonts w:hint="eastAsia"/>
              </w:rPr>
              <w:t>（1）加强监管，严格按环保要求施工，避免生活污水和废水事故排放，防止水生生物生境的污染事故发生。</w:t>
            </w:r>
          </w:p>
          <w:p>
            <w:pPr>
              <w:pStyle w:val="5"/>
              <w:ind w:firstLine="480"/>
            </w:pPr>
            <w:r>
              <w:rPr>
                <w:rFonts w:hint="eastAsia"/>
              </w:rPr>
              <w:t>（2）加强尾水监测，实时掌握尾水排放情况，坚决杜绝水污染事件的发生。</w:t>
            </w:r>
          </w:p>
          <w:p>
            <w:pPr>
              <w:pStyle w:val="5"/>
              <w:ind w:firstLine="480"/>
            </w:pPr>
            <w:r>
              <w:rPr>
                <w:rFonts w:hint="eastAsia"/>
              </w:rPr>
              <w:t>（3）根据《环境影响评价技术导则 生态影响》（HJ 19—2022），本项目可根据情况开展常规生态监测。</w:t>
            </w:r>
          </w:p>
          <w:p>
            <w:pPr>
              <w:pStyle w:val="6"/>
              <w:spacing w:before="120" w:after="120"/>
            </w:pPr>
            <w:r>
              <w:rPr>
                <w:rFonts w:hint="eastAsia"/>
              </w:rPr>
              <w:t>影响分析结论</w:t>
            </w:r>
          </w:p>
          <w:p>
            <w:pPr>
              <w:pStyle w:val="5"/>
              <w:ind w:firstLine="480"/>
            </w:pPr>
            <w:r>
              <w:rPr>
                <w:rFonts w:hint="eastAsia"/>
              </w:rPr>
              <w:t>区域内无国家和重庆市重点保护植物，无挂牌的古树名木，无易危、濒危、极危物种的分布，营运期项目在红线内运行，无临时占地，产生的废气通过大气扩散，对周围植物影响较小。项目周围类似原生境分布广泛，远离动物可找到新的适宜活动区域，所以对陆生动物影响小。项目不改变河流水动力因素，项目尾水排放可能导致河流水体透明度下降，但是项目排放尾水通过河流自净到达鱼类三场处时，水质质量满足</w:t>
            </w:r>
            <w:r>
              <w:rPr>
                <w:rFonts w:hint="eastAsia" w:ascii="宋体" w:hAnsi="宋体"/>
              </w:rPr>
              <w:t>Ⅲ</w:t>
            </w:r>
            <w:r>
              <w:rPr>
                <w:rFonts w:hint="eastAsia"/>
              </w:rPr>
              <w:t>类标准水质要求，且满足</w:t>
            </w:r>
            <w:r>
              <w:t>安全余量的要求</w:t>
            </w:r>
            <w:r>
              <w:rPr>
                <w:rFonts w:hint="eastAsia"/>
              </w:rPr>
              <w:t>，水体透明度变化不大，对水生生物及鱼类三场影响小。</w:t>
            </w:r>
          </w:p>
          <w:p>
            <w:pPr>
              <w:pStyle w:val="4"/>
              <w:spacing w:before="120" w:after="120"/>
            </w:pPr>
            <w:r>
              <w:rPr>
                <w:rFonts w:hint="eastAsia"/>
              </w:rPr>
              <w:t>环境风险</w:t>
            </w:r>
          </w:p>
          <w:p>
            <w:pPr>
              <w:pStyle w:val="6"/>
              <w:spacing w:before="120" w:after="120"/>
            </w:pPr>
            <w:bookmarkStart w:id="82" w:name="_Toc172739691"/>
            <w:r>
              <w:rPr>
                <w:rFonts w:hint="eastAsia"/>
              </w:rPr>
              <w:t>风险调查</w:t>
            </w:r>
            <w:bookmarkEnd w:id="82"/>
          </w:p>
          <w:p>
            <w:pPr>
              <w:pStyle w:val="5"/>
              <w:ind w:firstLine="480"/>
            </w:pPr>
            <w:r>
              <w:t>本项目所涉及物质主要为</w:t>
            </w:r>
            <w:r>
              <w:rPr>
                <w:rFonts w:hint="eastAsia"/>
              </w:rPr>
              <w:t>PAC、双氧水、PAM、机油、硫酸、氢氧化钠、硫酸亚铁、葡萄糖和谷氨酸</w:t>
            </w:r>
            <w:r>
              <w:t>以及危险废物。</w:t>
            </w:r>
            <w:r>
              <w:rPr>
                <w:rFonts w:hint="eastAsia"/>
              </w:rPr>
              <w:t>根据《建设项目环境风险评价技术导则》（</w:t>
            </w:r>
            <w:r>
              <w:t>HJ169-2018）附录B，项目涉及危险物质识别见</w:t>
            </w:r>
            <w:r>
              <w:fldChar w:fldCharType="begin"/>
            </w:r>
            <w:r>
              <w:instrText xml:space="preserve"> REF _Ref170457824 \h </w:instrText>
            </w:r>
            <w:r>
              <w:fldChar w:fldCharType="separate"/>
            </w:r>
            <w:r>
              <w:t>表 4.2</w:t>
            </w:r>
            <w:r>
              <w:noBreakHyphen/>
            </w:r>
            <w:r>
              <w:t>28</w:t>
            </w:r>
            <w:r>
              <w:fldChar w:fldCharType="end"/>
            </w:r>
            <w:r>
              <w:rPr>
                <w:rFonts w:hint="eastAsia"/>
              </w:rPr>
              <w:t>。</w:t>
            </w:r>
          </w:p>
          <w:p>
            <w:pPr>
              <w:pStyle w:val="14"/>
              <w:keepNext/>
            </w:pPr>
            <w:bookmarkStart w:id="83" w:name="_Ref170457824"/>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28</w:t>
            </w:r>
            <w:r>
              <w:fldChar w:fldCharType="end"/>
            </w:r>
            <w:bookmarkEnd w:id="83"/>
            <w:r>
              <w:rPr>
                <w:rFonts w:hint="eastAsia"/>
              </w:rPr>
              <w:t xml:space="preserve">   项目原辅料危险物质识别表</w:t>
            </w:r>
          </w:p>
          <w:tbl>
            <w:tblPr>
              <w:tblStyle w:val="3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45"/>
              <w:gridCol w:w="5157"/>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rPr>
                      <w:rFonts w:cs="Times New Roman"/>
                    </w:rPr>
                  </w:pPr>
                  <w:r>
                    <w:rPr>
                      <w:rFonts w:cs="Times New Roman"/>
                    </w:rPr>
                    <w:t>序号</w:t>
                  </w:r>
                </w:p>
              </w:tc>
              <w:tc>
                <w:tcPr>
                  <w:tcW w:w="1045" w:type="dxa"/>
                  <w:vAlign w:val="center"/>
                </w:tcPr>
                <w:p>
                  <w:pPr>
                    <w:pStyle w:val="63"/>
                    <w:rPr>
                      <w:rFonts w:cs="Times New Roman"/>
                    </w:rPr>
                  </w:pPr>
                  <w:r>
                    <w:rPr>
                      <w:rFonts w:cs="Times New Roman"/>
                    </w:rPr>
                    <w:t>名称</w:t>
                  </w:r>
                </w:p>
              </w:tc>
              <w:tc>
                <w:tcPr>
                  <w:tcW w:w="5157" w:type="dxa"/>
                  <w:vAlign w:val="center"/>
                </w:tcPr>
                <w:p>
                  <w:pPr>
                    <w:pStyle w:val="63"/>
                    <w:rPr>
                      <w:rFonts w:cs="Times New Roman"/>
                    </w:rPr>
                  </w:pPr>
                  <w:r>
                    <w:rPr>
                      <w:rFonts w:cs="Times New Roman"/>
                    </w:rPr>
                    <w:t>判定依据</w:t>
                  </w:r>
                </w:p>
              </w:tc>
              <w:tc>
                <w:tcPr>
                  <w:tcW w:w="1026" w:type="dxa"/>
                  <w:vAlign w:val="center"/>
                </w:tcPr>
                <w:p>
                  <w:pPr>
                    <w:pStyle w:val="63"/>
                    <w:rPr>
                      <w:rFonts w:cs="Times New Roman"/>
                    </w:rPr>
                  </w:pPr>
                  <w:r>
                    <w:rPr>
                      <w:rFonts w:cs="Times New Roman"/>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PAC</w:t>
                  </w:r>
                </w:p>
              </w:tc>
              <w:tc>
                <w:tcPr>
                  <w:tcW w:w="5157" w:type="dxa"/>
                  <w:vAlign w:val="center"/>
                </w:tcPr>
                <w:p>
                  <w:pPr>
                    <w:pStyle w:val="63"/>
                    <w:rPr>
                      <w:rFonts w:cs="Times New Roman"/>
                    </w:rPr>
                  </w:pPr>
                  <w:r>
                    <w:rPr>
                      <w:rFonts w:hint="eastAsia" w:cs="Times New Roman"/>
                    </w:rPr>
                    <w:t>未纳入</w:t>
                  </w:r>
                  <w:r>
                    <w:rPr>
                      <w:rFonts w:cs="Times New Roman"/>
                    </w:rPr>
                    <w:t>HJ169-2018环境风险物质，</w:t>
                  </w:r>
                  <w:r>
                    <w:rPr>
                      <w:rFonts w:hint="eastAsia"/>
                    </w:rPr>
                    <w:t>鱼类急性毒性试验LC</w:t>
                  </w:r>
                  <w:r>
                    <w:rPr>
                      <w:rFonts w:hint="eastAsia"/>
                      <w:vertAlign w:val="subscript"/>
                    </w:rPr>
                    <w:t>50</w:t>
                  </w:r>
                  <w:r>
                    <w:rPr>
                      <w:rFonts w:hint="eastAsia"/>
                    </w:rPr>
                    <w:t xml:space="preserve"> </w:t>
                  </w:r>
                  <w:r>
                    <w:t>=</w:t>
                  </w:r>
                  <w:r>
                    <w:rPr>
                      <w:rFonts w:hint="eastAsia"/>
                    </w:rPr>
                    <w:t xml:space="preserve"> 85.9 mg/L - 96 h,</w:t>
                  </w:r>
                  <w:r>
                    <w:rPr>
                      <w:rFonts w:hint="eastAsia" w:cs="Times New Roman"/>
                    </w:rPr>
                    <w:t xml:space="preserve"> 不属于</w:t>
                  </w:r>
                  <w:r>
                    <w:rPr>
                      <w:rFonts w:cs="Times New Roman"/>
                    </w:rPr>
                    <w:t>HJ169-2018</w:t>
                  </w:r>
                  <w:r>
                    <w:rPr>
                      <w:rFonts w:hint="eastAsia" w:cs="Times New Roman"/>
                    </w:rPr>
                    <w:t xml:space="preserve"> 表B.2其他危险物质</w:t>
                  </w:r>
                </w:p>
              </w:tc>
              <w:tc>
                <w:tcPr>
                  <w:tcW w:w="1026" w:type="dxa"/>
                  <w:vAlign w:val="center"/>
                </w:tcPr>
                <w:p>
                  <w:pPr>
                    <w:pStyle w:val="63"/>
                    <w:rPr>
                      <w:rFonts w:cs="Times New Roman"/>
                    </w:rPr>
                  </w:pPr>
                  <w:r>
                    <w:rPr>
                      <w:rFonts w:hint="eastAsia"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双氧水</w:t>
                  </w:r>
                </w:p>
              </w:tc>
              <w:tc>
                <w:tcPr>
                  <w:tcW w:w="5157" w:type="dxa"/>
                  <w:vAlign w:val="center"/>
                </w:tcPr>
                <w:p>
                  <w:pPr>
                    <w:pStyle w:val="63"/>
                    <w:rPr>
                      <w:rFonts w:cs="Times New Roman"/>
                    </w:rPr>
                  </w:pPr>
                  <w:r>
                    <w:rPr>
                      <w:rFonts w:hint="eastAsia" w:cs="Times New Roman"/>
                    </w:rPr>
                    <w:t>未纳入</w:t>
                  </w:r>
                  <w:r>
                    <w:rPr>
                      <w:rFonts w:cs="Times New Roman"/>
                    </w:rPr>
                    <w:t>HJ169-2018环境风险物质</w:t>
                  </w:r>
                  <w:r>
                    <w:rPr>
                      <w:rFonts w:hint="eastAsia" w:cs="Times New Roman"/>
                    </w:rPr>
                    <w:t>，</w:t>
                  </w:r>
                  <w:r>
                    <w:rPr>
                      <w:rFonts w:hint="eastAsia"/>
                    </w:rPr>
                    <w:t>急性毒性；</w:t>
                  </w:r>
                  <w:r>
                    <w:t>LD</w:t>
                  </w:r>
                  <w:r>
                    <w:rPr>
                      <w:vertAlign w:val="subscript"/>
                    </w:rPr>
                    <w:t>50</w:t>
                  </w:r>
                  <w:r>
                    <w:t>（大鼠食入 50%H</w:t>
                  </w:r>
                  <w:r>
                    <w:rPr>
                      <w:vertAlign w:val="subscript"/>
                    </w:rPr>
                    <w:t>2</w:t>
                  </w:r>
                  <w:r>
                    <w:t>O</w:t>
                  </w:r>
                  <w:r>
                    <w:rPr>
                      <w:vertAlign w:val="subscript"/>
                    </w:rPr>
                    <w:t>2</w:t>
                  </w:r>
                  <w:r>
                    <w:t>）＞225mg/Kg</w:t>
                  </w:r>
                  <w:r>
                    <w:rPr>
                      <w:rFonts w:hint="eastAsia"/>
                    </w:rPr>
                    <w:t>，属于</w:t>
                  </w:r>
                  <w:r>
                    <w:rPr>
                      <w:rFonts w:cs="Times New Roman"/>
                    </w:rPr>
                    <w:t>HJ169-2018</w:t>
                  </w:r>
                  <w:r>
                    <w:rPr>
                      <w:rFonts w:hint="eastAsia" w:cs="Times New Roman"/>
                    </w:rPr>
                    <w:t xml:space="preserve"> 表B.2其他危险物质中急性毒性物质类别3(50~300</w:t>
                  </w:r>
                  <w:r>
                    <w:t>mg/K</w:t>
                  </w:r>
                  <w:r>
                    <w:rPr>
                      <w:rFonts w:hint="eastAsia"/>
                    </w:rPr>
                    <w:t>g)</w:t>
                  </w:r>
                </w:p>
              </w:tc>
              <w:tc>
                <w:tcPr>
                  <w:tcW w:w="1026" w:type="dxa"/>
                  <w:vAlign w:val="center"/>
                </w:tcPr>
                <w:p>
                  <w:pPr>
                    <w:pStyle w:val="63"/>
                    <w:rPr>
                      <w:rFonts w:cs="Times New Roman"/>
                    </w:rPr>
                  </w:pPr>
                  <w:r>
                    <w:rPr>
                      <w:rFonts w:hint="eastAsia" w:cs="Times New Roma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PAM</w:t>
                  </w:r>
                </w:p>
              </w:tc>
              <w:tc>
                <w:tcPr>
                  <w:tcW w:w="5157" w:type="dxa"/>
                  <w:vAlign w:val="center"/>
                </w:tcPr>
                <w:p>
                  <w:pPr>
                    <w:pStyle w:val="63"/>
                    <w:rPr>
                      <w:rFonts w:cs="Times New Roman"/>
                    </w:rPr>
                  </w:pPr>
                  <w:r>
                    <w:rPr>
                      <w:rFonts w:hint="eastAsia" w:cs="Times New Roman"/>
                    </w:rPr>
                    <w:t>未纳入</w:t>
                  </w:r>
                  <w:r>
                    <w:rPr>
                      <w:rFonts w:cs="Times New Roman"/>
                    </w:rPr>
                    <w:t>HJ169-2018环境风险物质，</w:t>
                  </w:r>
                  <w:r>
                    <w:rPr>
                      <w:rFonts w:hint="eastAsia" w:cs="Times New Roman"/>
                    </w:rPr>
                    <w:t>急性毒性</w:t>
                  </w:r>
                  <w:r>
                    <w:t xml:space="preserve"> LD</w:t>
                  </w:r>
                  <w:r>
                    <w:rPr>
                      <w:vertAlign w:val="subscript"/>
                    </w:rPr>
                    <w:t>50</w:t>
                  </w:r>
                  <w:r>
                    <w:rPr>
                      <w:rFonts w:hint="eastAsia"/>
                    </w:rPr>
                    <w:t>（口服-鼠）=</w:t>
                  </w:r>
                  <w:r>
                    <w:t>1000</w:t>
                  </w:r>
                  <w:r>
                    <w:rPr>
                      <w:rFonts w:hint="eastAsia"/>
                    </w:rPr>
                    <w:t>m</w:t>
                  </w:r>
                  <w:r>
                    <w:t>g/kg</w:t>
                  </w:r>
                  <w:r>
                    <w:rPr>
                      <w:rFonts w:hint="eastAsia"/>
                    </w:rPr>
                    <w:t>，属于</w:t>
                  </w:r>
                  <w:r>
                    <w:rPr>
                      <w:rFonts w:hint="eastAsia" w:cs="Times New Roman"/>
                    </w:rPr>
                    <w:t>急性毒性物质类别4(300~2000</w:t>
                  </w:r>
                  <w:r>
                    <w:t>mg/K</w:t>
                  </w:r>
                  <w:r>
                    <w:rPr>
                      <w:rFonts w:hint="eastAsia"/>
                    </w:rPr>
                    <w:t>g)，不属于</w:t>
                  </w:r>
                  <w:r>
                    <w:rPr>
                      <w:rFonts w:cs="Times New Roman"/>
                    </w:rPr>
                    <w:t>HJ169-2018</w:t>
                  </w:r>
                  <w:r>
                    <w:rPr>
                      <w:rFonts w:hint="eastAsia" w:cs="Times New Roman"/>
                    </w:rPr>
                    <w:t xml:space="preserve"> 表B.2其他危险物质</w:t>
                  </w:r>
                </w:p>
              </w:tc>
              <w:tc>
                <w:tcPr>
                  <w:tcW w:w="1026" w:type="dxa"/>
                  <w:vAlign w:val="center"/>
                </w:tcPr>
                <w:p>
                  <w:pPr>
                    <w:pStyle w:val="63"/>
                    <w:rPr>
                      <w:rFonts w:cs="Times New Roman"/>
                    </w:rPr>
                  </w:pPr>
                  <w:r>
                    <w:rPr>
                      <w:rFonts w:hint="eastAsia"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机油</w:t>
                  </w:r>
                </w:p>
              </w:tc>
              <w:tc>
                <w:tcPr>
                  <w:tcW w:w="5157" w:type="dxa"/>
                  <w:vAlign w:val="center"/>
                </w:tcPr>
                <w:p>
                  <w:pPr>
                    <w:pStyle w:val="63"/>
                    <w:rPr>
                      <w:rFonts w:cs="Times New Roman"/>
                    </w:rPr>
                  </w:pPr>
                  <w:r>
                    <w:rPr>
                      <w:rFonts w:hint="eastAsia" w:cs="Times New Roman"/>
                    </w:rPr>
                    <w:t>纳入</w:t>
                  </w:r>
                  <w:r>
                    <w:rPr>
                      <w:rFonts w:cs="Times New Roman"/>
                    </w:rPr>
                    <w:t>HJ169-2018环境风险物质</w:t>
                  </w:r>
                </w:p>
              </w:tc>
              <w:tc>
                <w:tcPr>
                  <w:tcW w:w="1026" w:type="dxa"/>
                  <w:vAlign w:val="center"/>
                </w:tcPr>
                <w:p>
                  <w:pPr>
                    <w:pStyle w:val="63"/>
                    <w:rPr>
                      <w:rFonts w:cs="Times New Roman"/>
                    </w:rPr>
                  </w:pPr>
                  <w:r>
                    <w:rPr>
                      <w:rFonts w:hint="eastAsia" w:cs="Times New Roma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柴油</w:t>
                  </w:r>
                </w:p>
              </w:tc>
              <w:tc>
                <w:tcPr>
                  <w:tcW w:w="5157" w:type="dxa"/>
                  <w:vAlign w:val="center"/>
                </w:tcPr>
                <w:p>
                  <w:pPr>
                    <w:pStyle w:val="63"/>
                    <w:rPr>
                      <w:rFonts w:cs="Times New Roman"/>
                    </w:rPr>
                  </w:pPr>
                  <w:r>
                    <w:rPr>
                      <w:rFonts w:hint="eastAsia" w:cs="Times New Roman"/>
                    </w:rPr>
                    <w:t>纳入</w:t>
                  </w:r>
                  <w:r>
                    <w:rPr>
                      <w:rFonts w:cs="Times New Roman"/>
                    </w:rPr>
                    <w:t>HJ169-2018环境风险物质</w:t>
                  </w:r>
                </w:p>
              </w:tc>
              <w:tc>
                <w:tcPr>
                  <w:tcW w:w="1026" w:type="dxa"/>
                  <w:vAlign w:val="center"/>
                </w:tcPr>
                <w:p>
                  <w:pPr>
                    <w:pStyle w:val="63"/>
                    <w:rPr>
                      <w:rFonts w:cs="Times New Roman"/>
                    </w:rPr>
                  </w:pPr>
                  <w:r>
                    <w:rPr>
                      <w:rFonts w:hint="eastAsia" w:cs="Times New Roma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硫酸</w:t>
                  </w:r>
                </w:p>
              </w:tc>
              <w:tc>
                <w:tcPr>
                  <w:tcW w:w="5157" w:type="dxa"/>
                  <w:vAlign w:val="center"/>
                </w:tcPr>
                <w:p>
                  <w:pPr>
                    <w:pStyle w:val="63"/>
                    <w:rPr>
                      <w:rFonts w:cs="Times New Roman"/>
                    </w:rPr>
                  </w:pPr>
                  <w:r>
                    <w:rPr>
                      <w:rFonts w:hint="eastAsia" w:cs="Times New Roman"/>
                    </w:rPr>
                    <w:t>纳入</w:t>
                  </w:r>
                  <w:r>
                    <w:rPr>
                      <w:rFonts w:cs="Times New Roman"/>
                    </w:rPr>
                    <w:t>HJ169-2018环境风险物质</w:t>
                  </w:r>
                </w:p>
              </w:tc>
              <w:tc>
                <w:tcPr>
                  <w:tcW w:w="1026" w:type="dxa"/>
                  <w:vAlign w:val="center"/>
                </w:tcPr>
                <w:p>
                  <w:pPr>
                    <w:pStyle w:val="63"/>
                    <w:rPr>
                      <w:rFonts w:cs="Times New Roman"/>
                    </w:rPr>
                  </w:pPr>
                  <w:r>
                    <w:rPr>
                      <w:rFonts w:hint="eastAsia" w:cs="Times New Roma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氢氧化钠</w:t>
                  </w:r>
                </w:p>
              </w:tc>
              <w:tc>
                <w:tcPr>
                  <w:tcW w:w="5157" w:type="dxa"/>
                  <w:vAlign w:val="center"/>
                </w:tcPr>
                <w:p>
                  <w:pPr>
                    <w:pStyle w:val="63"/>
                    <w:rPr>
                      <w:rFonts w:cs="Times New Roman"/>
                    </w:rPr>
                  </w:pPr>
                  <w:r>
                    <w:rPr>
                      <w:rFonts w:hint="eastAsia" w:cs="Times New Roman"/>
                    </w:rPr>
                    <w:t>未纳入</w:t>
                  </w:r>
                  <w:r>
                    <w:rPr>
                      <w:rFonts w:cs="Times New Roman"/>
                    </w:rPr>
                    <w:t>HJ169-2018环境风险物质，</w:t>
                  </w:r>
                  <w:r>
                    <w:rPr>
                      <w:rFonts w:hint="eastAsia"/>
                    </w:rPr>
                    <w:t>急性毒性经口</w:t>
                  </w:r>
                  <w:r>
                    <w:t>: LD</w:t>
                  </w:r>
                  <w:r>
                    <w:rPr>
                      <w:vertAlign w:val="subscript"/>
                    </w:rPr>
                    <w:t>50</w:t>
                  </w:r>
                  <w:r>
                    <w:t xml:space="preserve"> - 325 mg/kg</w:t>
                  </w:r>
                  <w:r>
                    <w:rPr>
                      <w:rFonts w:hint="eastAsia"/>
                    </w:rPr>
                    <w:t>（兔），属于</w:t>
                  </w:r>
                  <w:r>
                    <w:rPr>
                      <w:rFonts w:hint="eastAsia" w:cs="Times New Roman"/>
                    </w:rPr>
                    <w:t>急性毒性物质类别4(300~2000</w:t>
                  </w:r>
                  <w:r>
                    <w:t>mg/K</w:t>
                  </w:r>
                  <w:r>
                    <w:rPr>
                      <w:rFonts w:hint="eastAsia"/>
                    </w:rPr>
                    <w:t>g)，不属于</w:t>
                  </w:r>
                  <w:r>
                    <w:rPr>
                      <w:rFonts w:cs="Times New Roman"/>
                    </w:rPr>
                    <w:t>HJ169-2018</w:t>
                  </w:r>
                  <w:r>
                    <w:rPr>
                      <w:rFonts w:hint="eastAsia" w:cs="Times New Roman"/>
                    </w:rPr>
                    <w:t xml:space="preserve"> 表B.2其他危险物质</w:t>
                  </w:r>
                </w:p>
              </w:tc>
              <w:tc>
                <w:tcPr>
                  <w:tcW w:w="1026" w:type="dxa"/>
                  <w:vAlign w:val="center"/>
                </w:tcPr>
                <w:p>
                  <w:pPr>
                    <w:pStyle w:val="63"/>
                    <w:rPr>
                      <w:rFonts w:cs="Times New Roman"/>
                    </w:rPr>
                  </w:pPr>
                  <w:r>
                    <w:rPr>
                      <w:rFonts w:hint="eastAsia"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硫酸亚铁</w:t>
                  </w:r>
                </w:p>
              </w:tc>
              <w:tc>
                <w:tcPr>
                  <w:tcW w:w="5157" w:type="dxa"/>
                  <w:vAlign w:val="center"/>
                </w:tcPr>
                <w:p>
                  <w:pPr>
                    <w:pStyle w:val="63"/>
                    <w:rPr>
                      <w:rFonts w:cs="Times New Roman"/>
                    </w:rPr>
                  </w:pPr>
                  <w:r>
                    <w:rPr>
                      <w:rFonts w:hint="eastAsia" w:cs="Times New Roman"/>
                    </w:rPr>
                    <w:t>未纳入</w:t>
                  </w:r>
                  <w:r>
                    <w:rPr>
                      <w:rFonts w:cs="Times New Roman"/>
                    </w:rPr>
                    <w:t>HJ169-2018环境风险物质，</w:t>
                  </w:r>
                  <w:r>
                    <w:rPr>
                      <w:rFonts w:hint="eastAsia" w:cs="Times New Roman"/>
                    </w:rPr>
                    <w:t>急</w:t>
                  </w:r>
                  <w:r>
                    <w:rPr>
                      <w:rFonts w:hint="eastAsia"/>
                    </w:rPr>
                    <w:t>性毒性LD</w:t>
                  </w:r>
                  <w:r>
                    <w:rPr>
                      <w:rFonts w:hint="eastAsia"/>
                      <w:vertAlign w:val="subscript"/>
                    </w:rPr>
                    <w:t>50</w:t>
                  </w:r>
                  <w:r>
                    <w:rPr>
                      <w:rFonts w:hint="eastAsia"/>
                    </w:rPr>
                    <w:t>=1520mg/kg（小鼠经口），属于</w:t>
                  </w:r>
                  <w:r>
                    <w:rPr>
                      <w:rFonts w:hint="eastAsia" w:cs="Times New Roman"/>
                    </w:rPr>
                    <w:t>急性毒性物质类别4(300~2000</w:t>
                  </w:r>
                  <w:r>
                    <w:t>mg/K</w:t>
                  </w:r>
                  <w:r>
                    <w:rPr>
                      <w:rFonts w:hint="eastAsia"/>
                    </w:rPr>
                    <w:t>g)，不属于</w:t>
                  </w:r>
                  <w:r>
                    <w:rPr>
                      <w:rFonts w:cs="Times New Roman"/>
                    </w:rPr>
                    <w:t>HJ169-2018</w:t>
                  </w:r>
                  <w:r>
                    <w:rPr>
                      <w:rFonts w:hint="eastAsia" w:cs="Times New Roman"/>
                    </w:rPr>
                    <w:t xml:space="preserve"> 表B.2其他危险物质</w:t>
                  </w:r>
                </w:p>
              </w:tc>
              <w:tc>
                <w:tcPr>
                  <w:tcW w:w="1026" w:type="dxa"/>
                  <w:vAlign w:val="center"/>
                </w:tcPr>
                <w:p>
                  <w:pPr>
                    <w:pStyle w:val="63"/>
                    <w:rPr>
                      <w:rFonts w:cs="Times New Roman"/>
                    </w:rPr>
                  </w:pPr>
                  <w:r>
                    <w:rPr>
                      <w:rFonts w:hint="eastAsia"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葡萄糖</w:t>
                  </w:r>
                </w:p>
              </w:tc>
              <w:tc>
                <w:tcPr>
                  <w:tcW w:w="5157" w:type="dxa"/>
                  <w:vAlign w:val="center"/>
                </w:tcPr>
                <w:p>
                  <w:pPr>
                    <w:pStyle w:val="63"/>
                    <w:rPr>
                      <w:rFonts w:cs="Times New Roman"/>
                    </w:rPr>
                  </w:pPr>
                  <w:r>
                    <w:rPr>
                      <w:rFonts w:hint="eastAsia" w:cs="Times New Roman"/>
                    </w:rPr>
                    <w:t>未纳入</w:t>
                  </w:r>
                  <w:r>
                    <w:rPr>
                      <w:rFonts w:cs="Times New Roman"/>
                    </w:rPr>
                    <w:t>HJ169-2018环境风险物质，</w:t>
                  </w:r>
                  <w:r>
                    <w:rPr>
                      <w:rFonts w:hint="eastAsia"/>
                    </w:rPr>
                    <w:t>不属于</w:t>
                  </w:r>
                  <w:r>
                    <w:rPr>
                      <w:rFonts w:cs="Times New Roman"/>
                    </w:rPr>
                    <w:t>HJ169-2018</w:t>
                  </w:r>
                  <w:r>
                    <w:rPr>
                      <w:rFonts w:hint="eastAsia" w:cs="Times New Roman"/>
                    </w:rPr>
                    <w:t xml:space="preserve"> 表B.2其他危险物质</w:t>
                  </w:r>
                </w:p>
              </w:tc>
              <w:tc>
                <w:tcPr>
                  <w:tcW w:w="1026" w:type="dxa"/>
                  <w:vAlign w:val="center"/>
                </w:tcPr>
                <w:p>
                  <w:pPr>
                    <w:pStyle w:val="63"/>
                    <w:rPr>
                      <w:rFonts w:cs="Times New Roman"/>
                    </w:rPr>
                  </w:pPr>
                  <w:r>
                    <w:rPr>
                      <w:rFonts w:hint="eastAsia"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rPr>
                      <w:rFonts w:hint="eastAsia" w:cs="Times New Roman"/>
                    </w:rPr>
                    <w:t>谷氨酸</w:t>
                  </w:r>
                </w:p>
              </w:tc>
              <w:tc>
                <w:tcPr>
                  <w:tcW w:w="5157" w:type="dxa"/>
                  <w:vAlign w:val="center"/>
                </w:tcPr>
                <w:p>
                  <w:pPr>
                    <w:pStyle w:val="63"/>
                    <w:rPr>
                      <w:rFonts w:cs="Times New Roman"/>
                    </w:rPr>
                  </w:pPr>
                  <w:r>
                    <w:rPr>
                      <w:rFonts w:hint="eastAsia" w:cs="Times New Roman"/>
                    </w:rPr>
                    <w:t>未纳入</w:t>
                  </w:r>
                  <w:r>
                    <w:rPr>
                      <w:rFonts w:cs="Times New Roman"/>
                    </w:rPr>
                    <w:t>HJ169-2018环境风险物质，</w:t>
                  </w:r>
                  <w:r>
                    <w:rPr>
                      <w:rFonts w:hint="eastAsia"/>
                    </w:rPr>
                    <w:t>急性毒性：经口</w:t>
                  </w:r>
                  <w:r>
                    <w:t>: LD</w:t>
                  </w:r>
                  <w:r>
                    <w:rPr>
                      <w:vertAlign w:val="subscript"/>
                    </w:rPr>
                    <w:t xml:space="preserve">50 </w:t>
                  </w:r>
                  <w:r>
                    <w:t xml:space="preserve">– </w:t>
                  </w:r>
                  <w:r>
                    <w:rPr>
                      <w:rFonts w:hint="eastAsia"/>
                    </w:rPr>
                    <w:t>兔</w:t>
                  </w:r>
                  <w:r>
                    <w:t xml:space="preserve"> - &gt; 5110 mg/kg bw.</w:t>
                  </w:r>
                  <w:r>
                    <w:rPr>
                      <w:rFonts w:hint="eastAsia"/>
                    </w:rPr>
                    <w:t xml:space="preserve"> 不属于</w:t>
                  </w:r>
                  <w:r>
                    <w:rPr>
                      <w:rFonts w:cs="Times New Roman"/>
                    </w:rPr>
                    <w:t>HJ169-2018</w:t>
                  </w:r>
                  <w:r>
                    <w:rPr>
                      <w:rFonts w:hint="eastAsia" w:cs="Times New Roman"/>
                    </w:rPr>
                    <w:t xml:space="preserve"> 表B.2其他危险物质</w:t>
                  </w:r>
                </w:p>
              </w:tc>
              <w:tc>
                <w:tcPr>
                  <w:tcW w:w="1026" w:type="dxa"/>
                  <w:vAlign w:val="center"/>
                </w:tcPr>
                <w:p>
                  <w:pPr>
                    <w:pStyle w:val="63"/>
                    <w:rPr>
                      <w:rFonts w:cs="Times New Roman"/>
                    </w:rPr>
                  </w:pPr>
                  <w:r>
                    <w:rPr>
                      <w:rFonts w:hint="eastAsia" w:cs="Times New Roma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10" w:type="dxa"/>
                  <w:vAlign w:val="center"/>
                </w:tcPr>
                <w:p>
                  <w:pPr>
                    <w:pStyle w:val="63"/>
                    <w:numPr>
                      <w:ilvl w:val="0"/>
                      <w:numId w:val="13"/>
                    </w:numPr>
                    <w:rPr>
                      <w:rFonts w:cs="Times New Roman"/>
                    </w:rPr>
                  </w:pPr>
                </w:p>
              </w:tc>
              <w:tc>
                <w:tcPr>
                  <w:tcW w:w="1045" w:type="dxa"/>
                  <w:vAlign w:val="center"/>
                </w:tcPr>
                <w:p>
                  <w:pPr>
                    <w:pStyle w:val="63"/>
                    <w:rPr>
                      <w:rFonts w:cs="Times New Roman"/>
                    </w:rPr>
                  </w:pPr>
                  <w:r>
                    <w:t>危险废物</w:t>
                  </w:r>
                </w:p>
              </w:tc>
              <w:tc>
                <w:tcPr>
                  <w:tcW w:w="5157" w:type="dxa"/>
                  <w:vAlign w:val="center"/>
                </w:tcPr>
                <w:p>
                  <w:pPr>
                    <w:pStyle w:val="63"/>
                    <w:rPr>
                      <w:rFonts w:cs="Times New Roman"/>
                    </w:rPr>
                  </w:pPr>
                  <w:r>
                    <w:rPr>
                      <w:rFonts w:hint="eastAsia" w:cs="Times New Roman"/>
                    </w:rPr>
                    <w:t>参照</w:t>
                  </w:r>
                  <w:r>
                    <w:rPr>
                      <w:rFonts w:cs="Times New Roman"/>
                    </w:rPr>
                    <w:t>HJ169-2018</w:t>
                  </w:r>
                  <w:r>
                    <w:rPr>
                      <w:rFonts w:hint="eastAsia" w:cs="Times New Roman"/>
                    </w:rPr>
                    <w:t xml:space="preserve"> 表B.2其他危险物质中健康危害急性毒性物质（类别2、类别3）</w:t>
                  </w:r>
                </w:p>
              </w:tc>
              <w:tc>
                <w:tcPr>
                  <w:tcW w:w="1026" w:type="dxa"/>
                  <w:vAlign w:val="center"/>
                </w:tcPr>
                <w:p>
                  <w:pPr>
                    <w:pStyle w:val="63"/>
                    <w:rPr>
                      <w:rFonts w:cs="Times New Roman"/>
                    </w:rPr>
                  </w:pPr>
                  <w:r>
                    <w:rPr>
                      <w:rFonts w:hint="eastAsia" w:cs="Times New Roman"/>
                    </w:rPr>
                    <w:t>是</w:t>
                  </w:r>
                </w:p>
              </w:tc>
            </w:tr>
          </w:tbl>
          <w:p>
            <w:pPr>
              <w:pStyle w:val="63"/>
            </w:pPr>
          </w:p>
          <w:p>
            <w:pPr>
              <w:pStyle w:val="5"/>
              <w:ind w:firstLine="480"/>
            </w:pPr>
            <w:r>
              <w:rPr>
                <w:rFonts w:hint="eastAsia"/>
              </w:rPr>
              <w:t>危险物质单元与储存量情况见</w:t>
            </w:r>
            <w:r>
              <w:fldChar w:fldCharType="begin"/>
            </w:r>
            <w:r>
              <w:instrText xml:space="preserve"> </w:instrText>
            </w:r>
            <w:r>
              <w:rPr>
                <w:rFonts w:hint="eastAsia"/>
              </w:rPr>
              <w:instrText xml:space="preserve">REF _Ref170457788 \h</w:instrText>
            </w:r>
            <w:r>
              <w:instrText xml:space="preserve"> </w:instrText>
            </w:r>
            <w:r>
              <w:fldChar w:fldCharType="separate"/>
            </w:r>
            <w:r>
              <w:t>表 4.2</w:t>
            </w:r>
            <w:r>
              <w:noBreakHyphen/>
            </w:r>
            <w:r>
              <w:t>29</w:t>
            </w:r>
            <w:r>
              <w:fldChar w:fldCharType="end"/>
            </w:r>
            <w:r>
              <w:rPr>
                <w:rFonts w:hint="eastAsia"/>
              </w:rPr>
              <w:t>。</w:t>
            </w:r>
          </w:p>
          <w:p>
            <w:pPr>
              <w:pStyle w:val="14"/>
              <w:keepNext/>
            </w:pPr>
            <w:bookmarkStart w:id="84" w:name="_Ref170457788"/>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29</w:t>
            </w:r>
            <w:r>
              <w:fldChar w:fldCharType="end"/>
            </w:r>
            <w:bookmarkEnd w:id="84"/>
            <w:r>
              <w:rPr>
                <w:rFonts w:hint="eastAsia"/>
              </w:rPr>
              <w:t xml:space="preserve">   危险物质单元与储存量情况</w:t>
            </w:r>
          </w:p>
          <w:tbl>
            <w:tblPr>
              <w:tblStyle w:val="3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781"/>
              <w:gridCol w:w="1476"/>
              <w:gridCol w:w="1222"/>
              <w:gridCol w:w="1532"/>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Align w:val="center"/>
                </w:tcPr>
                <w:p>
                  <w:pPr>
                    <w:pStyle w:val="63"/>
                    <w:rPr>
                      <w:rFonts w:cs="Times New Roman"/>
                    </w:rPr>
                  </w:pPr>
                  <w:r>
                    <w:rPr>
                      <w:rFonts w:cs="Times New Roman"/>
                    </w:rPr>
                    <w:t>序号</w:t>
                  </w:r>
                </w:p>
              </w:tc>
              <w:tc>
                <w:tcPr>
                  <w:tcW w:w="1781" w:type="dxa"/>
                  <w:vAlign w:val="center"/>
                </w:tcPr>
                <w:p>
                  <w:pPr>
                    <w:pStyle w:val="63"/>
                    <w:rPr>
                      <w:rFonts w:cs="Times New Roman"/>
                    </w:rPr>
                  </w:pPr>
                  <w:r>
                    <w:rPr>
                      <w:rFonts w:hint="eastAsia" w:cs="Times New Roman"/>
                    </w:rPr>
                    <w:t>危险单元</w:t>
                  </w:r>
                </w:p>
              </w:tc>
              <w:tc>
                <w:tcPr>
                  <w:tcW w:w="1476" w:type="dxa"/>
                  <w:vAlign w:val="center"/>
                </w:tcPr>
                <w:p>
                  <w:pPr>
                    <w:pStyle w:val="63"/>
                    <w:rPr>
                      <w:rFonts w:cs="Times New Roman"/>
                    </w:rPr>
                  </w:pPr>
                  <w:r>
                    <w:rPr>
                      <w:rFonts w:cs="Times New Roman"/>
                    </w:rPr>
                    <w:t>名称</w:t>
                  </w:r>
                </w:p>
              </w:tc>
              <w:tc>
                <w:tcPr>
                  <w:tcW w:w="1222" w:type="dxa"/>
                  <w:vAlign w:val="center"/>
                </w:tcPr>
                <w:p>
                  <w:pPr>
                    <w:pStyle w:val="63"/>
                    <w:rPr>
                      <w:rFonts w:cs="Times New Roman"/>
                    </w:rPr>
                  </w:pPr>
                  <w:r>
                    <w:rPr>
                      <w:rFonts w:cs="Times New Roman"/>
                    </w:rPr>
                    <w:t>贮存方式</w:t>
                  </w:r>
                </w:p>
              </w:tc>
              <w:tc>
                <w:tcPr>
                  <w:tcW w:w="1532" w:type="dxa"/>
                  <w:vAlign w:val="center"/>
                </w:tcPr>
                <w:p>
                  <w:pPr>
                    <w:pStyle w:val="63"/>
                    <w:rPr>
                      <w:rFonts w:cs="Times New Roman"/>
                    </w:rPr>
                  </w:pPr>
                  <w:r>
                    <w:rPr>
                      <w:rFonts w:cs="Times New Roman"/>
                    </w:rPr>
                    <w:t>最大贮存量t</w:t>
                  </w:r>
                </w:p>
              </w:tc>
              <w:tc>
                <w:tcPr>
                  <w:tcW w:w="1256" w:type="dxa"/>
                  <w:vAlign w:val="center"/>
                </w:tcPr>
                <w:p>
                  <w:pPr>
                    <w:pStyle w:val="63"/>
                    <w:rPr>
                      <w:rFonts w:cs="Times New Roman"/>
                    </w:rPr>
                  </w:pPr>
                  <w:r>
                    <w:rPr>
                      <w:rFonts w:cs="Times New Roman"/>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Align w:val="center"/>
                </w:tcPr>
                <w:p>
                  <w:pPr>
                    <w:pStyle w:val="63"/>
                    <w:numPr>
                      <w:ilvl w:val="0"/>
                      <w:numId w:val="14"/>
                    </w:numPr>
                    <w:rPr>
                      <w:rFonts w:cs="Times New Roman"/>
                    </w:rPr>
                  </w:pPr>
                </w:p>
              </w:tc>
              <w:tc>
                <w:tcPr>
                  <w:tcW w:w="1781" w:type="dxa"/>
                  <w:vMerge w:val="restart"/>
                  <w:vAlign w:val="center"/>
                </w:tcPr>
                <w:p>
                  <w:pPr>
                    <w:pStyle w:val="63"/>
                    <w:rPr>
                      <w:rFonts w:cs="Times New Roman"/>
                    </w:rPr>
                  </w:pPr>
                  <w:r>
                    <w:rPr>
                      <w:rFonts w:hint="eastAsia"/>
                    </w:rPr>
                    <w:t>储药及加药间</w:t>
                  </w:r>
                </w:p>
              </w:tc>
              <w:tc>
                <w:tcPr>
                  <w:tcW w:w="1476" w:type="dxa"/>
                  <w:vAlign w:val="center"/>
                </w:tcPr>
                <w:p>
                  <w:pPr>
                    <w:pStyle w:val="63"/>
                    <w:rPr>
                      <w:rFonts w:cs="Times New Roman"/>
                    </w:rPr>
                  </w:pPr>
                  <w:r>
                    <w:rPr>
                      <w:rFonts w:hint="eastAsia" w:cs="Times New Roman"/>
                    </w:rPr>
                    <w:t>双氧水</w:t>
                  </w:r>
                </w:p>
              </w:tc>
              <w:tc>
                <w:tcPr>
                  <w:tcW w:w="1222" w:type="dxa"/>
                  <w:vAlign w:val="center"/>
                </w:tcPr>
                <w:p>
                  <w:pPr>
                    <w:pStyle w:val="63"/>
                    <w:rPr>
                      <w:rFonts w:cs="Times New Roman"/>
                    </w:rPr>
                  </w:pPr>
                  <w:r>
                    <w:rPr>
                      <w:rFonts w:hint="eastAsia" w:cs="Times New Roman"/>
                    </w:rPr>
                    <w:t>罐装</w:t>
                  </w:r>
                </w:p>
              </w:tc>
              <w:tc>
                <w:tcPr>
                  <w:tcW w:w="1532" w:type="dxa"/>
                  <w:vAlign w:val="center"/>
                </w:tcPr>
                <w:p>
                  <w:pPr>
                    <w:pStyle w:val="63"/>
                    <w:rPr>
                      <w:rFonts w:cs="Times New Roman"/>
                    </w:rPr>
                  </w:pPr>
                  <w:r>
                    <w:rPr>
                      <w:rFonts w:hint="eastAsia" w:cs="Times New Roman"/>
                    </w:rPr>
                    <w:t>8</w:t>
                  </w:r>
                </w:p>
              </w:tc>
              <w:tc>
                <w:tcPr>
                  <w:tcW w:w="1256" w:type="dxa"/>
                  <w:vAlign w:val="center"/>
                </w:tcPr>
                <w:p>
                  <w:pPr>
                    <w:pStyle w:val="63"/>
                    <w:rPr>
                      <w:rFonts w:cs="Times New Roman"/>
                    </w:rPr>
                  </w:pPr>
                  <w:r>
                    <w:rPr>
                      <w:rFonts w:hint="eastAsia" w:cs="Times New Roma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Align w:val="center"/>
                </w:tcPr>
                <w:p>
                  <w:pPr>
                    <w:pStyle w:val="63"/>
                    <w:numPr>
                      <w:ilvl w:val="0"/>
                      <w:numId w:val="14"/>
                    </w:numPr>
                    <w:rPr>
                      <w:rFonts w:cs="Times New Roman"/>
                    </w:rPr>
                  </w:pPr>
                </w:p>
              </w:tc>
              <w:tc>
                <w:tcPr>
                  <w:tcW w:w="1781" w:type="dxa"/>
                  <w:vMerge w:val="continue"/>
                  <w:vAlign w:val="center"/>
                </w:tcPr>
                <w:p>
                  <w:pPr>
                    <w:pStyle w:val="63"/>
                  </w:pPr>
                </w:p>
              </w:tc>
              <w:tc>
                <w:tcPr>
                  <w:tcW w:w="1476" w:type="dxa"/>
                  <w:vAlign w:val="center"/>
                </w:tcPr>
                <w:p>
                  <w:pPr>
                    <w:pStyle w:val="63"/>
                    <w:rPr>
                      <w:rFonts w:cs="Times New Roman"/>
                    </w:rPr>
                  </w:pPr>
                  <w:r>
                    <w:rPr>
                      <w:rFonts w:hint="eastAsia" w:cs="Times New Roman"/>
                    </w:rPr>
                    <w:t>硫酸</w:t>
                  </w:r>
                </w:p>
              </w:tc>
              <w:tc>
                <w:tcPr>
                  <w:tcW w:w="1222" w:type="dxa"/>
                  <w:vAlign w:val="center"/>
                </w:tcPr>
                <w:p>
                  <w:pPr>
                    <w:pStyle w:val="63"/>
                    <w:rPr>
                      <w:rFonts w:cs="Times New Roman"/>
                    </w:rPr>
                  </w:pPr>
                  <w:r>
                    <w:rPr>
                      <w:rFonts w:hint="eastAsia" w:cs="Times New Roman"/>
                    </w:rPr>
                    <w:t>罐装</w:t>
                  </w:r>
                </w:p>
              </w:tc>
              <w:tc>
                <w:tcPr>
                  <w:tcW w:w="1532" w:type="dxa"/>
                  <w:vAlign w:val="center"/>
                </w:tcPr>
                <w:p>
                  <w:pPr>
                    <w:pStyle w:val="63"/>
                    <w:rPr>
                      <w:rFonts w:cs="Times New Roman"/>
                    </w:rPr>
                  </w:pPr>
                  <w:r>
                    <w:rPr>
                      <w:rFonts w:hint="eastAsia" w:cs="Times New Roman"/>
                    </w:rPr>
                    <w:t>0.6</w:t>
                  </w:r>
                </w:p>
              </w:tc>
              <w:tc>
                <w:tcPr>
                  <w:tcW w:w="1256" w:type="dxa"/>
                  <w:vAlign w:val="center"/>
                </w:tcPr>
                <w:p>
                  <w:pPr>
                    <w:pStyle w:val="63"/>
                    <w:rPr>
                      <w:rFonts w:cs="Times New Roman"/>
                    </w:rPr>
                  </w:pPr>
                  <w:r>
                    <w:rPr>
                      <w:rFonts w:hint="eastAsia" w:cs="Times New Roma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Align w:val="center"/>
                </w:tcPr>
                <w:p>
                  <w:pPr>
                    <w:pStyle w:val="63"/>
                    <w:numPr>
                      <w:ilvl w:val="0"/>
                      <w:numId w:val="14"/>
                    </w:numPr>
                    <w:rPr>
                      <w:rFonts w:cs="Times New Roman"/>
                    </w:rPr>
                  </w:pPr>
                </w:p>
              </w:tc>
              <w:tc>
                <w:tcPr>
                  <w:tcW w:w="1781" w:type="dxa"/>
                  <w:vMerge w:val="restart"/>
                  <w:vAlign w:val="center"/>
                </w:tcPr>
                <w:p>
                  <w:pPr>
                    <w:pStyle w:val="63"/>
                  </w:pPr>
                  <w:r>
                    <w:rPr>
                      <w:rFonts w:hint="eastAsia"/>
                    </w:rPr>
                    <w:t>维修和柴油发电机车间</w:t>
                  </w:r>
                </w:p>
              </w:tc>
              <w:tc>
                <w:tcPr>
                  <w:tcW w:w="1476" w:type="dxa"/>
                  <w:vAlign w:val="center"/>
                </w:tcPr>
                <w:p>
                  <w:pPr>
                    <w:pStyle w:val="63"/>
                    <w:rPr>
                      <w:rFonts w:cs="Times New Roman"/>
                    </w:rPr>
                  </w:pPr>
                  <w:r>
                    <w:rPr>
                      <w:rFonts w:hint="eastAsia" w:cs="Times New Roman"/>
                    </w:rPr>
                    <w:t>机油</w:t>
                  </w:r>
                </w:p>
              </w:tc>
              <w:tc>
                <w:tcPr>
                  <w:tcW w:w="1222" w:type="dxa"/>
                  <w:vAlign w:val="center"/>
                </w:tcPr>
                <w:p>
                  <w:pPr>
                    <w:pStyle w:val="63"/>
                    <w:rPr>
                      <w:rFonts w:cs="Times New Roman"/>
                    </w:rPr>
                  </w:pPr>
                  <w:r>
                    <w:rPr>
                      <w:rFonts w:hint="eastAsia" w:cs="Times New Roman"/>
                    </w:rPr>
                    <w:t>桶装</w:t>
                  </w:r>
                </w:p>
              </w:tc>
              <w:tc>
                <w:tcPr>
                  <w:tcW w:w="1532" w:type="dxa"/>
                  <w:vAlign w:val="center"/>
                </w:tcPr>
                <w:p>
                  <w:pPr>
                    <w:pStyle w:val="63"/>
                    <w:rPr>
                      <w:rFonts w:cs="Times New Roman"/>
                    </w:rPr>
                  </w:pPr>
                  <w:r>
                    <w:rPr>
                      <w:rFonts w:hint="eastAsia" w:cs="Times New Roman"/>
                    </w:rPr>
                    <w:t>0.3</w:t>
                  </w:r>
                </w:p>
              </w:tc>
              <w:tc>
                <w:tcPr>
                  <w:tcW w:w="1256" w:type="dxa"/>
                  <w:vAlign w:val="center"/>
                </w:tcPr>
                <w:p>
                  <w:pPr>
                    <w:pStyle w:val="63"/>
                    <w:rPr>
                      <w:rFonts w:cs="Times New Roman"/>
                    </w:rPr>
                  </w:pPr>
                  <w:r>
                    <w:rPr>
                      <w:rFonts w:hint="eastAsia" w:cs="Times New Roma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Align w:val="center"/>
                </w:tcPr>
                <w:p>
                  <w:pPr>
                    <w:pStyle w:val="63"/>
                    <w:numPr>
                      <w:ilvl w:val="0"/>
                      <w:numId w:val="14"/>
                    </w:numPr>
                    <w:rPr>
                      <w:rFonts w:cs="Times New Roman"/>
                    </w:rPr>
                  </w:pPr>
                </w:p>
              </w:tc>
              <w:tc>
                <w:tcPr>
                  <w:tcW w:w="1781" w:type="dxa"/>
                  <w:vMerge w:val="continue"/>
                  <w:vAlign w:val="center"/>
                </w:tcPr>
                <w:p>
                  <w:pPr>
                    <w:pStyle w:val="63"/>
                  </w:pPr>
                </w:p>
              </w:tc>
              <w:tc>
                <w:tcPr>
                  <w:tcW w:w="1476" w:type="dxa"/>
                  <w:vAlign w:val="center"/>
                </w:tcPr>
                <w:p>
                  <w:pPr>
                    <w:pStyle w:val="63"/>
                    <w:rPr>
                      <w:rFonts w:cs="Times New Roman"/>
                    </w:rPr>
                  </w:pPr>
                  <w:r>
                    <w:rPr>
                      <w:rFonts w:hint="eastAsia" w:cs="Times New Roman"/>
                    </w:rPr>
                    <w:t>柴油</w:t>
                  </w:r>
                </w:p>
              </w:tc>
              <w:tc>
                <w:tcPr>
                  <w:tcW w:w="1222" w:type="dxa"/>
                  <w:vAlign w:val="center"/>
                </w:tcPr>
                <w:p>
                  <w:pPr>
                    <w:pStyle w:val="63"/>
                    <w:rPr>
                      <w:rFonts w:cs="Times New Roman"/>
                    </w:rPr>
                  </w:pPr>
                  <w:r>
                    <w:rPr>
                      <w:rFonts w:hint="eastAsia" w:cs="Times New Roman"/>
                    </w:rPr>
                    <w:t>罐装</w:t>
                  </w:r>
                </w:p>
              </w:tc>
              <w:tc>
                <w:tcPr>
                  <w:tcW w:w="1532" w:type="dxa"/>
                  <w:vAlign w:val="center"/>
                </w:tcPr>
                <w:p>
                  <w:pPr>
                    <w:pStyle w:val="63"/>
                    <w:rPr>
                      <w:rFonts w:cs="Times New Roman"/>
                    </w:rPr>
                  </w:pPr>
                  <w:r>
                    <w:rPr>
                      <w:rFonts w:hint="eastAsia" w:cs="Times New Roman"/>
                    </w:rPr>
                    <w:t>0.85</w:t>
                  </w:r>
                </w:p>
              </w:tc>
              <w:tc>
                <w:tcPr>
                  <w:tcW w:w="1256" w:type="dxa"/>
                  <w:vAlign w:val="center"/>
                </w:tcPr>
                <w:p>
                  <w:pPr>
                    <w:pStyle w:val="63"/>
                    <w:rPr>
                      <w:rFonts w:cs="Times New Roman"/>
                    </w:rPr>
                  </w:pPr>
                  <w:r>
                    <w:rPr>
                      <w:rFonts w:hint="eastAsia" w:cs="Times New Roma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Align w:val="center"/>
                </w:tcPr>
                <w:p>
                  <w:pPr>
                    <w:pStyle w:val="63"/>
                    <w:numPr>
                      <w:ilvl w:val="0"/>
                      <w:numId w:val="14"/>
                    </w:numPr>
                    <w:rPr>
                      <w:rFonts w:cs="Times New Roman"/>
                    </w:rPr>
                  </w:pPr>
                </w:p>
              </w:tc>
              <w:tc>
                <w:tcPr>
                  <w:tcW w:w="1781" w:type="dxa"/>
                  <w:vAlign w:val="center"/>
                </w:tcPr>
                <w:p>
                  <w:pPr>
                    <w:pStyle w:val="63"/>
                    <w:rPr>
                      <w:rFonts w:cs="Times New Roman"/>
                    </w:rPr>
                  </w:pPr>
                  <w:r>
                    <w:rPr>
                      <w:rFonts w:hint="eastAsia" w:cs="Times New Roman"/>
                    </w:rPr>
                    <w:t>危险废物暂存间</w:t>
                  </w:r>
                </w:p>
              </w:tc>
              <w:tc>
                <w:tcPr>
                  <w:tcW w:w="1476" w:type="dxa"/>
                  <w:vAlign w:val="center"/>
                </w:tcPr>
                <w:p>
                  <w:pPr>
                    <w:pStyle w:val="63"/>
                    <w:rPr>
                      <w:rFonts w:cs="Times New Roman"/>
                    </w:rPr>
                  </w:pPr>
                  <w:r>
                    <w:rPr>
                      <w:rFonts w:hint="eastAsia" w:cs="Times New Roman"/>
                    </w:rPr>
                    <w:t>危险废物</w:t>
                  </w:r>
                </w:p>
              </w:tc>
              <w:tc>
                <w:tcPr>
                  <w:tcW w:w="1222" w:type="dxa"/>
                  <w:vAlign w:val="center"/>
                </w:tcPr>
                <w:p>
                  <w:pPr>
                    <w:pStyle w:val="63"/>
                    <w:rPr>
                      <w:rFonts w:cs="Times New Roman"/>
                    </w:rPr>
                  </w:pPr>
                  <w:r>
                    <w:rPr>
                      <w:rFonts w:hint="eastAsia" w:cs="Times New Roman"/>
                    </w:rPr>
                    <w:t>袋装/桶装</w:t>
                  </w:r>
                </w:p>
              </w:tc>
              <w:tc>
                <w:tcPr>
                  <w:tcW w:w="1532" w:type="dxa"/>
                  <w:vAlign w:val="center"/>
                </w:tcPr>
                <w:p>
                  <w:pPr>
                    <w:pStyle w:val="63"/>
                    <w:rPr>
                      <w:rFonts w:cs="Times New Roman"/>
                    </w:rPr>
                  </w:pPr>
                  <w:r>
                    <w:rPr>
                      <w:rFonts w:hint="eastAsia" w:cs="Times New Roman"/>
                    </w:rPr>
                    <w:t>3</w:t>
                  </w:r>
                </w:p>
              </w:tc>
              <w:tc>
                <w:tcPr>
                  <w:tcW w:w="1256" w:type="dxa"/>
                  <w:vAlign w:val="center"/>
                </w:tcPr>
                <w:p>
                  <w:pPr>
                    <w:pStyle w:val="63"/>
                    <w:rPr>
                      <w:rFonts w:cs="Times New Roman"/>
                    </w:rPr>
                  </w:pPr>
                  <w:r>
                    <w:rPr>
                      <w:rFonts w:hint="eastAsia" w:cs="Times New Roman"/>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38" w:type="dxa"/>
                  <w:gridSpan w:val="6"/>
                  <w:vAlign w:val="center"/>
                </w:tcPr>
                <w:p>
                  <w:pPr>
                    <w:pStyle w:val="64"/>
                  </w:pPr>
                  <w:r>
                    <w:rPr>
                      <w:rFonts w:hint="eastAsia"/>
                    </w:rPr>
                    <w:t>注：项目危险物质产生量5.2t，计划按6个月转运处置一次，故最大贮存约3t。</w:t>
                  </w:r>
                </w:p>
              </w:tc>
            </w:tr>
          </w:tbl>
          <w:p/>
          <w:p>
            <w:pPr>
              <w:pStyle w:val="6"/>
              <w:spacing w:before="120" w:after="120"/>
            </w:pPr>
            <w:r>
              <w:rPr>
                <w:rFonts w:hint="eastAsia"/>
              </w:rPr>
              <w:t>环境风险潜势初判和评价等级</w:t>
            </w:r>
          </w:p>
          <w:p>
            <w:pPr>
              <w:pStyle w:val="5"/>
              <w:ind w:firstLine="480"/>
              <w:rPr>
                <w:rFonts w:cs="Times New Roman"/>
              </w:rPr>
            </w:pPr>
            <w:r>
              <w:rPr>
                <w:rFonts w:cs="Times New Roman"/>
              </w:rPr>
              <w:t>计算所涉及的每种危险物质在厂界内的最大存在总量与其在附录B中对应临界量的比值Q。</w:t>
            </w:r>
          </w:p>
          <w:p>
            <w:pPr>
              <w:pStyle w:val="161"/>
              <w:widowControl w:val="0"/>
              <w:spacing w:line="360" w:lineRule="auto"/>
              <w:ind w:firstLine="480"/>
              <w:jc w:val="both"/>
              <w:rPr>
                <w:rFonts w:cs="Times New Roman"/>
                <w:snapToGrid w:val="0"/>
                <w:sz w:val="24"/>
                <w:szCs w:val="24"/>
              </w:rPr>
            </w:pPr>
            <w:r>
              <w:rPr>
                <w:rFonts w:cs="Times New Roman"/>
                <w:snapToGrid w:val="0"/>
                <w:sz w:val="24"/>
                <w:szCs w:val="24"/>
              </w:rPr>
              <w:t>当只涉及一种危险物质时，计算该物质的总量与其临界量比值，即为 Q；</w:t>
            </w:r>
          </w:p>
          <w:p>
            <w:pPr>
              <w:pStyle w:val="161"/>
              <w:widowControl w:val="0"/>
              <w:spacing w:line="360" w:lineRule="auto"/>
              <w:ind w:firstLine="480"/>
              <w:jc w:val="both"/>
              <w:rPr>
                <w:rFonts w:cs="Times New Roman"/>
                <w:snapToGrid w:val="0"/>
                <w:sz w:val="24"/>
                <w:szCs w:val="24"/>
              </w:rPr>
            </w:pPr>
            <w:r>
              <w:rPr>
                <w:rFonts w:cs="Times New Roman"/>
                <w:snapToGrid w:val="0"/>
                <w:sz w:val="24"/>
                <w:szCs w:val="24"/>
              </w:rPr>
              <w:t>当存在多种危险物质时，则按式计算物质总量与其临界量比值（Q）：</w:t>
            </w:r>
          </w:p>
          <w:p>
            <w:pPr>
              <w:pStyle w:val="5"/>
              <w:ind w:firstLine="480"/>
            </w:pPr>
            <w:r>
              <w:t>Q=q</w:t>
            </w:r>
            <w:r>
              <w:rPr>
                <w:vertAlign w:val="subscript"/>
              </w:rPr>
              <w:t>1</w:t>
            </w:r>
            <w:r>
              <w:t>/Q</w:t>
            </w:r>
            <w:r>
              <w:rPr>
                <w:vertAlign w:val="subscript"/>
              </w:rPr>
              <w:t>1</w:t>
            </w:r>
            <w:r>
              <w:t>+q</w:t>
            </w:r>
            <w:r>
              <w:rPr>
                <w:vertAlign w:val="subscript"/>
              </w:rPr>
              <w:t>2</w:t>
            </w:r>
            <w:r>
              <w:t>/Q</w:t>
            </w:r>
            <w:r>
              <w:rPr>
                <w:vertAlign w:val="subscript"/>
              </w:rPr>
              <w:t>2</w:t>
            </w:r>
            <w:r>
              <w:t>……+q</w:t>
            </w:r>
            <w:r>
              <w:rPr>
                <w:vertAlign w:val="subscript"/>
              </w:rPr>
              <w:t>n</w:t>
            </w:r>
            <w:r>
              <w:t>/Q</w:t>
            </w:r>
            <w:r>
              <w:rPr>
                <w:vertAlign w:val="subscript"/>
              </w:rPr>
              <w:t>n</w:t>
            </w:r>
          </w:p>
          <w:p>
            <w:pPr>
              <w:pStyle w:val="5"/>
              <w:ind w:firstLine="480"/>
              <w:rPr>
                <w:rFonts w:cs="Times New Roman"/>
              </w:rPr>
            </w:pPr>
            <w:r>
              <w:rPr>
                <w:rFonts w:cs="Times New Roman"/>
              </w:rPr>
              <w:t>式中：</w:t>
            </w:r>
          </w:p>
          <w:p>
            <w:pPr>
              <w:pStyle w:val="5"/>
              <w:ind w:firstLine="480"/>
              <w:rPr>
                <w:rFonts w:cs="Times New Roman"/>
              </w:rPr>
            </w:pPr>
            <w:r>
              <w:rPr>
                <w:rFonts w:cs="Times New Roman"/>
              </w:rPr>
              <w:t>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—每种危险化学品实际存在量，t；</w:t>
            </w:r>
          </w:p>
          <w:p>
            <w:pPr>
              <w:pStyle w:val="5"/>
              <w:ind w:firstLine="480"/>
              <w:rPr>
                <w:rFonts w:cs="Times New Roman"/>
              </w:rPr>
            </w:pPr>
            <w:r>
              <w:rPr>
                <w:rFonts w:cs="Times New Roman"/>
              </w:rPr>
              <w:t>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—与各危险化学品相对应的临界量，t。</w:t>
            </w:r>
          </w:p>
          <w:p>
            <w:pPr>
              <w:pStyle w:val="5"/>
              <w:ind w:firstLine="480"/>
              <w:rPr>
                <w:rFonts w:cs="Times New Roman"/>
              </w:rPr>
            </w:pPr>
            <w:r>
              <w:rPr>
                <w:rFonts w:cs="Times New Roman"/>
              </w:rPr>
              <w:t>当Q＜1时，该项目环境风险潜势为Ⅰ。</w:t>
            </w:r>
          </w:p>
          <w:p>
            <w:pPr>
              <w:pStyle w:val="5"/>
              <w:ind w:firstLine="480"/>
              <w:rPr>
                <w:rFonts w:cs="Times New Roman"/>
              </w:rPr>
            </w:pPr>
            <w:r>
              <w:rPr>
                <w:rFonts w:cs="Times New Roman"/>
              </w:rPr>
              <w:t>当Q≥1时，将 Q 值划分为：（1）1≤Q＜10；（2）10≤Q＜100；（3）Q≥100。</w:t>
            </w:r>
          </w:p>
          <w:p>
            <w:pPr>
              <w:pStyle w:val="5"/>
              <w:ind w:firstLine="480"/>
            </w:pPr>
            <w:r>
              <w:rPr>
                <w:rFonts w:hint="eastAsia"/>
              </w:rPr>
              <w:t>根据下表本项目的</w:t>
            </w:r>
            <w:r>
              <w:t>Q值</w:t>
            </w:r>
            <w:r>
              <w:rPr>
                <w:rFonts w:hint="eastAsia"/>
              </w:rPr>
              <w:t>小于</w:t>
            </w:r>
            <w:r>
              <w:t>1</w:t>
            </w:r>
            <w:r>
              <w:rPr>
                <w:rFonts w:hint="eastAsia"/>
              </w:rPr>
              <w:t>，</w:t>
            </w:r>
            <w:r>
              <w:rPr>
                <w:rFonts w:cs="Times New Roman"/>
              </w:rPr>
              <w:t>项目环境风险潜势为Ⅰ</w:t>
            </w:r>
            <w:r>
              <w:rPr>
                <w:rFonts w:hint="eastAsia"/>
              </w:rPr>
              <w:t>。</w:t>
            </w:r>
          </w:p>
          <w:p>
            <w:pPr>
              <w:pStyle w:val="14"/>
              <w:keepNext/>
            </w:pPr>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30</w:t>
            </w:r>
            <w:r>
              <w:fldChar w:fldCharType="end"/>
            </w:r>
            <w:r>
              <w:rPr>
                <w:rFonts w:hint="eastAsia"/>
              </w:rPr>
              <w:t xml:space="preserve">   本项目Q值计算</w:t>
            </w:r>
          </w:p>
          <w:tbl>
            <w:tblPr>
              <w:tblStyle w:val="39"/>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775"/>
              <w:gridCol w:w="1470"/>
              <w:gridCol w:w="1526"/>
              <w:gridCol w:w="1249"/>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pStyle w:val="63"/>
                    <w:rPr>
                      <w:rFonts w:cs="Times New Roman"/>
                    </w:rPr>
                  </w:pPr>
                  <w:r>
                    <w:rPr>
                      <w:rFonts w:cs="Times New Roman"/>
                    </w:rPr>
                    <w:t>序号</w:t>
                  </w:r>
                </w:p>
              </w:tc>
              <w:tc>
                <w:tcPr>
                  <w:tcW w:w="1775" w:type="dxa"/>
                  <w:vAlign w:val="center"/>
                </w:tcPr>
                <w:p>
                  <w:pPr>
                    <w:pStyle w:val="63"/>
                    <w:rPr>
                      <w:rFonts w:cs="Times New Roman"/>
                    </w:rPr>
                  </w:pPr>
                  <w:r>
                    <w:rPr>
                      <w:rFonts w:hint="eastAsia" w:cs="Times New Roman"/>
                    </w:rPr>
                    <w:t>危险单元</w:t>
                  </w:r>
                </w:p>
              </w:tc>
              <w:tc>
                <w:tcPr>
                  <w:tcW w:w="1470" w:type="dxa"/>
                  <w:vAlign w:val="center"/>
                </w:tcPr>
                <w:p>
                  <w:pPr>
                    <w:pStyle w:val="63"/>
                    <w:rPr>
                      <w:rFonts w:cs="Times New Roman"/>
                    </w:rPr>
                  </w:pPr>
                  <w:r>
                    <w:rPr>
                      <w:rFonts w:cs="Times New Roman"/>
                    </w:rPr>
                    <w:t>名称</w:t>
                  </w:r>
                </w:p>
              </w:tc>
              <w:tc>
                <w:tcPr>
                  <w:tcW w:w="1526" w:type="dxa"/>
                  <w:vAlign w:val="center"/>
                </w:tcPr>
                <w:p>
                  <w:pPr>
                    <w:pStyle w:val="63"/>
                    <w:rPr>
                      <w:rFonts w:cs="Times New Roman"/>
                    </w:rPr>
                  </w:pPr>
                  <w:r>
                    <w:rPr>
                      <w:rFonts w:cs="Times New Roman"/>
                    </w:rPr>
                    <w:t>最大贮存量t</w:t>
                  </w:r>
                </w:p>
              </w:tc>
              <w:tc>
                <w:tcPr>
                  <w:tcW w:w="1249" w:type="dxa"/>
                  <w:vAlign w:val="center"/>
                </w:tcPr>
                <w:p>
                  <w:pPr>
                    <w:pStyle w:val="63"/>
                    <w:rPr>
                      <w:rFonts w:cs="Times New Roman"/>
                    </w:rPr>
                  </w:pPr>
                  <w:r>
                    <w:rPr>
                      <w:rFonts w:hint="eastAsia" w:cs="Times New Roman"/>
                    </w:rPr>
                    <w:t>临界量t</w:t>
                  </w:r>
                </w:p>
              </w:tc>
              <w:tc>
                <w:tcPr>
                  <w:tcW w:w="1246" w:type="dxa"/>
                  <w:vAlign w:val="center"/>
                </w:tcPr>
                <w:p>
                  <w:pPr>
                    <w:pStyle w:val="63"/>
                    <w:rPr>
                      <w:rFonts w:cs="Times New Roman"/>
                    </w:rPr>
                  </w:pPr>
                  <w:r>
                    <w:rPr>
                      <w:rFonts w:hint="eastAsia" w:cs="Times New Roman"/>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pStyle w:val="63"/>
                    <w:numPr>
                      <w:ilvl w:val="0"/>
                      <w:numId w:val="15"/>
                    </w:numPr>
                    <w:rPr>
                      <w:rFonts w:cs="Times New Roman"/>
                    </w:rPr>
                  </w:pPr>
                </w:p>
              </w:tc>
              <w:tc>
                <w:tcPr>
                  <w:tcW w:w="1775" w:type="dxa"/>
                  <w:vMerge w:val="restart"/>
                  <w:vAlign w:val="center"/>
                </w:tcPr>
                <w:p>
                  <w:pPr>
                    <w:pStyle w:val="63"/>
                    <w:rPr>
                      <w:rFonts w:cs="Times New Roman"/>
                    </w:rPr>
                  </w:pPr>
                  <w:r>
                    <w:rPr>
                      <w:rFonts w:hint="eastAsia"/>
                    </w:rPr>
                    <w:t>储药及加药间</w:t>
                  </w:r>
                </w:p>
              </w:tc>
              <w:tc>
                <w:tcPr>
                  <w:tcW w:w="1470" w:type="dxa"/>
                  <w:vAlign w:val="center"/>
                </w:tcPr>
                <w:p>
                  <w:pPr>
                    <w:pStyle w:val="63"/>
                    <w:rPr>
                      <w:rFonts w:cs="Times New Roman"/>
                    </w:rPr>
                  </w:pPr>
                  <w:r>
                    <w:rPr>
                      <w:rFonts w:hint="eastAsia" w:cs="Times New Roman"/>
                    </w:rPr>
                    <w:t>双氧水</w:t>
                  </w:r>
                </w:p>
              </w:tc>
              <w:tc>
                <w:tcPr>
                  <w:tcW w:w="1526" w:type="dxa"/>
                  <w:vAlign w:val="center"/>
                </w:tcPr>
                <w:p>
                  <w:pPr>
                    <w:pStyle w:val="63"/>
                    <w:rPr>
                      <w:rFonts w:cs="Times New Roman"/>
                    </w:rPr>
                  </w:pPr>
                  <w:r>
                    <w:rPr>
                      <w:rFonts w:hint="eastAsia" w:cs="Times New Roman"/>
                    </w:rPr>
                    <w:t>8</w:t>
                  </w:r>
                </w:p>
              </w:tc>
              <w:tc>
                <w:tcPr>
                  <w:tcW w:w="1249" w:type="dxa"/>
                  <w:vAlign w:val="center"/>
                </w:tcPr>
                <w:p>
                  <w:pPr>
                    <w:pStyle w:val="63"/>
                    <w:rPr>
                      <w:rFonts w:cs="Times New Roman"/>
                    </w:rPr>
                  </w:pPr>
                  <w:r>
                    <w:rPr>
                      <w:rFonts w:hint="eastAsia" w:cs="Times New Roman"/>
                    </w:rPr>
                    <w:t>50</w:t>
                  </w:r>
                </w:p>
              </w:tc>
              <w:tc>
                <w:tcPr>
                  <w:tcW w:w="1246" w:type="dxa"/>
                </w:tcPr>
                <w:p>
                  <w:pPr>
                    <w:pStyle w:val="63"/>
                    <w:rPr>
                      <w:rFonts w:cs="Times New Roman"/>
                    </w:rPr>
                  </w:pPr>
                  <w: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pStyle w:val="63"/>
                    <w:numPr>
                      <w:ilvl w:val="0"/>
                      <w:numId w:val="15"/>
                    </w:numPr>
                    <w:rPr>
                      <w:rFonts w:cs="Times New Roman"/>
                    </w:rPr>
                  </w:pPr>
                </w:p>
              </w:tc>
              <w:tc>
                <w:tcPr>
                  <w:tcW w:w="1775" w:type="dxa"/>
                  <w:vMerge w:val="continue"/>
                  <w:vAlign w:val="center"/>
                </w:tcPr>
                <w:p>
                  <w:pPr>
                    <w:pStyle w:val="63"/>
                  </w:pPr>
                </w:p>
              </w:tc>
              <w:tc>
                <w:tcPr>
                  <w:tcW w:w="1470" w:type="dxa"/>
                  <w:vAlign w:val="center"/>
                </w:tcPr>
                <w:p>
                  <w:pPr>
                    <w:pStyle w:val="63"/>
                    <w:rPr>
                      <w:rFonts w:cs="Times New Roman"/>
                    </w:rPr>
                  </w:pPr>
                  <w:r>
                    <w:rPr>
                      <w:rFonts w:hint="eastAsia" w:cs="Times New Roman"/>
                    </w:rPr>
                    <w:t>硫酸</w:t>
                  </w:r>
                </w:p>
              </w:tc>
              <w:tc>
                <w:tcPr>
                  <w:tcW w:w="1526" w:type="dxa"/>
                  <w:vAlign w:val="center"/>
                </w:tcPr>
                <w:p>
                  <w:pPr>
                    <w:pStyle w:val="63"/>
                    <w:rPr>
                      <w:rFonts w:cs="Times New Roman"/>
                    </w:rPr>
                  </w:pPr>
                  <w:r>
                    <w:rPr>
                      <w:rFonts w:hint="eastAsia" w:cs="Times New Roman"/>
                    </w:rPr>
                    <w:t>0.6</w:t>
                  </w:r>
                </w:p>
              </w:tc>
              <w:tc>
                <w:tcPr>
                  <w:tcW w:w="1249" w:type="dxa"/>
                  <w:vAlign w:val="center"/>
                </w:tcPr>
                <w:p>
                  <w:pPr>
                    <w:pStyle w:val="63"/>
                    <w:rPr>
                      <w:rFonts w:cs="Times New Roman"/>
                    </w:rPr>
                  </w:pPr>
                  <w:r>
                    <w:rPr>
                      <w:rFonts w:hint="eastAsia" w:cs="Times New Roman"/>
                    </w:rPr>
                    <w:t>10</w:t>
                  </w:r>
                </w:p>
              </w:tc>
              <w:tc>
                <w:tcPr>
                  <w:tcW w:w="1246" w:type="dxa"/>
                </w:tcPr>
                <w:p>
                  <w:pPr>
                    <w:pStyle w:val="63"/>
                    <w:rPr>
                      <w:rFonts w:cs="Times New Roman"/>
                    </w:rPr>
                  </w:pPr>
                  <w: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pStyle w:val="63"/>
                    <w:numPr>
                      <w:ilvl w:val="0"/>
                      <w:numId w:val="15"/>
                    </w:numPr>
                    <w:rPr>
                      <w:rFonts w:cs="Times New Roman"/>
                    </w:rPr>
                  </w:pPr>
                </w:p>
              </w:tc>
              <w:tc>
                <w:tcPr>
                  <w:tcW w:w="1775" w:type="dxa"/>
                  <w:vMerge w:val="restart"/>
                  <w:vAlign w:val="center"/>
                </w:tcPr>
                <w:p>
                  <w:pPr>
                    <w:pStyle w:val="63"/>
                  </w:pPr>
                  <w:r>
                    <w:rPr>
                      <w:rFonts w:hint="eastAsia"/>
                    </w:rPr>
                    <w:t>维修和柴油发电机车间</w:t>
                  </w:r>
                </w:p>
              </w:tc>
              <w:tc>
                <w:tcPr>
                  <w:tcW w:w="1470" w:type="dxa"/>
                  <w:vAlign w:val="center"/>
                </w:tcPr>
                <w:p>
                  <w:pPr>
                    <w:pStyle w:val="63"/>
                    <w:rPr>
                      <w:rFonts w:cs="Times New Roman"/>
                    </w:rPr>
                  </w:pPr>
                  <w:r>
                    <w:rPr>
                      <w:rFonts w:hint="eastAsia" w:cs="Times New Roman"/>
                    </w:rPr>
                    <w:t>机油</w:t>
                  </w:r>
                </w:p>
              </w:tc>
              <w:tc>
                <w:tcPr>
                  <w:tcW w:w="1526" w:type="dxa"/>
                  <w:vAlign w:val="center"/>
                </w:tcPr>
                <w:p>
                  <w:pPr>
                    <w:pStyle w:val="63"/>
                    <w:rPr>
                      <w:rFonts w:cs="Times New Roman"/>
                    </w:rPr>
                  </w:pPr>
                  <w:r>
                    <w:rPr>
                      <w:rFonts w:hint="eastAsia" w:cs="Times New Roman"/>
                    </w:rPr>
                    <w:t>0.3</w:t>
                  </w:r>
                </w:p>
              </w:tc>
              <w:tc>
                <w:tcPr>
                  <w:tcW w:w="1249" w:type="dxa"/>
                  <w:vAlign w:val="center"/>
                </w:tcPr>
                <w:p>
                  <w:pPr>
                    <w:pStyle w:val="63"/>
                    <w:rPr>
                      <w:rFonts w:cs="Times New Roman"/>
                    </w:rPr>
                  </w:pPr>
                  <w:r>
                    <w:rPr>
                      <w:rFonts w:hint="eastAsia" w:cs="Times New Roman"/>
                    </w:rPr>
                    <w:t>2500</w:t>
                  </w:r>
                </w:p>
              </w:tc>
              <w:tc>
                <w:tcPr>
                  <w:tcW w:w="1246" w:type="dxa"/>
                </w:tcPr>
                <w:p>
                  <w:pPr>
                    <w:pStyle w:val="63"/>
                    <w:rPr>
                      <w:rFonts w:cs="Times New Roman"/>
                    </w:rPr>
                  </w:pPr>
                  <w:r>
                    <w: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pStyle w:val="63"/>
                    <w:numPr>
                      <w:ilvl w:val="0"/>
                      <w:numId w:val="15"/>
                    </w:numPr>
                    <w:rPr>
                      <w:rFonts w:cs="Times New Roman"/>
                    </w:rPr>
                  </w:pPr>
                </w:p>
              </w:tc>
              <w:tc>
                <w:tcPr>
                  <w:tcW w:w="1775" w:type="dxa"/>
                  <w:vMerge w:val="continue"/>
                  <w:vAlign w:val="center"/>
                </w:tcPr>
                <w:p>
                  <w:pPr>
                    <w:pStyle w:val="63"/>
                  </w:pPr>
                </w:p>
              </w:tc>
              <w:tc>
                <w:tcPr>
                  <w:tcW w:w="1470" w:type="dxa"/>
                  <w:vAlign w:val="center"/>
                </w:tcPr>
                <w:p>
                  <w:pPr>
                    <w:pStyle w:val="63"/>
                    <w:rPr>
                      <w:rFonts w:cs="Times New Roman"/>
                    </w:rPr>
                  </w:pPr>
                  <w:r>
                    <w:rPr>
                      <w:rFonts w:hint="eastAsia" w:cs="Times New Roman"/>
                    </w:rPr>
                    <w:t>柴油</w:t>
                  </w:r>
                </w:p>
              </w:tc>
              <w:tc>
                <w:tcPr>
                  <w:tcW w:w="1526" w:type="dxa"/>
                  <w:vAlign w:val="center"/>
                </w:tcPr>
                <w:p>
                  <w:pPr>
                    <w:pStyle w:val="63"/>
                    <w:rPr>
                      <w:rFonts w:cs="Times New Roman"/>
                    </w:rPr>
                  </w:pPr>
                  <w:r>
                    <w:rPr>
                      <w:rFonts w:hint="eastAsia" w:cs="Times New Roman"/>
                    </w:rPr>
                    <w:t>0.85</w:t>
                  </w:r>
                </w:p>
              </w:tc>
              <w:tc>
                <w:tcPr>
                  <w:tcW w:w="1249" w:type="dxa"/>
                  <w:vAlign w:val="center"/>
                </w:tcPr>
                <w:p>
                  <w:pPr>
                    <w:pStyle w:val="63"/>
                    <w:rPr>
                      <w:rFonts w:cs="Times New Roman"/>
                    </w:rPr>
                  </w:pPr>
                  <w:r>
                    <w:rPr>
                      <w:rFonts w:hint="eastAsia" w:cs="Times New Roman"/>
                    </w:rPr>
                    <w:t>2500</w:t>
                  </w:r>
                </w:p>
              </w:tc>
              <w:tc>
                <w:tcPr>
                  <w:tcW w:w="1246" w:type="dxa"/>
                </w:tcPr>
                <w:p>
                  <w:pPr>
                    <w:pStyle w:val="63"/>
                    <w:rPr>
                      <w:rFonts w:cs="Times New Roman"/>
                    </w:rPr>
                  </w:pPr>
                  <w:r>
                    <w:t>0.00034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pStyle w:val="63"/>
                    <w:numPr>
                      <w:ilvl w:val="0"/>
                      <w:numId w:val="15"/>
                    </w:numPr>
                    <w:rPr>
                      <w:rFonts w:cs="Times New Roman"/>
                    </w:rPr>
                  </w:pPr>
                </w:p>
              </w:tc>
              <w:tc>
                <w:tcPr>
                  <w:tcW w:w="1775" w:type="dxa"/>
                  <w:vAlign w:val="center"/>
                </w:tcPr>
                <w:p>
                  <w:pPr>
                    <w:pStyle w:val="63"/>
                    <w:rPr>
                      <w:rFonts w:cs="Times New Roman"/>
                    </w:rPr>
                  </w:pPr>
                  <w:r>
                    <w:rPr>
                      <w:rFonts w:hint="eastAsia" w:cs="Times New Roman"/>
                    </w:rPr>
                    <w:t>危险废物暂存间</w:t>
                  </w:r>
                </w:p>
              </w:tc>
              <w:tc>
                <w:tcPr>
                  <w:tcW w:w="1470" w:type="dxa"/>
                  <w:vAlign w:val="center"/>
                </w:tcPr>
                <w:p>
                  <w:pPr>
                    <w:pStyle w:val="63"/>
                    <w:rPr>
                      <w:rFonts w:cs="Times New Roman"/>
                    </w:rPr>
                  </w:pPr>
                  <w:r>
                    <w:rPr>
                      <w:rFonts w:hint="eastAsia" w:cs="Times New Roman"/>
                    </w:rPr>
                    <w:t>危险废物</w:t>
                  </w:r>
                </w:p>
              </w:tc>
              <w:tc>
                <w:tcPr>
                  <w:tcW w:w="1526" w:type="dxa"/>
                  <w:vAlign w:val="center"/>
                </w:tcPr>
                <w:p>
                  <w:pPr>
                    <w:pStyle w:val="63"/>
                    <w:rPr>
                      <w:rFonts w:cs="Times New Roman"/>
                    </w:rPr>
                  </w:pPr>
                  <w:r>
                    <w:rPr>
                      <w:rFonts w:hint="eastAsia" w:cs="Times New Roman"/>
                    </w:rPr>
                    <w:t>3</w:t>
                  </w:r>
                </w:p>
              </w:tc>
              <w:tc>
                <w:tcPr>
                  <w:tcW w:w="1249" w:type="dxa"/>
                  <w:vAlign w:val="center"/>
                </w:tcPr>
                <w:p>
                  <w:pPr>
                    <w:pStyle w:val="63"/>
                    <w:rPr>
                      <w:rFonts w:cs="Times New Roman"/>
                    </w:rPr>
                  </w:pPr>
                  <w:r>
                    <w:rPr>
                      <w:rFonts w:hint="eastAsia" w:cs="Times New Roman"/>
                    </w:rPr>
                    <w:t>50</w:t>
                  </w:r>
                </w:p>
              </w:tc>
              <w:tc>
                <w:tcPr>
                  <w:tcW w:w="1246" w:type="dxa"/>
                </w:tcPr>
                <w:p>
                  <w:pPr>
                    <w:pStyle w:val="63"/>
                    <w:rPr>
                      <w:rFonts w:cs="Times New Roman"/>
                    </w:rPr>
                  </w:pPr>
                  <w: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2" w:type="dxa"/>
                  <w:vAlign w:val="center"/>
                </w:tcPr>
                <w:p>
                  <w:pPr>
                    <w:pStyle w:val="63"/>
                    <w:numPr>
                      <w:ilvl w:val="0"/>
                      <w:numId w:val="15"/>
                    </w:numPr>
                    <w:rPr>
                      <w:rFonts w:cs="Times New Roman"/>
                    </w:rPr>
                  </w:pPr>
                </w:p>
              </w:tc>
              <w:tc>
                <w:tcPr>
                  <w:tcW w:w="1775" w:type="dxa"/>
                  <w:vAlign w:val="center"/>
                </w:tcPr>
                <w:p>
                  <w:pPr>
                    <w:pStyle w:val="63"/>
                    <w:rPr>
                      <w:rFonts w:cs="Times New Roman"/>
                    </w:rPr>
                  </w:pPr>
                  <w:r>
                    <w:rPr>
                      <w:rFonts w:hint="eastAsia" w:cs="Times New Roman"/>
                    </w:rPr>
                    <w:t>合计</w:t>
                  </w:r>
                </w:p>
              </w:tc>
              <w:tc>
                <w:tcPr>
                  <w:tcW w:w="1470" w:type="dxa"/>
                  <w:vAlign w:val="center"/>
                </w:tcPr>
                <w:p>
                  <w:pPr>
                    <w:pStyle w:val="63"/>
                    <w:rPr>
                      <w:rFonts w:cs="Times New Roman"/>
                    </w:rPr>
                  </w:pPr>
                  <w:r>
                    <w:rPr>
                      <w:rFonts w:hint="eastAsia" w:cs="Times New Roman"/>
                    </w:rPr>
                    <w:t>-</w:t>
                  </w:r>
                </w:p>
              </w:tc>
              <w:tc>
                <w:tcPr>
                  <w:tcW w:w="1526" w:type="dxa"/>
                  <w:vAlign w:val="center"/>
                </w:tcPr>
                <w:p>
                  <w:pPr>
                    <w:pStyle w:val="63"/>
                    <w:rPr>
                      <w:rFonts w:cs="Times New Roman"/>
                    </w:rPr>
                  </w:pPr>
                  <w:r>
                    <w:rPr>
                      <w:rFonts w:hint="eastAsia" w:cs="Times New Roman"/>
                    </w:rPr>
                    <w:t>-</w:t>
                  </w:r>
                </w:p>
              </w:tc>
              <w:tc>
                <w:tcPr>
                  <w:tcW w:w="1249" w:type="dxa"/>
                  <w:vAlign w:val="center"/>
                </w:tcPr>
                <w:p>
                  <w:pPr>
                    <w:pStyle w:val="63"/>
                    <w:rPr>
                      <w:rFonts w:cs="Times New Roman"/>
                    </w:rPr>
                  </w:pPr>
                  <w:r>
                    <w:rPr>
                      <w:rFonts w:hint="eastAsia" w:cs="Times New Roman"/>
                    </w:rPr>
                    <w:t>-</w:t>
                  </w:r>
                </w:p>
              </w:tc>
              <w:tc>
                <w:tcPr>
                  <w:tcW w:w="1246" w:type="dxa"/>
                  <w:vAlign w:val="center"/>
                </w:tcPr>
                <w:p>
                  <w:pPr>
                    <w:pStyle w:val="63"/>
                    <w:rPr>
                      <w:rFonts w:cs="Times New Roman"/>
                    </w:rPr>
                  </w:pPr>
                  <w:r>
                    <w:rPr>
                      <w:rFonts w:hint="eastAsia" w:cs="Times New Roman"/>
                    </w:rPr>
                    <w:t>0.28</w:t>
                  </w:r>
                </w:p>
              </w:tc>
            </w:tr>
          </w:tbl>
          <w:p/>
          <w:p>
            <w:pPr>
              <w:pStyle w:val="6"/>
              <w:spacing w:before="120" w:after="120"/>
            </w:pPr>
            <w:r>
              <w:rPr>
                <w:rFonts w:hint="eastAsia"/>
              </w:rPr>
              <w:t>环境敏感目标概况</w:t>
            </w:r>
          </w:p>
          <w:p>
            <w:pPr>
              <w:pStyle w:val="5"/>
              <w:ind w:firstLine="480"/>
            </w:pPr>
            <w:r>
              <w:rPr>
                <w:rFonts w:hint="eastAsia"/>
              </w:rPr>
              <w:t>项目环境敏感目标概况见3.2。</w:t>
            </w:r>
          </w:p>
          <w:p>
            <w:pPr>
              <w:pStyle w:val="6"/>
              <w:spacing w:before="120" w:after="120"/>
            </w:pPr>
            <w:r>
              <w:rPr>
                <w:rFonts w:hint="eastAsia"/>
              </w:rPr>
              <w:t>环境风险识别</w:t>
            </w:r>
          </w:p>
          <w:p>
            <w:pPr>
              <w:pStyle w:val="5"/>
              <w:numPr>
                <w:ilvl w:val="0"/>
                <w:numId w:val="16"/>
              </w:numPr>
              <w:ind w:firstLineChars="0"/>
            </w:pPr>
            <w:r>
              <w:rPr>
                <w:rFonts w:hint="eastAsia"/>
              </w:rPr>
              <w:t>物质危险性识别</w:t>
            </w:r>
          </w:p>
          <w:p>
            <w:pPr>
              <w:pStyle w:val="5"/>
              <w:ind w:firstLine="480"/>
            </w:pPr>
            <w:r>
              <w:rPr>
                <w:rFonts w:hint="eastAsia"/>
              </w:rPr>
              <w:t>根据《危险化学品目录（</w:t>
            </w:r>
            <w:r>
              <w:t>2022年调整版》及《建设项目环境风险评价技术导则》（HJ169-2018）附录B等相关文件，本项目原辅材料涉及的危险化学品</w:t>
            </w:r>
            <w:r>
              <w:rPr>
                <w:rFonts w:hint="eastAsia"/>
              </w:rPr>
              <w:t>理化性质见</w:t>
            </w:r>
            <w:r>
              <w:fldChar w:fldCharType="begin"/>
            </w:r>
            <w:r>
              <w:instrText xml:space="preserve"> </w:instrText>
            </w:r>
            <w:r>
              <w:rPr>
                <w:rFonts w:hint="eastAsia"/>
              </w:rPr>
              <w:instrText xml:space="preserve">REF _Ref171343225 \h</w:instrText>
            </w:r>
            <w:r>
              <w:instrText xml:space="preserve"> </w:instrText>
            </w:r>
            <w:r>
              <w:fldChar w:fldCharType="separate"/>
            </w:r>
            <w:r>
              <w:t>表 4.2</w:t>
            </w:r>
            <w:r>
              <w:noBreakHyphen/>
            </w:r>
            <w:r>
              <w:t>31</w:t>
            </w:r>
            <w:r>
              <w:fldChar w:fldCharType="end"/>
            </w:r>
            <w:r>
              <w:rPr>
                <w:rFonts w:hint="eastAsia"/>
              </w:rPr>
              <w:t>。</w:t>
            </w:r>
          </w:p>
        </w:tc>
      </w:tr>
    </w:tbl>
    <w:p>
      <w:pPr>
        <w:adjustRightInd w:val="0"/>
        <w:snapToGrid w:val="0"/>
        <w:spacing w:line="360" w:lineRule="auto"/>
        <w:rPr>
          <w:rFonts w:ascii="宋体" w:cs="宋体"/>
          <w:b/>
          <w:kern w:val="0"/>
          <w:sz w:val="28"/>
          <w:szCs w:val="28"/>
        </w:rPr>
      </w:pPr>
    </w:p>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14"/>
        <w:keepNext/>
      </w:pPr>
      <w:bookmarkStart w:id="85" w:name="_Ref171343225"/>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31</w:t>
      </w:r>
      <w:r>
        <w:fldChar w:fldCharType="end"/>
      </w:r>
      <w:bookmarkEnd w:id="85"/>
      <w:r>
        <w:rPr>
          <w:rFonts w:hint="eastAsia"/>
        </w:rPr>
        <w:t xml:space="preserve">   危险化学品理化性质</w:t>
      </w:r>
    </w:p>
    <w:tbl>
      <w:tblPr>
        <w:tblStyle w:val="39"/>
        <w:tblW w:w="13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63"/>
        <w:gridCol w:w="3022"/>
        <w:gridCol w:w="3237"/>
        <w:gridCol w:w="2780"/>
        <w:gridCol w:w="2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6" w:type="dxa"/>
            <w:vAlign w:val="center"/>
          </w:tcPr>
          <w:p>
            <w:pPr>
              <w:pStyle w:val="63"/>
            </w:pPr>
            <w:r>
              <w:rPr>
                <w:rFonts w:hint="eastAsia"/>
              </w:rPr>
              <w:t>序号</w:t>
            </w:r>
          </w:p>
        </w:tc>
        <w:tc>
          <w:tcPr>
            <w:tcW w:w="863" w:type="dxa"/>
            <w:vAlign w:val="center"/>
          </w:tcPr>
          <w:p>
            <w:pPr>
              <w:pStyle w:val="63"/>
            </w:pPr>
            <w:r>
              <w:rPr>
                <w:rFonts w:hint="eastAsia"/>
              </w:rPr>
              <w:t>物质名称</w:t>
            </w:r>
          </w:p>
        </w:tc>
        <w:tc>
          <w:tcPr>
            <w:tcW w:w="3022" w:type="dxa"/>
            <w:vAlign w:val="center"/>
          </w:tcPr>
          <w:p>
            <w:pPr>
              <w:pStyle w:val="63"/>
            </w:pPr>
            <w:r>
              <w:rPr>
                <w:rFonts w:hint="eastAsia"/>
              </w:rPr>
              <w:t>理化性质</w:t>
            </w:r>
          </w:p>
        </w:tc>
        <w:tc>
          <w:tcPr>
            <w:tcW w:w="3237" w:type="dxa"/>
            <w:vAlign w:val="center"/>
          </w:tcPr>
          <w:p>
            <w:pPr>
              <w:pStyle w:val="63"/>
            </w:pPr>
            <w:r>
              <w:rPr>
                <w:rFonts w:hint="eastAsia"/>
              </w:rPr>
              <w:t>危险性</w:t>
            </w:r>
          </w:p>
        </w:tc>
        <w:tc>
          <w:tcPr>
            <w:tcW w:w="2780" w:type="dxa"/>
            <w:vAlign w:val="center"/>
          </w:tcPr>
          <w:p>
            <w:pPr>
              <w:pStyle w:val="63"/>
            </w:pPr>
            <w:r>
              <w:rPr>
                <w:rFonts w:hint="eastAsia"/>
              </w:rPr>
              <w:t>毒理性质</w:t>
            </w:r>
          </w:p>
        </w:tc>
        <w:tc>
          <w:tcPr>
            <w:tcW w:w="2564" w:type="dxa"/>
            <w:vAlign w:val="center"/>
          </w:tcPr>
          <w:p>
            <w:pPr>
              <w:pStyle w:val="63"/>
            </w:pPr>
            <w:r>
              <w:rPr>
                <w:rFonts w:hint="eastAsia"/>
              </w:rPr>
              <w:t>操作和贮存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6" w:type="dxa"/>
            <w:vAlign w:val="center"/>
          </w:tcPr>
          <w:p>
            <w:pPr>
              <w:pStyle w:val="63"/>
            </w:pPr>
            <w:r>
              <w:rPr>
                <w:rFonts w:hint="eastAsia"/>
              </w:rPr>
              <w:t>1</w:t>
            </w:r>
          </w:p>
        </w:tc>
        <w:tc>
          <w:tcPr>
            <w:tcW w:w="863" w:type="dxa"/>
            <w:vAlign w:val="center"/>
          </w:tcPr>
          <w:p>
            <w:pPr>
              <w:pStyle w:val="63"/>
            </w:pPr>
            <w:r>
              <w:rPr>
                <w:rFonts w:hint="eastAsia"/>
              </w:rPr>
              <w:t>双氧水</w:t>
            </w:r>
          </w:p>
        </w:tc>
        <w:tc>
          <w:tcPr>
            <w:tcW w:w="3022" w:type="dxa"/>
            <w:vAlign w:val="center"/>
          </w:tcPr>
          <w:p>
            <w:pPr>
              <w:pStyle w:val="63"/>
            </w:pPr>
            <w:r>
              <w:rPr>
                <w:rFonts w:hint="eastAsia"/>
              </w:rPr>
              <w:t>无色透明液体，</w:t>
            </w:r>
            <w:r>
              <w:t>Ph</w:t>
            </w:r>
            <w:r>
              <w:rPr>
                <w:rFonts w:hint="eastAsia"/>
              </w:rPr>
              <w:t>3~5，熔点-0.2℃，相对密度（水=1）1.46，沸点106~125℃，饱和蒸汽压0.13Kpa，爆炸下限26%，溶于水、醇、醚，不溶于苯、石油醚，稳定，禁配物：易燃或可燃物、强氧化剂、铜、铁、铁盐、锌、活性金属粉末。避免接触条件：受热、撞击，分解产物氧气、水，</w:t>
            </w:r>
          </w:p>
        </w:tc>
        <w:tc>
          <w:tcPr>
            <w:tcW w:w="3237" w:type="dxa"/>
            <w:vAlign w:val="center"/>
          </w:tcPr>
          <w:p>
            <w:pPr>
              <w:pStyle w:val="63"/>
            </w:pPr>
            <w:r>
              <w:rPr>
                <w:rFonts w:hint="eastAsia"/>
              </w:rPr>
              <w:t>过氧化氢本身不燃，但能与可燃物反应放出大量热和氧气而引起着火爆炸。在碱性溶液中极易分解，在遇强光，特别是短波射线照射时也能发生分解，当加热到</w:t>
            </w:r>
            <w:r>
              <w:t>100℃以上时，开始急剧分解，它与许多有机物如糖、淀粉、醇类、石油产品等形</w:t>
            </w:r>
            <w:r>
              <w:rPr>
                <w:rFonts w:hint="eastAsia"/>
              </w:rPr>
              <w:t>成爆炸性混合物，在撞击、受热或电火花作用下能发生爆炸。过氧化氢与许多无机化合物或杂质接触会迅速分解而导致爆炸，放出大量的热量、氧和水蒸气。</w:t>
            </w:r>
          </w:p>
        </w:tc>
        <w:tc>
          <w:tcPr>
            <w:tcW w:w="2780" w:type="dxa"/>
            <w:vAlign w:val="center"/>
          </w:tcPr>
          <w:p>
            <w:pPr>
              <w:pStyle w:val="63"/>
            </w:pPr>
            <w:r>
              <w:rPr>
                <w:rFonts w:hint="eastAsia"/>
              </w:rPr>
              <w:t>急性毒性：</w:t>
            </w:r>
          </w:p>
          <w:p>
            <w:pPr>
              <w:pStyle w:val="63"/>
            </w:pPr>
            <w:r>
              <w:t>.LC</w:t>
            </w:r>
            <w:r>
              <w:rPr>
                <w:vertAlign w:val="subscript"/>
              </w:rPr>
              <w:t>50</w:t>
            </w:r>
            <w:r>
              <w:t>（大鼠吸入50%H</w:t>
            </w:r>
            <w:r>
              <w:rPr>
                <w:vertAlign w:val="subscript"/>
              </w:rPr>
              <w:t>2</w:t>
            </w:r>
            <w:r>
              <w:t>O</w:t>
            </w:r>
            <w:r>
              <w:rPr>
                <w:vertAlign w:val="subscript"/>
              </w:rPr>
              <w:t>2</w:t>
            </w:r>
            <w:r>
              <w:t>）＞0.17ppm；LD</w:t>
            </w:r>
            <w:r>
              <w:rPr>
                <w:vertAlign w:val="subscript"/>
              </w:rPr>
              <w:t>50</w:t>
            </w:r>
            <w:r>
              <w:t>（大鼠食入50%H</w:t>
            </w:r>
            <w:r>
              <w:rPr>
                <w:vertAlign w:val="subscript"/>
              </w:rPr>
              <w:t>2</w:t>
            </w:r>
            <w:r>
              <w:t>O</w:t>
            </w:r>
            <w:r>
              <w:rPr>
                <w:vertAlign w:val="subscript"/>
              </w:rPr>
              <w:t>2</w:t>
            </w:r>
            <w:r>
              <w:t>）＞225mg/Kg。</w:t>
            </w:r>
          </w:p>
        </w:tc>
        <w:tc>
          <w:tcPr>
            <w:tcW w:w="2564" w:type="dxa"/>
            <w:vAlign w:val="center"/>
          </w:tcPr>
          <w:p>
            <w:pPr>
              <w:pStyle w:val="63"/>
            </w:pPr>
            <w:r>
              <w:rPr>
                <w:rFonts w:hint="eastAsia"/>
              </w:rPr>
              <w:t>密闭操作，全面通风。操作人员必须经过专门培训，远离火种、热源，工作场所严禁吸烟，远离易燃、可燃物；防止蒸气泄漏到工作场所空气中。避免与还原剂、活性金属粉末接触。</w:t>
            </w:r>
          </w:p>
          <w:p>
            <w:pPr>
              <w:pStyle w:val="63"/>
            </w:pPr>
            <w:r>
              <w:rPr>
                <w:rFonts w:hint="eastAsia"/>
              </w:rPr>
              <w:t>存于阴凉、通风的库房。远离火种、热源。库温不宜超过</w:t>
            </w:r>
            <w:r>
              <w:t>30℃。保持</w:t>
            </w:r>
            <w:r>
              <w:rPr>
                <w:rFonts w:hint="eastAsia"/>
              </w:rPr>
              <w:t>容器密闭，应与易燃物或可燃物、还原剂、活性金属粉末等分开存放，切忌混存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6" w:type="dxa"/>
            <w:vAlign w:val="center"/>
          </w:tcPr>
          <w:p>
            <w:pPr>
              <w:pStyle w:val="63"/>
            </w:pPr>
            <w:r>
              <w:rPr>
                <w:rFonts w:hint="eastAsia"/>
              </w:rPr>
              <w:t>2</w:t>
            </w:r>
          </w:p>
        </w:tc>
        <w:tc>
          <w:tcPr>
            <w:tcW w:w="863" w:type="dxa"/>
            <w:vAlign w:val="center"/>
          </w:tcPr>
          <w:p>
            <w:pPr>
              <w:pStyle w:val="63"/>
            </w:pPr>
            <w:r>
              <w:rPr>
                <w:rFonts w:hint="eastAsia"/>
              </w:rPr>
              <w:t>硫酸</w:t>
            </w:r>
          </w:p>
        </w:tc>
        <w:tc>
          <w:tcPr>
            <w:tcW w:w="3022" w:type="dxa"/>
            <w:vAlign w:val="center"/>
          </w:tcPr>
          <w:p>
            <w:pPr>
              <w:pStyle w:val="63"/>
            </w:pPr>
            <w:r>
              <w:rPr>
                <w:rFonts w:hint="eastAsia"/>
              </w:rPr>
              <w:t>无色透明油状液体，熔点10.5℃，沸点330℃，相对蒸汽密度（空气=1）3.4，与水混溶，相对密度（水=1）1.83，强氧化剂。燃烧产物二氧化硫</w:t>
            </w:r>
          </w:p>
        </w:tc>
        <w:tc>
          <w:tcPr>
            <w:tcW w:w="3237" w:type="dxa"/>
            <w:vAlign w:val="center"/>
          </w:tcPr>
          <w:p>
            <w:pPr>
              <w:pStyle w:val="63"/>
            </w:pPr>
            <w:r>
              <w:rPr>
                <w:rFonts w:hint="eastAsia"/>
              </w:rPr>
              <w:t>危险性类别第8.1类酸性腐蚀品，对皮肤、粘膜等组织有刺激</w:t>
            </w:r>
          </w:p>
        </w:tc>
        <w:tc>
          <w:tcPr>
            <w:tcW w:w="2780" w:type="dxa"/>
            <w:vAlign w:val="center"/>
          </w:tcPr>
          <w:p>
            <w:pPr>
              <w:pStyle w:val="63"/>
            </w:pPr>
            <w:r>
              <w:rPr>
                <w:rFonts w:hint="eastAsia"/>
              </w:rPr>
              <w:t>LD</w:t>
            </w:r>
            <w:r>
              <w:rPr>
                <w:rFonts w:hint="eastAsia"/>
                <w:vertAlign w:val="subscript"/>
              </w:rPr>
              <w:t>50</w:t>
            </w:r>
            <w:r>
              <w:rPr>
                <w:rFonts w:hint="eastAsia"/>
              </w:rPr>
              <w:t>=2140mg/kg（大鼠经口</w:t>
            </w:r>
          </w:p>
        </w:tc>
        <w:tc>
          <w:tcPr>
            <w:tcW w:w="2564" w:type="dxa"/>
            <w:vAlign w:val="center"/>
          </w:tcPr>
          <w:p>
            <w:pPr>
              <w:pStyle w:val="63"/>
            </w:pPr>
            <w:r>
              <w:rPr>
                <w:rFonts w:hint="eastAsia"/>
              </w:rPr>
              <w:t>与可燃物质和还原性物质、强氧化剂、强碱、食品和饲料、性质相互抵触的物质分开存放。可以储存在不锈钢容器中。储存在铺有抗腐蚀混凝土地面的场所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6" w:type="dxa"/>
            <w:vAlign w:val="center"/>
          </w:tcPr>
          <w:p>
            <w:pPr>
              <w:pStyle w:val="63"/>
            </w:pPr>
            <w:r>
              <w:rPr>
                <w:rFonts w:hint="eastAsia"/>
              </w:rPr>
              <w:t>3</w:t>
            </w:r>
          </w:p>
        </w:tc>
        <w:tc>
          <w:tcPr>
            <w:tcW w:w="863" w:type="dxa"/>
            <w:vAlign w:val="center"/>
          </w:tcPr>
          <w:p>
            <w:pPr>
              <w:pStyle w:val="63"/>
            </w:pPr>
            <w:r>
              <w:rPr>
                <w:rFonts w:hint="eastAsia"/>
              </w:rPr>
              <w:t>柴油</w:t>
            </w:r>
          </w:p>
        </w:tc>
        <w:tc>
          <w:tcPr>
            <w:tcW w:w="3022" w:type="dxa"/>
            <w:vAlign w:val="center"/>
          </w:tcPr>
          <w:p>
            <w:pPr>
              <w:pStyle w:val="63"/>
            </w:pPr>
            <w:r>
              <w:rPr>
                <w:rFonts w:hint="eastAsia"/>
              </w:rPr>
              <w:t>粘性棕色液体，沸点282~338℃，闪点38℃，用作柴油机燃料</w:t>
            </w:r>
          </w:p>
        </w:tc>
        <w:tc>
          <w:tcPr>
            <w:tcW w:w="3237" w:type="dxa"/>
            <w:vAlign w:val="center"/>
          </w:tcPr>
          <w:p>
            <w:pPr>
              <w:pStyle w:val="63"/>
            </w:pPr>
            <w:r>
              <w:rPr>
                <w:rFonts w:hint="eastAsia"/>
              </w:rPr>
              <w:t>皮肤接触可为主要吸收途径，可致急性肾脏损害。柴油可引起接触性皮炎、油性疮。吸入其雾滴或液体呛入可引起吸入性肺炎。能经胎盘进入胎儿血中。柴油废气可引起眼、鼻刺激症状，头晕及头痛。遇明火、高热或与氧化剂接触，有引起燃烧爆炸的危险。若遇高热，容器内压增大，有开</w:t>
            </w:r>
          </w:p>
          <w:p>
            <w:pPr>
              <w:pStyle w:val="63"/>
            </w:pPr>
            <w:r>
              <w:rPr>
                <w:rFonts w:hint="eastAsia"/>
              </w:rPr>
              <w:t>裂和爆炸的危险。</w:t>
            </w:r>
          </w:p>
        </w:tc>
        <w:tc>
          <w:tcPr>
            <w:tcW w:w="2780" w:type="dxa"/>
            <w:vAlign w:val="center"/>
          </w:tcPr>
          <w:p>
            <w:pPr>
              <w:pStyle w:val="63"/>
            </w:pPr>
            <w:r>
              <w:rPr>
                <w:rFonts w:hint="eastAsia"/>
              </w:rPr>
              <w:t>-</w:t>
            </w:r>
          </w:p>
        </w:tc>
        <w:tc>
          <w:tcPr>
            <w:tcW w:w="2564" w:type="dxa"/>
            <w:vAlign w:val="center"/>
          </w:tcPr>
          <w:p>
            <w:pPr>
              <w:pStyle w:val="63"/>
            </w:pPr>
            <w:r>
              <w:rPr>
                <w:rFonts w:hint="eastAsia"/>
              </w:rPr>
              <w:t>诸存于阴凉、通风的库房。远离火种、热源。应与氧化剂、卤素分开存放，切忌混储。采用防爆型照明、通风设施。禁止使用易产生火花的机械设备和工具。储区应备有泄漏应急处理设备和合适的收容材料。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6" w:type="dxa"/>
            <w:vAlign w:val="center"/>
          </w:tcPr>
          <w:p>
            <w:pPr>
              <w:pStyle w:val="63"/>
            </w:pPr>
            <w:r>
              <w:rPr>
                <w:rFonts w:hint="eastAsia"/>
              </w:rPr>
              <w:t>4</w:t>
            </w:r>
          </w:p>
        </w:tc>
        <w:tc>
          <w:tcPr>
            <w:tcW w:w="863" w:type="dxa"/>
            <w:vAlign w:val="center"/>
          </w:tcPr>
          <w:p>
            <w:pPr>
              <w:pStyle w:val="63"/>
            </w:pPr>
            <w:r>
              <w:rPr>
                <w:rFonts w:hint="eastAsia"/>
              </w:rPr>
              <w:t>NaOH</w:t>
            </w:r>
          </w:p>
        </w:tc>
        <w:tc>
          <w:tcPr>
            <w:tcW w:w="3022" w:type="dxa"/>
            <w:vAlign w:val="center"/>
          </w:tcPr>
          <w:p>
            <w:pPr>
              <w:pStyle w:val="63"/>
            </w:pPr>
            <w:r>
              <w:rPr>
                <w:rFonts w:hint="eastAsia"/>
              </w:rPr>
              <w:t>白色不透明固体，易潮解，熔点318.4℃，沸点1390℃，不燃，易溶于水、乙醇、甘油，不溶于丙酮，相对密度（水=1）2.12，禁配物强酸、易燃或可燃物、二氧化碳、过氧化物、水。</w:t>
            </w:r>
          </w:p>
        </w:tc>
        <w:tc>
          <w:tcPr>
            <w:tcW w:w="3237" w:type="dxa"/>
            <w:vAlign w:val="center"/>
          </w:tcPr>
          <w:p>
            <w:pPr>
              <w:pStyle w:val="63"/>
            </w:pPr>
            <w:r>
              <w:rPr>
                <w:rFonts w:hint="eastAsia"/>
              </w:rPr>
              <w:t>接触酸、可燃液体和有机卤化物，尤其是三氯乙烯，会引发燃烧和爆炸。接触硝基甲烷及类似的硝基化合物，形成对震动敏感的盐类。接触金属如铝、锡、铅和锌能引起腐蚀，放出可燃的氢气；对绝大多数金属有腐蚀作用</w:t>
            </w:r>
          </w:p>
        </w:tc>
        <w:tc>
          <w:tcPr>
            <w:tcW w:w="2780" w:type="dxa"/>
            <w:vAlign w:val="center"/>
          </w:tcPr>
          <w:p>
            <w:pPr>
              <w:pStyle w:val="63"/>
            </w:pPr>
            <w:r>
              <w:rPr>
                <w:rFonts w:hint="eastAsia"/>
              </w:rPr>
              <w:t>急性毒性经口</w:t>
            </w:r>
            <w:r>
              <w:t>: LD</w:t>
            </w:r>
            <w:r>
              <w:rPr>
                <w:vertAlign w:val="subscript"/>
              </w:rPr>
              <w:t>50</w:t>
            </w:r>
            <w:r>
              <w:t xml:space="preserve"> - 325 mg/kg</w:t>
            </w:r>
            <w:r>
              <w:rPr>
                <w:rFonts w:hint="eastAsia"/>
              </w:rPr>
              <w:t>（兔）</w:t>
            </w:r>
          </w:p>
          <w:p>
            <w:pPr>
              <w:pStyle w:val="63"/>
            </w:pPr>
            <w:r>
              <w:rPr>
                <w:rFonts w:hint="eastAsia"/>
              </w:rPr>
              <w:t>鱼类急性毒性试验: Carassius auratus - 500 mg/L - 24 h. Remarks:Both fish expired in 10 minutes.</w:t>
            </w:r>
          </w:p>
          <w:p>
            <w:pPr>
              <w:pStyle w:val="63"/>
            </w:pPr>
            <w:r>
              <w:rPr>
                <w:rFonts w:hint="eastAsia"/>
              </w:rPr>
              <w:t>溞类急性活动抑制试验: EC</w:t>
            </w:r>
            <w:r>
              <w:rPr>
                <w:rFonts w:hint="eastAsia"/>
                <w:vertAlign w:val="subscript"/>
              </w:rPr>
              <w:t>50</w:t>
            </w:r>
            <w:r>
              <w:rPr>
                <w:rFonts w:hint="eastAsia"/>
              </w:rPr>
              <w:t xml:space="preserve"> - Ceriodaphnia sp. - 40.4 mg/L - 48 h.</w:t>
            </w:r>
          </w:p>
          <w:p>
            <w:pPr>
              <w:pStyle w:val="63"/>
            </w:pPr>
            <w:r>
              <w:rPr>
                <w:rFonts w:hint="eastAsia"/>
              </w:rPr>
              <w:t>藻类生长抑制试验: 无资料</w:t>
            </w:r>
          </w:p>
          <w:p>
            <w:pPr>
              <w:pStyle w:val="63"/>
            </w:pPr>
            <w:r>
              <w:rPr>
                <w:rFonts w:hint="eastAsia"/>
              </w:rPr>
              <w:t>对微生物的毒性: EC</w:t>
            </w:r>
            <w:r>
              <w:rPr>
                <w:rFonts w:hint="eastAsia"/>
                <w:vertAlign w:val="subscript"/>
              </w:rPr>
              <w:t>10</w:t>
            </w:r>
            <w:r>
              <w:rPr>
                <w:rFonts w:hint="eastAsia"/>
              </w:rPr>
              <w:t xml:space="preserve"> - other protozoa: Tetrahymena thermophila - 161 mg/L - 2 min</w:t>
            </w:r>
          </w:p>
        </w:tc>
        <w:tc>
          <w:tcPr>
            <w:tcW w:w="2564" w:type="dxa"/>
            <w:vAlign w:val="center"/>
          </w:tcPr>
          <w:p>
            <w:pPr>
              <w:pStyle w:val="63"/>
            </w:pPr>
            <w:r>
              <w:rPr>
                <w:rFonts w:hint="eastAsia"/>
              </w:rPr>
              <w:t>与食品和饲料、强酸、金属分开存放。储存在原始容器中。干燥。严格密封。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6" w:type="dxa"/>
            <w:vAlign w:val="center"/>
          </w:tcPr>
          <w:p>
            <w:pPr>
              <w:pStyle w:val="63"/>
            </w:pPr>
            <w:r>
              <w:rPr>
                <w:rFonts w:hint="eastAsia"/>
              </w:rPr>
              <w:t>5</w:t>
            </w:r>
          </w:p>
        </w:tc>
        <w:tc>
          <w:tcPr>
            <w:tcW w:w="863" w:type="dxa"/>
            <w:vAlign w:val="center"/>
          </w:tcPr>
          <w:p>
            <w:pPr>
              <w:pStyle w:val="63"/>
            </w:pPr>
            <w:r>
              <w:rPr>
                <w:rFonts w:hint="eastAsia"/>
              </w:rPr>
              <w:t>FeSO</w:t>
            </w:r>
            <w:r>
              <w:rPr>
                <w:rFonts w:hint="eastAsia"/>
                <w:vertAlign w:val="subscript"/>
              </w:rPr>
              <w:t>4</w:t>
            </w:r>
          </w:p>
        </w:tc>
        <w:tc>
          <w:tcPr>
            <w:tcW w:w="3022" w:type="dxa"/>
            <w:vAlign w:val="center"/>
          </w:tcPr>
          <w:p>
            <w:pPr>
              <w:pStyle w:val="63"/>
            </w:pPr>
            <w:r>
              <w:rPr>
                <w:rFonts w:hint="eastAsia"/>
              </w:rPr>
              <w:t>固体，白色，溶于水、甘油，不溶于乙醇，相对密度1.897，浅蓝绿色晶体，避免光照，</w:t>
            </w:r>
          </w:p>
        </w:tc>
        <w:tc>
          <w:tcPr>
            <w:tcW w:w="3237" w:type="dxa"/>
            <w:vAlign w:val="center"/>
          </w:tcPr>
          <w:p>
            <w:pPr>
              <w:pStyle w:val="63"/>
            </w:pPr>
            <w:r>
              <w:rPr>
                <w:rFonts w:hint="eastAsia"/>
              </w:rPr>
              <w:t>吞咽有害。造成皮肤刺激。造成严重眼刺激</w:t>
            </w:r>
          </w:p>
        </w:tc>
        <w:tc>
          <w:tcPr>
            <w:tcW w:w="2780" w:type="dxa"/>
            <w:vAlign w:val="center"/>
          </w:tcPr>
          <w:p>
            <w:pPr>
              <w:pStyle w:val="63"/>
            </w:pPr>
            <w:r>
              <w:rPr>
                <w:rFonts w:hint="eastAsia"/>
              </w:rPr>
              <w:t>经口</w:t>
            </w:r>
            <w:r>
              <w:t>: LD</w:t>
            </w:r>
            <w:r>
              <w:rPr>
                <w:vertAlign w:val="subscript"/>
              </w:rPr>
              <w:t>50</w:t>
            </w:r>
            <w:r>
              <w:t xml:space="preserve"> Mouse oral 1,520 mg/kg</w:t>
            </w:r>
          </w:p>
          <w:p>
            <w:pPr>
              <w:pStyle w:val="63"/>
            </w:pPr>
            <w:r>
              <w:rPr>
                <w:rFonts w:hint="eastAsia"/>
              </w:rPr>
              <w:t>吸入</w:t>
            </w:r>
            <w:r>
              <w:t>: TLV - rat - 1 mg/m³</w:t>
            </w:r>
          </w:p>
          <w:p>
            <w:pPr>
              <w:pStyle w:val="63"/>
            </w:pPr>
            <w:r>
              <w:rPr>
                <w:rFonts w:hint="eastAsia"/>
              </w:rPr>
              <w:t>经皮</w:t>
            </w:r>
            <w:r>
              <w:t>: LD</w:t>
            </w:r>
            <w:r>
              <w:rPr>
                <w:vertAlign w:val="subscript"/>
              </w:rPr>
              <w:t>50</w:t>
            </w:r>
            <w:r>
              <w:t xml:space="preserve"> - rat (male/female) - &gt; 2 000 mg/kg bw</w:t>
            </w:r>
          </w:p>
        </w:tc>
        <w:tc>
          <w:tcPr>
            <w:tcW w:w="2564" w:type="dxa"/>
            <w:vAlign w:val="center"/>
          </w:tcPr>
          <w:p>
            <w:pPr>
              <w:pStyle w:val="63"/>
            </w:pPr>
            <w:r>
              <w:rPr>
                <w:rFonts w:hint="eastAsia"/>
              </w:rPr>
              <w:t>应与氧化剂、食用化学品分开存放，切忌混储，</w:t>
            </w:r>
          </w:p>
          <w:p>
            <w:pPr>
              <w:pStyle w:val="63"/>
            </w:pPr>
            <w:r>
              <w:rPr>
                <w:rFonts w:hint="eastAsia"/>
              </w:rPr>
              <w:t>保持容器密封，</w:t>
            </w:r>
          </w:p>
          <w:p>
            <w:pPr>
              <w:pStyle w:val="63"/>
            </w:pPr>
            <w:r>
              <w:rPr>
                <w:rFonts w:hint="eastAsia"/>
              </w:rPr>
              <w:t>远离火种、热源。</w:t>
            </w:r>
          </w:p>
        </w:tc>
      </w:tr>
    </w:tbl>
    <w:p>
      <w:pPr>
        <w:adjustRightInd w:val="0"/>
        <w:snapToGrid w:val="0"/>
        <w:spacing w:line="360" w:lineRule="auto"/>
        <w:rPr>
          <w:rFonts w:ascii="宋体" w:cs="宋体"/>
          <w:b/>
          <w:kern w:val="0"/>
          <w:sz w:val="28"/>
          <w:szCs w:val="28"/>
        </w:rPr>
        <w:sectPr>
          <w:pgSz w:w="16840" w:h="11907" w:orient="landscape"/>
          <w:pgMar w:top="1531" w:right="1701" w:bottom="1531" w:left="2127" w:header="851" w:footer="851" w:gutter="0"/>
          <w:cols w:space="720" w:num="1"/>
          <w:docGrid w:linePitch="312" w:charSpace="0"/>
        </w:sectPr>
      </w:pPr>
    </w:p>
    <w:p>
      <w:pPr>
        <w:tabs>
          <w:tab w:val="left" w:pos="2715"/>
        </w:tabs>
        <w:rPr>
          <w:rFonts w:ascii="宋体" w:cs="宋体"/>
          <w:b/>
          <w:kern w:val="0"/>
          <w:sz w:val="28"/>
          <w:szCs w:val="28"/>
        </w:rPr>
      </w:pPr>
      <w:r>
        <w:rPr>
          <w:rFonts w:ascii="宋体" w:cs="宋体"/>
          <w:b/>
          <w:kern w:val="0"/>
          <w:sz w:val="28"/>
          <w:szCs w:val="28"/>
        </w:rPr>
        <w:tab/>
      </w:r>
    </w:p>
    <w:tbl>
      <w:tblPr>
        <w:tblStyle w:val="38"/>
        <w:tblW w:w="882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1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672" w:type="dxa"/>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hint="eastAsia" w:ascii="宋体" w:hAnsi="宋体" w:cs="宋体"/>
                <w:bCs/>
                <w:szCs w:val="21"/>
              </w:rPr>
            </w:pPr>
            <w:r>
              <w:rPr>
                <w:rFonts w:hint="eastAsia" w:ascii="宋体" w:hAnsi="宋体" w:cs="宋体"/>
                <w:bCs/>
                <w:szCs w:val="21"/>
              </w:rPr>
              <w:t>措施</w:t>
            </w:r>
          </w:p>
        </w:tc>
        <w:tc>
          <w:tcPr>
            <w:tcW w:w="8153" w:type="dxa"/>
            <w:vAlign w:val="center"/>
          </w:tcPr>
          <w:p>
            <w:pPr>
              <w:pStyle w:val="6"/>
              <w:spacing w:before="120" w:after="120"/>
            </w:pPr>
            <w:bookmarkStart w:id="86" w:name="_Toc172739703"/>
            <w:r>
              <w:rPr>
                <w:rFonts w:hint="eastAsia"/>
              </w:rPr>
              <w:t>生产系统危险性识别</w:t>
            </w:r>
            <w:bookmarkEnd w:id="86"/>
          </w:p>
          <w:p>
            <w:pPr>
              <w:pStyle w:val="5"/>
              <w:ind w:firstLine="480"/>
              <w:rPr>
                <w:sz w:val="21"/>
                <w:szCs w:val="21"/>
              </w:rPr>
            </w:pPr>
            <w:r>
              <w:rPr>
                <w:rFonts w:hint="eastAsia" w:ascii="宋体" w:hAnsi="宋体"/>
              </w:rPr>
              <w:t>①</w:t>
            </w:r>
            <w:r>
              <w:t>主要生产装置</w:t>
            </w:r>
          </w:p>
          <w:p>
            <w:pPr>
              <w:pStyle w:val="5"/>
              <w:ind w:firstLine="480"/>
            </w:pPr>
            <w:r>
              <w:t>污水处理厂由于设备损坏、进水异常、污水处理设施运行不正常、检修等造成大量污水未经处理直接排放，造成事故污染。</w:t>
            </w:r>
          </w:p>
          <w:p>
            <w:pPr>
              <w:pStyle w:val="5"/>
              <w:ind w:firstLine="480"/>
              <w:rPr>
                <w:sz w:val="21"/>
                <w:szCs w:val="21"/>
              </w:rPr>
            </w:pPr>
            <w:r>
              <w:rPr>
                <w:rFonts w:hint="eastAsia" w:ascii="宋体" w:hAnsi="宋体"/>
              </w:rPr>
              <w:t>②</w:t>
            </w:r>
            <w:r>
              <w:t>储运设施</w:t>
            </w:r>
          </w:p>
          <w:p>
            <w:pPr>
              <w:pStyle w:val="5"/>
              <w:ind w:firstLine="480"/>
              <w:rPr>
                <w:sz w:val="21"/>
                <w:szCs w:val="21"/>
              </w:rPr>
            </w:pPr>
            <w:r>
              <w:t>本项目</w:t>
            </w:r>
            <w:r>
              <w:rPr>
                <w:rFonts w:hint="eastAsia"/>
              </w:rPr>
              <w:t>原辅料采用外部运输，</w:t>
            </w:r>
            <w:r>
              <w:t>由专门供货商负责。因此，本评价不考虑运输导致的环境风险</w:t>
            </w:r>
            <w:r>
              <w:rPr>
                <w:rFonts w:hint="eastAsia"/>
              </w:rPr>
              <w:t>，考虑贮存时环境风险</w:t>
            </w:r>
            <w:r>
              <w:t>。环境风险识别见</w:t>
            </w:r>
            <w:r>
              <w:fldChar w:fldCharType="begin"/>
            </w:r>
            <w:r>
              <w:instrText xml:space="preserve"> REF _Ref157087430 \h  \* MERGEFORMAT </w:instrText>
            </w:r>
            <w:r>
              <w:fldChar w:fldCharType="separate"/>
            </w:r>
            <w:r>
              <w:t>表 4.2</w:t>
            </w:r>
            <w:r>
              <w:noBreakHyphen/>
            </w:r>
            <w:r>
              <w:t>32</w:t>
            </w:r>
            <w:r>
              <w:fldChar w:fldCharType="end"/>
            </w:r>
            <w:r>
              <w:t>。</w:t>
            </w:r>
          </w:p>
          <w:p>
            <w:pPr>
              <w:pStyle w:val="14"/>
            </w:pPr>
            <w:bookmarkStart w:id="87" w:name="_Ref157087430"/>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32</w:t>
            </w:r>
            <w:r>
              <w:fldChar w:fldCharType="end"/>
            </w:r>
            <w:bookmarkEnd w:id="87"/>
            <w:r>
              <w:t xml:space="preserve">    建设项目环境风险识别</w:t>
            </w:r>
          </w:p>
          <w:tbl>
            <w:tblPr>
              <w:tblStyle w:val="38"/>
              <w:tblW w:w="7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584"/>
              <w:gridCol w:w="1847"/>
              <w:gridCol w:w="1317"/>
              <w:gridCol w:w="1308"/>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tcBorders>
                    <w:top w:val="single" w:color="auto" w:sz="4" w:space="0"/>
                    <w:left w:val="single" w:color="auto" w:sz="4" w:space="0"/>
                    <w:bottom w:val="single" w:color="auto" w:sz="4" w:space="0"/>
                    <w:right w:val="single" w:color="auto" w:sz="4" w:space="0"/>
                  </w:tcBorders>
                  <w:vAlign w:val="center"/>
                </w:tcPr>
                <w:p>
                  <w:pPr>
                    <w:pStyle w:val="63"/>
                  </w:pPr>
                  <w:r>
                    <w:t>序号</w:t>
                  </w:r>
                </w:p>
              </w:tc>
              <w:tc>
                <w:tcPr>
                  <w:tcW w:w="1584" w:type="dxa"/>
                  <w:tcBorders>
                    <w:top w:val="single" w:color="auto" w:sz="4" w:space="0"/>
                    <w:left w:val="single" w:color="auto" w:sz="4" w:space="0"/>
                    <w:bottom w:val="single" w:color="auto" w:sz="4" w:space="0"/>
                    <w:right w:val="single" w:color="auto" w:sz="4" w:space="0"/>
                  </w:tcBorders>
                  <w:vAlign w:val="center"/>
                </w:tcPr>
                <w:p>
                  <w:pPr>
                    <w:pStyle w:val="63"/>
                  </w:pPr>
                  <w:r>
                    <w:t>危险单元</w:t>
                  </w:r>
                </w:p>
              </w:tc>
              <w:tc>
                <w:tcPr>
                  <w:tcW w:w="1847" w:type="dxa"/>
                  <w:tcBorders>
                    <w:top w:val="single" w:color="auto" w:sz="4" w:space="0"/>
                    <w:left w:val="single" w:color="auto" w:sz="4" w:space="0"/>
                    <w:bottom w:val="single" w:color="auto" w:sz="4" w:space="0"/>
                    <w:right w:val="single" w:color="auto" w:sz="4" w:space="0"/>
                  </w:tcBorders>
                  <w:vAlign w:val="center"/>
                </w:tcPr>
                <w:p>
                  <w:pPr>
                    <w:pStyle w:val="63"/>
                  </w:pPr>
                  <w:r>
                    <w:t>风险源</w:t>
                  </w:r>
                </w:p>
              </w:tc>
              <w:tc>
                <w:tcPr>
                  <w:tcW w:w="1317" w:type="dxa"/>
                  <w:tcBorders>
                    <w:top w:val="single" w:color="auto" w:sz="4" w:space="0"/>
                    <w:left w:val="single" w:color="auto" w:sz="4" w:space="0"/>
                    <w:bottom w:val="single" w:color="auto" w:sz="4" w:space="0"/>
                    <w:right w:val="single" w:color="auto" w:sz="4" w:space="0"/>
                  </w:tcBorders>
                  <w:vAlign w:val="center"/>
                </w:tcPr>
                <w:p>
                  <w:pPr>
                    <w:pStyle w:val="63"/>
                  </w:pPr>
                  <w:r>
                    <w:t>主要环节风险类型</w:t>
                  </w:r>
                </w:p>
              </w:tc>
              <w:tc>
                <w:tcPr>
                  <w:tcW w:w="1308" w:type="dxa"/>
                  <w:tcBorders>
                    <w:top w:val="single" w:color="auto" w:sz="4" w:space="0"/>
                    <w:left w:val="single" w:color="auto" w:sz="4" w:space="0"/>
                    <w:bottom w:val="single" w:color="auto" w:sz="4" w:space="0"/>
                    <w:right w:val="single" w:color="auto" w:sz="4" w:space="0"/>
                  </w:tcBorders>
                  <w:vAlign w:val="center"/>
                </w:tcPr>
                <w:p>
                  <w:pPr>
                    <w:pStyle w:val="63"/>
                  </w:pPr>
                  <w:r>
                    <w:t>环节影响途径</w:t>
                  </w:r>
                </w:p>
              </w:tc>
              <w:tc>
                <w:tcPr>
                  <w:tcW w:w="1111" w:type="dxa"/>
                  <w:tcBorders>
                    <w:top w:val="single" w:color="auto" w:sz="4" w:space="0"/>
                    <w:left w:val="single" w:color="auto" w:sz="4" w:space="0"/>
                    <w:bottom w:val="single" w:color="auto" w:sz="4" w:space="0"/>
                    <w:right w:val="single" w:color="auto" w:sz="4" w:space="0"/>
                  </w:tcBorders>
                  <w:vAlign w:val="center"/>
                </w:tcPr>
                <w:p>
                  <w:pPr>
                    <w:pStyle w:val="63"/>
                  </w:pPr>
                  <w:r>
                    <w:t>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760" w:type="dxa"/>
                  <w:tcBorders>
                    <w:top w:val="single" w:color="auto" w:sz="4" w:space="0"/>
                    <w:left w:val="single" w:color="auto" w:sz="4" w:space="0"/>
                    <w:bottom w:val="single" w:color="auto" w:sz="4" w:space="0"/>
                    <w:right w:val="single" w:color="auto" w:sz="4" w:space="0"/>
                  </w:tcBorders>
                  <w:vAlign w:val="center"/>
                </w:tcPr>
                <w:p>
                  <w:pPr>
                    <w:pStyle w:val="63"/>
                  </w:pPr>
                  <w:r>
                    <w:t>1</w:t>
                  </w:r>
                </w:p>
              </w:tc>
              <w:tc>
                <w:tcPr>
                  <w:tcW w:w="1584" w:type="dxa"/>
                  <w:tcBorders>
                    <w:top w:val="single" w:color="auto" w:sz="4" w:space="0"/>
                    <w:left w:val="single" w:color="auto" w:sz="4" w:space="0"/>
                    <w:bottom w:val="single" w:color="auto" w:sz="4" w:space="0"/>
                    <w:right w:val="single" w:color="auto" w:sz="4" w:space="0"/>
                  </w:tcBorders>
                  <w:vAlign w:val="center"/>
                </w:tcPr>
                <w:p>
                  <w:pPr>
                    <w:pStyle w:val="63"/>
                  </w:pPr>
                  <w:r>
                    <w:t>污水处理构筑物</w:t>
                  </w:r>
                </w:p>
              </w:tc>
              <w:tc>
                <w:tcPr>
                  <w:tcW w:w="1847" w:type="dxa"/>
                  <w:tcBorders>
                    <w:top w:val="single" w:color="auto" w:sz="4" w:space="0"/>
                    <w:left w:val="single" w:color="auto" w:sz="4" w:space="0"/>
                    <w:bottom w:val="single" w:color="auto" w:sz="4" w:space="0"/>
                    <w:right w:val="single" w:color="auto" w:sz="4" w:space="0"/>
                  </w:tcBorders>
                  <w:vAlign w:val="center"/>
                </w:tcPr>
                <w:p>
                  <w:pPr>
                    <w:pStyle w:val="63"/>
                  </w:pPr>
                  <w:r>
                    <w:t>污水处理</w:t>
                  </w:r>
                  <w:r>
                    <w:rPr>
                      <w:rFonts w:hint="eastAsia"/>
                    </w:rPr>
                    <w:t>设施</w:t>
                  </w:r>
                </w:p>
              </w:tc>
              <w:tc>
                <w:tcPr>
                  <w:tcW w:w="1317" w:type="dxa"/>
                  <w:tcBorders>
                    <w:top w:val="single" w:color="auto" w:sz="4" w:space="0"/>
                    <w:left w:val="single" w:color="auto" w:sz="4" w:space="0"/>
                    <w:bottom w:val="single" w:color="auto" w:sz="4" w:space="0"/>
                    <w:right w:val="single" w:color="auto" w:sz="4" w:space="0"/>
                  </w:tcBorders>
                  <w:vAlign w:val="center"/>
                </w:tcPr>
                <w:p>
                  <w:pPr>
                    <w:pStyle w:val="63"/>
                  </w:pPr>
                  <w:r>
                    <w:t>泄漏</w:t>
                  </w:r>
                </w:p>
              </w:tc>
              <w:tc>
                <w:tcPr>
                  <w:tcW w:w="1308" w:type="dxa"/>
                  <w:tcBorders>
                    <w:top w:val="nil"/>
                    <w:left w:val="single" w:color="auto" w:sz="4" w:space="0"/>
                    <w:right w:val="single" w:color="auto" w:sz="4" w:space="0"/>
                  </w:tcBorders>
                  <w:vAlign w:val="center"/>
                </w:tcPr>
                <w:p>
                  <w:pPr>
                    <w:pStyle w:val="63"/>
                  </w:pPr>
                  <w:r>
                    <w:t>地表水、土壤及地下水</w:t>
                  </w:r>
                </w:p>
              </w:tc>
              <w:tc>
                <w:tcPr>
                  <w:tcW w:w="1111" w:type="dxa"/>
                  <w:tcBorders>
                    <w:top w:val="nil"/>
                    <w:left w:val="single" w:color="auto" w:sz="4" w:space="0"/>
                    <w:right w:val="single" w:color="auto" w:sz="4" w:space="0"/>
                  </w:tcBorders>
                  <w:vAlign w:val="center"/>
                </w:tcPr>
                <w:p>
                  <w:pPr>
                    <w:pStyle w:val="63"/>
                  </w:pPr>
                  <w:r>
                    <w:rPr>
                      <w:rFonts w:hint="eastAsia"/>
                    </w:rPr>
                    <w:t>朱衣河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2</w:t>
                  </w:r>
                </w:p>
              </w:tc>
              <w:tc>
                <w:tcPr>
                  <w:tcW w:w="1584"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储药及加药间</w:t>
                  </w:r>
                </w:p>
              </w:tc>
              <w:tc>
                <w:tcPr>
                  <w:tcW w:w="1847"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双氧水、硫酸储罐</w:t>
                  </w:r>
                </w:p>
              </w:tc>
              <w:tc>
                <w:tcPr>
                  <w:tcW w:w="1317" w:type="dxa"/>
                  <w:tcBorders>
                    <w:top w:val="single" w:color="auto" w:sz="4" w:space="0"/>
                    <w:left w:val="single" w:color="auto" w:sz="4" w:space="0"/>
                    <w:bottom w:val="single" w:color="auto" w:sz="4" w:space="0"/>
                    <w:right w:val="single" w:color="auto" w:sz="4" w:space="0"/>
                  </w:tcBorders>
                  <w:vAlign w:val="center"/>
                </w:tcPr>
                <w:p>
                  <w:pPr>
                    <w:pStyle w:val="63"/>
                  </w:pPr>
                  <w:r>
                    <w:t>泄漏</w:t>
                  </w:r>
                  <w:r>
                    <w:rPr>
                      <w:rFonts w:hint="eastAsia"/>
                    </w:rPr>
                    <w:t>、火灾</w:t>
                  </w:r>
                </w:p>
              </w:tc>
              <w:tc>
                <w:tcPr>
                  <w:tcW w:w="1308" w:type="dxa"/>
                  <w:vMerge w:val="restart"/>
                  <w:tcBorders>
                    <w:left w:val="single" w:color="auto" w:sz="4" w:space="0"/>
                    <w:right w:val="single" w:color="auto" w:sz="4" w:space="0"/>
                  </w:tcBorders>
                  <w:vAlign w:val="center"/>
                </w:tcPr>
                <w:p>
                  <w:pPr>
                    <w:pStyle w:val="63"/>
                  </w:pPr>
                  <w:r>
                    <w:t>大气、地表水、土壤及地下水</w:t>
                  </w:r>
                </w:p>
              </w:tc>
              <w:tc>
                <w:tcPr>
                  <w:tcW w:w="1111" w:type="dxa"/>
                  <w:vMerge w:val="restart"/>
                  <w:tcBorders>
                    <w:left w:val="single" w:color="auto" w:sz="4" w:space="0"/>
                    <w:right w:val="single" w:color="auto" w:sz="4" w:space="0"/>
                  </w:tcBorders>
                  <w:vAlign w:val="center"/>
                </w:tcPr>
                <w:p>
                  <w:pPr>
                    <w:pStyle w:val="63"/>
                  </w:pPr>
                  <w:r>
                    <w:t>周边居民、</w:t>
                  </w:r>
                  <w:r>
                    <w:rPr>
                      <w:rFonts w:hint="eastAsia"/>
                    </w:rPr>
                    <w:t>朱衣河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0"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3</w:t>
                  </w:r>
                </w:p>
              </w:tc>
              <w:tc>
                <w:tcPr>
                  <w:tcW w:w="1584"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维修和柴油发电机车间</w:t>
                  </w:r>
                </w:p>
              </w:tc>
              <w:tc>
                <w:tcPr>
                  <w:tcW w:w="1847" w:type="dxa"/>
                  <w:tcBorders>
                    <w:top w:val="single" w:color="auto" w:sz="4" w:space="0"/>
                    <w:left w:val="single" w:color="auto" w:sz="4" w:space="0"/>
                    <w:bottom w:val="single" w:color="auto" w:sz="4" w:space="0"/>
                    <w:right w:val="single" w:color="auto" w:sz="4" w:space="0"/>
                  </w:tcBorders>
                  <w:vAlign w:val="center"/>
                </w:tcPr>
                <w:p>
                  <w:pPr>
                    <w:pStyle w:val="63"/>
                  </w:pPr>
                  <w:r>
                    <w:rPr>
                      <w:rFonts w:hint="eastAsia"/>
                    </w:rPr>
                    <w:t>机油桶、柴油储罐</w:t>
                  </w:r>
                </w:p>
              </w:tc>
              <w:tc>
                <w:tcPr>
                  <w:tcW w:w="1317" w:type="dxa"/>
                  <w:tcBorders>
                    <w:top w:val="single" w:color="auto" w:sz="4" w:space="0"/>
                    <w:left w:val="single" w:color="auto" w:sz="4" w:space="0"/>
                    <w:bottom w:val="single" w:color="auto" w:sz="4" w:space="0"/>
                    <w:right w:val="single" w:color="auto" w:sz="4" w:space="0"/>
                  </w:tcBorders>
                  <w:vAlign w:val="center"/>
                </w:tcPr>
                <w:p>
                  <w:pPr>
                    <w:pStyle w:val="63"/>
                  </w:pPr>
                  <w:r>
                    <w:t>泄漏</w:t>
                  </w:r>
                  <w:r>
                    <w:rPr>
                      <w:rFonts w:hint="eastAsia"/>
                    </w:rPr>
                    <w:t>、火灾</w:t>
                  </w:r>
                </w:p>
              </w:tc>
              <w:tc>
                <w:tcPr>
                  <w:tcW w:w="1308" w:type="dxa"/>
                  <w:vMerge w:val="continue"/>
                  <w:tcBorders>
                    <w:left w:val="single" w:color="auto" w:sz="4" w:space="0"/>
                    <w:bottom w:val="single" w:color="auto" w:sz="4" w:space="0"/>
                    <w:right w:val="single" w:color="auto" w:sz="4" w:space="0"/>
                  </w:tcBorders>
                  <w:vAlign w:val="center"/>
                </w:tcPr>
                <w:p>
                  <w:pPr>
                    <w:pStyle w:val="63"/>
                  </w:pPr>
                </w:p>
              </w:tc>
              <w:tc>
                <w:tcPr>
                  <w:tcW w:w="1111" w:type="dxa"/>
                  <w:vMerge w:val="continue"/>
                  <w:tcBorders>
                    <w:left w:val="single" w:color="auto" w:sz="4" w:space="0"/>
                    <w:bottom w:val="single" w:color="auto" w:sz="4" w:space="0"/>
                    <w:right w:val="single" w:color="auto" w:sz="4" w:space="0"/>
                  </w:tcBorders>
                  <w:vAlign w:val="center"/>
                </w:tcPr>
                <w:p>
                  <w:pPr>
                    <w:pStyle w:val="63"/>
                  </w:pPr>
                </w:p>
              </w:tc>
            </w:tr>
          </w:tbl>
          <w:p/>
          <w:p>
            <w:pPr>
              <w:pStyle w:val="6"/>
              <w:spacing w:before="120" w:after="120"/>
            </w:pPr>
            <w:bookmarkStart w:id="88" w:name="_Toc172739704"/>
            <w:r>
              <w:rPr>
                <w:rFonts w:hint="eastAsia"/>
              </w:rPr>
              <w:t>危险物质向环境转移的途径识别</w:t>
            </w:r>
            <w:bookmarkEnd w:id="88"/>
          </w:p>
          <w:p>
            <w:pPr>
              <w:pStyle w:val="5"/>
              <w:ind w:firstLine="480"/>
            </w:pPr>
            <w:r>
              <w:rPr>
                <w:rFonts w:hint="eastAsia"/>
              </w:rPr>
              <w:t>危险物质对环境的危害是多方面的，主要通过下述途径对大气、地下水和土壤造成污染。</w:t>
            </w:r>
          </w:p>
          <w:p>
            <w:pPr>
              <w:pStyle w:val="5"/>
              <w:ind w:firstLine="480"/>
            </w:pPr>
            <w:r>
              <w:rPr>
                <w:rFonts w:hint="eastAsia"/>
              </w:rPr>
              <w:t>（</w:t>
            </w:r>
            <w:r>
              <w:t>1）事故排放产生的大量废气污染物对周围环境空气保护目标的影响。</w:t>
            </w:r>
          </w:p>
          <w:p>
            <w:pPr>
              <w:pStyle w:val="5"/>
              <w:ind w:firstLine="480"/>
            </w:pPr>
            <w:r>
              <w:rPr>
                <w:rFonts w:hint="eastAsia"/>
              </w:rPr>
              <w:t>（</w:t>
            </w:r>
            <w:r>
              <w:t>2）物料撒漏区域地面破损或</w:t>
            </w:r>
            <w:r>
              <w:rPr>
                <w:rFonts w:hint="eastAsia"/>
              </w:rPr>
              <w:t>调节池</w:t>
            </w:r>
            <w:r>
              <w:t>底部发生破损，造成物料废水下渗对地下水及土壤环境的影响。</w:t>
            </w:r>
          </w:p>
          <w:p>
            <w:pPr>
              <w:pStyle w:val="5"/>
              <w:ind w:firstLine="480"/>
            </w:pPr>
            <w:r>
              <w:rPr>
                <w:rFonts w:hint="eastAsia"/>
              </w:rPr>
              <w:t>（</w:t>
            </w:r>
            <w:r>
              <w:t>3）事故废水和消防废水未有效收集形成漫流和下渗，对周围地下水及土壤环境的影响。</w:t>
            </w:r>
          </w:p>
          <w:p>
            <w:pPr>
              <w:pStyle w:val="6"/>
              <w:spacing w:before="120" w:after="120"/>
            </w:pPr>
            <w:r>
              <w:rPr>
                <w:rFonts w:hint="eastAsia"/>
              </w:rPr>
              <w:t>环境风险分析</w:t>
            </w:r>
          </w:p>
          <w:p>
            <w:pPr>
              <w:pStyle w:val="5"/>
              <w:ind w:firstLine="480"/>
            </w:pPr>
            <w:r>
              <w:rPr>
                <w:rFonts w:hint="eastAsia"/>
              </w:rPr>
              <w:t>(1)地表水</w:t>
            </w:r>
          </w:p>
          <w:p>
            <w:pPr>
              <w:pStyle w:val="5"/>
              <w:ind w:firstLine="480"/>
            </w:pPr>
            <w:r>
              <w:rPr>
                <w:rFonts w:hint="eastAsia"/>
              </w:rPr>
              <w:t>当项目发生事故排水时会导致下游沿线朱衣河水质超标。本项目供电采用单电源+备用电源供电，工作电源与备用电源满足全厂100%负荷供电，其次项目水处理构筑物采用多套并联运行，同时厂区内设置事故池可暂存收集污水，当出现某套装置运行异常时可将多余污水导入事故池内暂存，并使用剩余构筑物和事故应急处理构筑物保证污水处理，同时进行运行异常装置修理，不会发生事故期间污水未经处理排放。所以项目发生事故情况下项目排水可控。</w:t>
            </w:r>
          </w:p>
          <w:p>
            <w:pPr>
              <w:pStyle w:val="5"/>
              <w:ind w:firstLine="480"/>
            </w:pPr>
            <w:r>
              <w:rPr>
                <w:rFonts w:hint="eastAsia"/>
              </w:rPr>
              <w:t>污泥脱水间地面硬化并作防腐、防渗处理，设置废水收集管道，收集废水进入污水处理设施处理达标后排放。储药及加药间双氧水、硫酸储罐地面进行防腐、防渗处理，并分别设置围堰贮存，泄漏液体泵入更换泄漏储罐贮存，维修车间地面进行防腐、防渗处理，机油桶下设置托盘，不会流出厂外。</w:t>
            </w:r>
          </w:p>
          <w:p>
            <w:pPr>
              <w:pStyle w:val="5"/>
              <w:ind w:firstLine="480"/>
            </w:pPr>
            <w:r>
              <w:rPr>
                <w:rFonts w:hint="eastAsia"/>
              </w:rPr>
              <w:t>(2)地下水</w:t>
            </w:r>
          </w:p>
          <w:p>
            <w:pPr>
              <w:pStyle w:val="5"/>
              <w:ind w:firstLine="480"/>
            </w:pPr>
            <w:r>
              <w:rPr>
                <w:rFonts w:hint="eastAsia"/>
              </w:rPr>
              <w:t>污泥脱水间地面硬化并作防腐、防渗处理，储药及加药间双氧水、硫酸储罐地面进行防腐、防渗处理，并分别设置围堰贮存，维修车间地面进行防腐、防渗处理，机油桶下设置托盘，泄漏对地下水影响小。</w:t>
            </w:r>
          </w:p>
          <w:p>
            <w:pPr>
              <w:pStyle w:val="5"/>
              <w:ind w:firstLine="480"/>
            </w:pPr>
            <w:r>
              <w:rPr>
                <w:rFonts w:hint="eastAsia"/>
              </w:rPr>
              <w:t>(3)大气环境</w:t>
            </w:r>
          </w:p>
          <w:p>
            <w:pPr>
              <w:pStyle w:val="5"/>
              <w:ind w:firstLine="480"/>
            </w:pPr>
            <w:r>
              <w:rPr>
                <w:rFonts w:hint="eastAsia"/>
              </w:rPr>
              <w:t>工程废气污染物产生量不大，即使事故排放情况下，对外环境的影响不大。评价要求，加强尾气过滤装置及废气治理设施的维护与管理，杜绝事故排放。</w:t>
            </w:r>
          </w:p>
          <w:p>
            <w:pPr>
              <w:pStyle w:val="5"/>
              <w:ind w:firstLine="480"/>
            </w:pPr>
            <w:r>
              <w:rPr>
                <w:rFonts w:hint="eastAsia"/>
              </w:rPr>
              <w:t>(4)贮运系统事故环境风险分析</w:t>
            </w:r>
          </w:p>
          <w:p>
            <w:pPr>
              <w:pStyle w:val="5"/>
              <w:ind w:firstLine="480"/>
            </w:pPr>
            <w:r>
              <w:rPr>
                <w:rFonts w:hint="eastAsia"/>
              </w:rPr>
              <w:t>项目危险废物、危险化学品及原辅料分别通过危废间、加药间库房及等进行贮存。危废间防风、防晒、防雨、防漏、防腐、防渗措施，液体危废设置有防渗漏托盘；加药间库房等液体物料贮存区地面设置三防措施，设置环形沟或在房间最低点设置收集沟，可有效收集泄漏物料，可减少贮运系统发生风险时对外环境影响。</w:t>
            </w:r>
          </w:p>
          <w:p>
            <w:pPr>
              <w:pStyle w:val="5"/>
              <w:ind w:firstLine="480"/>
            </w:pPr>
            <w:r>
              <w:rPr>
                <w:rFonts w:hint="eastAsia"/>
              </w:rPr>
              <w:t>污水处理设施设置有较好的安全防范措施，池体采用耐腐蚀、防渗透措施；不会对土壤、地下水造成影响。同时设置废气收集处理系统，对大气环境影响小。评价要求原辅料运输过程中设置防渗漏、防溢出措施；不得超载；严格按照设定的运输路线行进，避开人群密集区。</w:t>
            </w:r>
          </w:p>
          <w:p>
            <w:pPr>
              <w:pStyle w:val="5"/>
              <w:ind w:firstLine="480"/>
            </w:pPr>
            <w:r>
              <w:rPr>
                <w:rFonts w:hint="eastAsia"/>
              </w:rPr>
              <w:t>(5)事故伴生/次生污染物环境污染</w:t>
            </w:r>
          </w:p>
          <w:p>
            <w:pPr>
              <w:pStyle w:val="5"/>
              <w:ind w:firstLine="480"/>
            </w:pPr>
            <w:r>
              <w:rPr>
                <w:rFonts w:hint="eastAsia"/>
              </w:rPr>
              <w:t>项目双氧水、硫酸为气浮池故障时提供给Feton设施作为应急预处理设施使用，使用次数少，储存量小，双氧水和硫酸为稀溶液，挥发性小，双氧水与许多无机化合物或杂质接触会迅速分解而导致爆炸，放出大量的热量、氧和水蒸气，当硫酸发生燃烧后产生二氧化硫，双氧水和硫酸单独储罐内贮存，并采取隔离措施，项目储量小，燃烧产生的二氧化硫量小，通过大气扩散后影响小，所以硫酸燃烧产生二氧化硫对周围环境影响小。</w:t>
            </w:r>
          </w:p>
          <w:p>
            <w:pPr>
              <w:pStyle w:val="6"/>
              <w:spacing w:before="120" w:after="120"/>
            </w:pPr>
            <w:r>
              <w:rPr>
                <w:rFonts w:hint="eastAsia"/>
              </w:rPr>
              <w:t>环境风险防范措施</w:t>
            </w:r>
          </w:p>
          <w:p>
            <w:pPr>
              <w:pStyle w:val="5"/>
              <w:ind w:firstLine="482"/>
              <w:rPr>
                <w:b/>
                <w:bCs/>
              </w:rPr>
            </w:pPr>
            <w:r>
              <w:rPr>
                <w:rFonts w:hint="eastAsia"/>
                <w:b/>
                <w:bCs/>
              </w:rPr>
              <w:t>一、事故防范措施</w:t>
            </w:r>
          </w:p>
          <w:p>
            <w:pPr>
              <w:pStyle w:val="5"/>
              <w:numPr>
                <w:ilvl w:val="0"/>
                <w:numId w:val="17"/>
              </w:numPr>
              <w:ind w:firstLineChars="0"/>
            </w:pPr>
            <w:r>
              <w:rPr>
                <w:rFonts w:hint="eastAsia"/>
              </w:rPr>
              <w:t>项目供电采用单电源+备用电源供电，工作电源与备用电源满足全厂</w:t>
            </w:r>
            <w:r>
              <w:t>100%负荷供电，</w:t>
            </w:r>
            <w:r>
              <w:rPr>
                <w:rFonts w:hint="eastAsia"/>
              </w:rPr>
              <w:t>项目水处理构筑物采用多套并联运行；</w:t>
            </w:r>
          </w:p>
          <w:p>
            <w:pPr>
              <w:pStyle w:val="5"/>
              <w:numPr>
                <w:ilvl w:val="0"/>
                <w:numId w:val="17"/>
              </w:numPr>
              <w:ind w:firstLineChars="0"/>
            </w:pPr>
            <w:r>
              <w:rPr>
                <w:rFonts w:hint="eastAsia"/>
              </w:rPr>
              <w:t>建设事故池1座，容积3000m</w:t>
            </w:r>
            <w:r>
              <w:rPr>
                <w:rFonts w:hint="eastAsia"/>
                <w:vertAlign w:val="superscript"/>
              </w:rPr>
              <w:t>3</w:t>
            </w:r>
            <w:r>
              <w:rPr>
                <w:rFonts w:hint="eastAsia"/>
              </w:rPr>
              <w:t>，建设1套Feton应急污水处理设施；</w:t>
            </w:r>
          </w:p>
          <w:p>
            <w:pPr>
              <w:pStyle w:val="5"/>
              <w:numPr>
                <w:ilvl w:val="0"/>
                <w:numId w:val="17"/>
              </w:numPr>
              <w:ind w:firstLineChars="0"/>
            </w:pPr>
            <w:r>
              <w:rPr>
                <w:rFonts w:hint="eastAsia"/>
              </w:rPr>
              <w:t>设置进出水水质在线自动监测装置，及时监控水质。当发现现进水异常，可能导致污水处理系统受损和出水超标时，立即启动应急预案，开展污染物溯源，留存水样和泥样、保存监测记录和现场视频等证据，并第一时间向生态环境部门及相关主管部门报告，当当尾水不达标时通过管道回流至进调节池，避免超标尾水排放。</w:t>
            </w:r>
          </w:p>
          <w:p>
            <w:pPr>
              <w:pStyle w:val="5"/>
              <w:numPr>
                <w:ilvl w:val="0"/>
                <w:numId w:val="17"/>
              </w:numPr>
              <w:ind w:firstLineChars="0"/>
            </w:pPr>
            <w:r>
              <w:rPr>
                <w:rFonts w:hint="eastAsia"/>
              </w:rPr>
              <w:t>配合地方人民政府或集聚区管理机构认真调查实际接纳的工业污水类型，发现存在现有工艺无法处理的工业污水且无法与来水单位协商解决的，要书面报请当地人民政府依法采取相应措施。</w:t>
            </w:r>
          </w:p>
          <w:p>
            <w:pPr>
              <w:pStyle w:val="5"/>
              <w:numPr>
                <w:ilvl w:val="0"/>
                <w:numId w:val="17"/>
              </w:numPr>
              <w:ind w:firstLineChars="0"/>
            </w:pPr>
            <w:r>
              <w:rPr>
                <w:rFonts w:hint="eastAsia"/>
              </w:rPr>
              <w:t>污水厂安装中控系统，严格控制处理单元的水量、水质、停留时间、负荷强度等，确保处理效果的稳定性，定期采样监测，操作人员及时调整，使设备处于最佳工况，发现不正常现象，应立即采取预防措施。</w:t>
            </w:r>
          </w:p>
          <w:p>
            <w:pPr>
              <w:pStyle w:val="5"/>
              <w:numPr>
                <w:ilvl w:val="0"/>
                <w:numId w:val="17"/>
              </w:numPr>
              <w:ind w:firstLineChars="0"/>
            </w:pPr>
            <w:r>
              <w:rPr>
                <w:rFonts w:hint="eastAsia"/>
              </w:rPr>
              <w:t>选用优质设备，对污水处理厂各种机械电器、仪表等设备，必须选择质量优良、事故率低、便于维修的产品。易损部件要有备用件，在出现事故时能及时更换。</w:t>
            </w:r>
          </w:p>
          <w:p>
            <w:pPr>
              <w:pStyle w:val="5"/>
              <w:numPr>
                <w:ilvl w:val="0"/>
                <w:numId w:val="17"/>
              </w:numPr>
              <w:ind w:firstLineChars="0"/>
            </w:pPr>
            <w:r>
              <w:rPr>
                <w:rFonts w:hint="eastAsia"/>
              </w:rPr>
              <w:t>建立废水处理厂运行管理和操作责任制度；对管理和操作人员进行培训，建立技术考核档案，不合格者不得上岗；聘请有经验的专业技术人员负责厂内的技术管理工作。</w:t>
            </w:r>
          </w:p>
          <w:p>
            <w:pPr>
              <w:pStyle w:val="5"/>
              <w:numPr>
                <w:ilvl w:val="0"/>
                <w:numId w:val="17"/>
              </w:numPr>
              <w:ind w:firstLineChars="0"/>
            </w:pPr>
            <w:r>
              <w:rPr>
                <w:rFonts w:hint="eastAsia"/>
              </w:rPr>
              <w:t>污泥处理处置设施运营单位应安全处置污泥及固体废物，保证处理处置后的污泥符合国家或地方有关标准，并对处理处置后的污泥去向、用途、用量等进行跟踪、记录和报告，不得造成二次污染。</w:t>
            </w:r>
          </w:p>
          <w:p>
            <w:pPr>
              <w:pStyle w:val="5"/>
              <w:numPr>
                <w:ilvl w:val="0"/>
                <w:numId w:val="17"/>
              </w:numPr>
              <w:ind w:firstLineChars="0"/>
            </w:pPr>
            <w:r>
              <w:rPr>
                <w:rFonts w:hint="eastAsia"/>
              </w:rPr>
              <w:t>污水厂应形成完善的安全操作规程，涉及下井作业时，严格按照操作规程进行，开井通风后使用有害气体检测仪检测有害气体的残留量，现场应有一定数量的监护人员，下井操作人员佩戴防护设备、安全绳等，避免中毒事件的发生。</w:t>
            </w:r>
          </w:p>
          <w:p>
            <w:pPr>
              <w:pStyle w:val="5"/>
              <w:numPr>
                <w:ilvl w:val="0"/>
                <w:numId w:val="17"/>
              </w:numPr>
              <w:ind w:firstLineChars="0"/>
            </w:pPr>
            <w:r>
              <w:rPr>
                <w:rFonts w:hint="eastAsia"/>
              </w:rPr>
              <w:t>污水处理厂应建立健全有限空间作业安全管理制度和安全操作规程，进行有限空间作业，作业人员开启时可能接触有限空间内涌出的有毒有害气体的，应佩戴相应的呼吸防护用品，按照相关有限空间作业要求进行，使用有害气体检测仪检测有害气体的残留量，现场应有一定数量的监护人员，下井操作人员佩戴防护设备、安全绳等，避免中毒事件的发生。</w:t>
            </w:r>
          </w:p>
          <w:p>
            <w:pPr>
              <w:pStyle w:val="5"/>
              <w:numPr>
                <w:ilvl w:val="0"/>
                <w:numId w:val="17"/>
              </w:numPr>
              <w:ind w:firstLineChars="0"/>
            </w:pPr>
            <w:r>
              <w:rPr>
                <w:rFonts w:hint="eastAsia"/>
              </w:rPr>
              <w:t>加强员工的培训，提高员工理论知识，调动员工的积极性，不断改善工作。培养员</w:t>
            </w:r>
            <w:r>
              <w:t xml:space="preserve"> 工的四种能力：发现异常的能力，处理异常的能力，制定基准的能力，维持管理的能力。</w:t>
            </w:r>
          </w:p>
          <w:p>
            <w:pPr>
              <w:pStyle w:val="5"/>
              <w:numPr>
                <w:ilvl w:val="0"/>
                <w:numId w:val="17"/>
              </w:numPr>
              <w:ind w:firstLineChars="0"/>
            </w:pPr>
            <w:r>
              <w:rPr>
                <w:rFonts w:hint="eastAsia"/>
              </w:rPr>
              <w:t>设置雨污切换阀，当发生事故或火灾等时，将事故废水、消防废水、初期雨水导入事故水池暂存，当污水处理厂恢复正常运行后导入污水处理厂设施处理达标排放。根据《奉节县城乡生活污水处理设施建设运行管理办法的通知》（奉节府办发〔2022〕88号），因突发事故等需要停运的，应当立即启动应急预案，禁止污水直排外环境，并在半小时内报告县住房城乡建委和县生态环境局。恢复正常运行后，应当及时向县住房城乡建委和县生态环境局报告。</w:t>
            </w:r>
          </w:p>
          <w:p>
            <w:pPr>
              <w:pStyle w:val="5"/>
              <w:ind w:firstLine="482"/>
              <w:rPr>
                <w:b/>
                <w:bCs/>
              </w:rPr>
            </w:pPr>
            <w:r>
              <w:rPr>
                <w:rFonts w:hint="eastAsia"/>
                <w:b/>
                <w:bCs/>
              </w:rPr>
              <w:t>二、事故池容积有效性分析</w:t>
            </w:r>
          </w:p>
          <w:p>
            <w:pPr>
              <w:pStyle w:val="5"/>
              <w:ind w:firstLine="480"/>
            </w:pPr>
            <w:r>
              <w:rPr>
                <w:rFonts w:hint="eastAsia"/>
              </w:rPr>
              <w:t>厂区内事故情况主要为泄漏和火灾，厂区内池体采用钢混结构因破损发生污水大量泄漏可能性较低。各池体之间管道设置阀门发生管道破损泄漏时及时关闭阀门，泄漏量不大，泄漏废水通过厂区内雨水沟进入雨水管道进入事故池暂存。厂内发生火灾后产生消防废水，产生量较大。</w:t>
            </w:r>
          </w:p>
          <w:p>
            <w:pPr>
              <w:pStyle w:val="5"/>
              <w:ind w:firstLine="480"/>
            </w:pPr>
            <w:r>
              <w:t>根据《水体污染防控紧急措施设计导则》，事故储存设施总有效容积计算公</w:t>
            </w:r>
            <w:r>
              <w:rPr>
                <w:kern w:val="0"/>
              </w:rPr>
              <w:t>式为：</w:t>
            </w:r>
          </w:p>
          <w:p>
            <w:pPr>
              <w:pStyle w:val="5"/>
              <w:ind w:firstLine="480"/>
              <w:rPr>
                <w:vertAlign w:val="subscript"/>
              </w:rPr>
            </w:pPr>
            <w:r>
              <w:t>V</w:t>
            </w:r>
            <w:r>
              <w:rPr>
                <w:vertAlign w:val="subscript"/>
              </w:rPr>
              <w:t>总</w:t>
            </w:r>
            <w:r>
              <w:t>=（V</w:t>
            </w:r>
            <w:r>
              <w:rPr>
                <w:vertAlign w:val="subscript"/>
              </w:rPr>
              <w:t>1</w:t>
            </w:r>
            <w:r>
              <w:t>+V</w:t>
            </w:r>
            <w:r>
              <w:rPr>
                <w:vertAlign w:val="subscript"/>
              </w:rPr>
              <w:t>2</w:t>
            </w:r>
            <w:r>
              <w:t>-V</w:t>
            </w:r>
            <w:r>
              <w:rPr>
                <w:vertAlign w:val="subscript"/>
              </w:rPr>
              <w:t>3</w:t>
            </w:r>
            <w:r>
              <w:t>）</w:t>
            </w:r>
            <w:r>
              <w:rPr>
                <w:vertAlign w:val="subscript"/>
              </w:rPr>
              <w:t>max</w:t>
            </w:r>
            <w:r>
              <w:t>+V</w:t>
            </w:r>
            <w:r>
              <w:rPr>
                <w:vertAlign w:val="subscript"/>
              </w:rPr>
              <w:t>4</w:t>
            </w:r>
            <w:r>
              <w:t>+V</w:t>
            </w:r>
            <w:r>
              <w:rPr>
                <w:vertAlign w:val="subscript"/>
              </w:rPr>
              <w:t>5</w:t>
            </w:r>
          </w:p>
          <w:p>
            <w:pPr>
              <w:pStyle w:val="5"/>
              <w:ind w:firstLine="480"/>
            </w:pPr>
            <w:r>
              <w:t>式中： V</w:t>
            </w:r>
            <w:r>
              <w:rPr>
                <w:vertAlign w:val="subscript"/>
              </w:rPr>
              <w:t>1</w:t>
            </w:r>
            <w:r>
              <w:t>—收集系统范围内发生事故的一个罐组或一套装置的物料量m</w:t>
            </w:r>
            <w:r>
              <w:rPr>
                <w:vertAlign w:val="superscript"/>
              </w:rPr>
              <w:t>3</w:t>
            </w:r>
            <w:r>
              <w:t>（储存相同物料的罐组按一个最大储罐计，装置物料量按存留最大物料量的一台反应器或中间储罐计）；</w:t>
            </w:r>
          </w:p>
          <w:p>
            <w:pPr>
              <w:pStyle w:val="5"/>
              <w:ind w:firstLine="480"/>
            </w:pPr>
            <w:r>
              <w:t>V</w:t>
            </w:r>
            <w:r>
              <w:rPr>
                <w:vertAlign w:val="subscript"/>
              </w:rPr>
              <w:t>2</w:t>
            </w:r>
            <w:r>
              <w:t>—发生事故的储罐或装置的消防水量，m</w:t>
            </w:r>
            <w:r>
              <w:rPr>
                <w:vertAlign w:val="superscript"/>
              </w:rPr>
              <w:t>3</w:t>
            </w:r>
            <w:r>
              <w:t>；V</w:t>
            </w:r>
            <w:r>
              <w:rPr>
                <w:vertAlign w:val="subscript"/>
              </w:rPr>
              <w:t>2</w:t>
            </w:r>
            <w:r>
              <w:t>=∑Q</w:t>
            </w:r>
            <w:r>
              <w:rPr>
                <w:vertAlign w:val="subscript"/>
              </w:rPr>
              <w:t>消</w:t>
            </w:r>
            <w:r>
              <w:t>t</w:t>
            </w:r>
            <w:r>
              <w:rPr>
                <w:vertAlign w:val="subscript"/>
              </w:rPr>
              <w:t>消</w:t>
            </w:r>
            <w:r>
              <w:t>；Q</w:t>
            </w:r>
            <w:r>
              <w:rPr>
                <w:vertAlign w:val="subscript"/>
              </w:rPr>
              <w:t>消</w:t>
            </w:r>
            <w:r>
              <w:t>为发生事故的储罐或装置的同时使用的消防设施给水流量，单位为m</w:t>
            </w:r>
            <w:r>
              <w:rPr>
                <w:vertAlign w:val="superscript"/>
              </w:rPr>
              <w:t>3</w:t>
            </w:r>
            <w:r>
              <w:t>/h；t消为消防设施对应的设计消防历时，单位为h</w:t>
            </w:r>
            <w:r>
              <w:rPr>
                <w:rFonts w:hint="eastAsia"/>
              </w:rPr>
              <w:t>；</w:t>
            </w:r>
          </w:p>
          <w:p>
            <w:pPr>
              <w:pStyle w:val="5"/>
              <w:ind w:firstLine="480"/>
            </w:pPr>
            <w:r>
              <w:t>V</w:t>
            </w:r>
            <w:r>
              <w:rPr>
                <w:vertAlign w:val="subscript"/>
              </w:rPr>
              <w:t>3</w:t>
            </w:r>
            <w:r>
              <w:t>—发生事故时可以转输到其他设施的物料量，m</w:t>
            </w:r>
            <w:r>
              <w:rPr>
                <w:vertAlign w:val="superscript"/>
              </w:rPr>
              <w:t>3</w:t>
            </w:r>
            <w:r>
              <w:rPr>
                <w:rFonts w:hint="eastAsia"/>
              </w:rPr>
              <w:t>；</w:t>
            </w:r>
          </w:p>
          <w:p>
            <w:pPr>
              <w:pStyle w:val="5"/>
              <w:ind w:firstLine="480"/>
            </w:pPr>
            <w:r>
              <w:t>V</w:t>
            </w:r>
            <w:r>
              <w:rPr>
                <w:vertAlign w:val="subscript"/>
              </w:rPr>
              <w:t>4</w:t>
            </w:r>
            <w:r>
              <w:t>—发生事故时仍必须进入该收集系统的生产废水量，m</w:t>
            </w:r>
            <w:r>
              <w:rPr>
                <w:vertAlign w:val="superscript"/>
              </w:rPr>
              <w:t>3</w:t>
            </w:r>
            <w:r>
              <w:t>；若发生事故，厂区</w:t>
            </w:r>
            <w:r>
              <w:rPr>
                <w:kern w:val="0"/>
              </w:rPr>
              <w:t xml:space="preserve"> </w:t>
            </w:r>
            <w:r>
              <w:rPr>
                <w:rFonts w:hint="eastAsia"/>
                <w:kern w:val="0"/>
              </w:rPr>
              <w:t>“</w:t>
            </w:r>
            <w:r>
              <w:rPr>
                <w:kern w:val="0"/>
              </w:rPr>
              <w:t>清净下水</w:t>
            </w:r>
            <w:r>
              <w:rPr>
                <w:rFonts w:hint="eastAsia"/>
                <w:kern w:val="0"/>
              </w:rPr>
              <w:t>”</w:t>
            </w:r>
            <w:r>
              <w:t>将收集</w:t>
            </w:r>
            <w:r>
              <w:rPr>
                <w:kern w:val="0"/>
              </w:rPr>
              <w:t>于事故池；</w:t>
            </w:r>
          </w:p>
          <w:p>
            <w:pPr>
              <w:pStyle w:val="5"/>
              <w:ind w:firstLine="480"/>
            </w:pPr>
            <w:r>
              <w:t>V</w:t>
            </w:r>
            <w:r>
              <w:rPr>
                <w:vertAlign w:val="subscript"/>
              </w:rPr>
              <w:t>5</w:t>
            </w:r>
            <w:r>
              <w:t>—发生事故时可能进入该收集系统的降雨量，m</w:t>
            </w:r>
            <w:r>
              <w:rPr>
                <w:vertAlign w:val="superscript"/>
              </w:rPr>
              <w:t>3</w:t>
            </w:r>
            <w:r>
              <w:t>；</w:t>
            </w:r>
          </w:p>
          <w:p>
            <w:pPr>
              <w:pStyle w:val="5"/>
              <w:ind w:firstLine="480"/>
            </w:pPr>
            <w:r>
              <w:t>a、</w:t>
            </w:r>
            <w:r>
              <w:rPr>
                <w:spacing w:val="-2"/>
              </w:rPr>
              <w:t>泄漏物料</w:t>
            </w:r>
            <w:r>
              <w:t>V</w:t>
            </w:r>
            <w:r>
              <w:rPr>
                <w:vertAlign w:val="subscript"/>
              </w:rPr>
              <w:t>1</w:t>
            </w:r>
            <w:r>
              <w:t>：</w:t>
            </w:r>
            <w:r>
              <w:rPr>
                <w:rFonts w:hint="eastAsia"/>
              </w:rPr>
              <w:t>按加药间贮存物料进行核算，最大储存量22m</w:t>
            </w:r>
            <w:r>
              <w:rPr>
                <w:rFonts w:hint="eastAsia"/>
                <w:vertAlign w:val="superscript"/>
              </w:rPr>
              <w:t>3</w:t>
            </w:r>
            <w:r>
              <w:rPr>
                <w:rFonts w:hint="eastAsia"/>
              </w:rPr>
              <w:t>计</w:t>
            </w:r>
            <w:r>
              <w:rPr>
                <w:spacing w:val="-2"/>
              </w:rPr>
              <w:t>。</w:t>
            </w:r>
          </w:p>
          <w:p>
            <w:pPr>
              <w:pStyle w:val="5"/>
              <w:ind w:firstLine="480"/>
            </w:pPr>
            <w:r>
              <w:t>b、消防水V</w:t>
            </w:r>
            <w:r>
              <w:rPr>
                <w:vertAlign w:val="subscript"/>
              </w:rPr>
              <w:t>2</w:t>
            </w:r>
            <w:r>
              <w:t>：</w:t>
            </w:r>
            <w:r>
              <w:rPr>
                <w:rFonts w:hint="eastAsia"/>
              </w:rPr>
              <w:t>（1）综合楼室内消火栓用水量2</w:t>
            </w:r>
            <w:r>
              <w:t>0</w:t>
            </w:r>
            <w:r>
              <w:rPr>
                <w:rFonts w:hint="eastAsia"/>
              </w:rPr>
              <w:t>L</w:t>
            </w:r>
            <w:r>
              <w:t>/</w:t>
            </w:r>
            <w:r>
              <w:rPr>
                <w:rFonts w:hint="eastAsia"/>
              </w:rPr>
              <w:t>s，室外消防水量4</w:t>
            </w:r>
            <w:r>
              <w:t>0</w:t>
            </w:r>
            <w:r>
              <w:rPr>
                <w:rFonts w:hint="eastAsia"/>
              </w:rPr>
              <w:t>L</w:t>
            </w:r>
            <w:r>
              <w:t>/</w:t>
            </w:r>
            <w:r>
              <w:rPr>
                <w:rFonts w:hint="eastAsia"/>
              </w:rPr>
              <w:t>s，火灾延续时间3h，自动喷淋流量4</w:t>
            </w:r>
            <w:r>
              <w:t>2</w:t>
            </w:r>
            <w:r>
              <w:rPr>
                <w:rFonts w:hint="eastAsia"/>
              </w:rPr>
              <w:t>L</w:t>
            </w:r>
            <w:r>
              <w:t>/</w:t>
            </w:r>
            <w:r>
              <w:rPr>
                <w:rFonts w:hint="eastAsia"/>
              </w:rPr>
              <w:t>s，火灾延续时间1h，消防水量合计7</w:t>
            </w:r>
            <w:r>
              <w:t>99.2</w:t>
            </w:r>
            <w:r>
              <w:rPr>
                <w:rFonts w:hint="eastAsia"/>
              </w:rPr>
              <w:t>m</w:t>
            </w:r>
            <w:r>
              <w:rPr>
                <w:rFonts w:hint="eastAsia"/>
                <w:vertAlign w:val="superscript"/>
              </w:rPr>
              <w:t>3</w:t>
            </w:r>
            <w:r>
              <w:rPr>
                <w:rFonts w:hint="eastAsia"/>
              </w:rPr>
              <w:t>；（2）加药间消火栓用水量</w:t>
            </w:r>
            <w:r>
              <w:t>10</w:t>
            </w:r>
            <w:r>
              <w:rPr>
                <w:rFonts w:hint="eastAsia"/>
              </w:rPr>
              <w:t>L</w:t>
            </w:r>
            <w:r>
              <w:t>/</w:t>
            </w:r>
            <w:r>
              <w:rPr>
                <w:rFonts w:hint="eastAsia"/>
              </w:rPr>
              <w:t>s，室外消防水量</w:t>
            </w:r>
            <w:r>
              <w:t>15</w:t>
            </w:r>
            <w:r>
              <w:rPr>
                <w:rFonts w:hint="eastAsia"/>
              </w:rPr>
              <w:t>L</w:t>
            </w:r>
            <w:r>
              <w:t>/</w:t>
            </w:r>
            <w:r>
              <w:rPr>
                <w:rFonts w:hint="eastAsia"/>
              </w:rPr>
              <w:t>s，火灾延续时间3h，</w:t>
            </w:r>
            <w:r>
              <w:rPr>
                <w:kern w:val="0"/>
              </w:rPr>
              <w:t>消防水量</w:t>
            </w:r>
            <w:r>
              <w:rPr>
                <w:rFonts w:hint="eastAsia"/>
                <w:kern w:val="0"/>
              </w:rPr>
              <w:t>合计</w:t>
            </w:r>
            <w:r>
              <w:rPr>
                <w:kern w:val="0"/>
              </w:rPr>
              <w:t>270</w:t>
            </w:r>
            <w:r>
              <w:t>m</w:t>
            </w:r>
            <w:r>
              <w:rPr>
                <w:vertAlign w:val="superscript"/>
              </w:rPr>
              <w:t>3</w:t>
            </w:r>
            <w:r>
              <w:rPr>
                <w:rFonts w:hint="eastAsia"/>
              </w:rPr>
              <w:t>。（3）污泥脱水房、维修车间、鼓风机房</w:t>
            </w:r>
            <w:r>
              <w:rPr>
                <w:rFonts w:hint="eastAsia" w:hAnsi="宋体"/>
              </w:rPr>
              <w:t>室内消火栓用水量2</w:t>
            </w:r>
            <w:r>
              <w:rPr>
                <w:rFonts w:hAnsi="宋体"/>
              </w:rPr>
              <w:t>0</w:t>
            </w:r>
            <w:r>
              <w:rPr>
                <w:rFonts w:hint="eastAsia" w:hAnsi="宋体"/>
              </w:rPr>
              <w:t>L</w:t>
            </w:r>
            <w:r>
              <w:rPr>
                <w:rFonts w:hAnsi="宋体"/>
              </w:rPr>
              <w:t>/</w:t>
            </w:r>
            <w:r>
              <w:rPr>
                <w:rFonts w:hint="eastAsia" w:hAnsi="宋体"/>
              </w:rPr>
              <w:t>s，室外消防水量</w:t>
            </w:r>
            <w:r>
              <w:rPr>
                <w:rFonts w:hAnsi="宋体"/>
              </w:rPr>
              <w:t>30</w:t>
            </w:r>
            <w:r>
              <w:rPr>
                <w:rFonts w:hint="eastAsia" w:hAnsi="宋体"/>
              </w:rPr>
              <w:t>L</w:t>
            </w:r>
            <w:r>
              <w:rPr>
                <w:rFonts w:hAnsi="宋体"/>
              </w:rPr>
              <w:t>/</w:t>
            </w:r>
            <w:r>
              <w:rPr>
                <w:rFonts w:hint="eastAsia" w:hAnsi="宋体"/>
              </w:rPr>
              <w:t>s，火灾延续时间3h，自动喷淋流量</w:t>
            </w:r>
            <w:r>
              <w:rPr>
                <w:rFonts w:hAnsi="宋体"/>
              </w:rPr>
              <w:t>21</w:t>
            </w:r>
            <w:r>
              <w:rPr>
                <w:rFonts w:hint="eastAsia" w:hAnsi="宋体"/>
              </w:rPr>
              <w:t>L</w:t>
            </w:r>
            <w:r>
              <w:rPr>
                <w:rFonts w:hAnsi="宋体"/>
              </w:rPr>
              <w:t>/</w:t>
            </w:r>
            <w:r>
              <w:rPr>
                <w:rFonts w:hint="eastAsia" w:hAnsi="宋体"/>
              </w:rPr>
              <w:t>s，火灾延续时间1h，</w:t>
            </w:r>
            <w:r>
              <w:rPr>
                <w:rFonts w:hAnsi="宋体"/>
                <w:kern w:val="0"/>
              </w:rPr>
              <w:t>消防水量</w:t>
            </w:r>
            <w:r>
              <w:rPr>
                <w:rFonts w:hint="eastAsia" w:hAnsi="宋体"/>
                <w:kern w:val="0"/>
              </w:rPr>
              <w:t>合计</w:t>
            </w:r>
            <w:r>
              <w:rPr>
                <w:kern w:val="0"/>
              </w:rPr>
              <w:t>615.6</w:t>
            </w:r>
            <w:r>
              <w:t>m</w:t>
            </w:r>
            <w:r>
              <w:rPr>
                <w:vertAlign w:val="superscript"/>
              </w:rPr>
              <w:t>3</w:t>
            </w:r>
            <w:r>
              <w:rPr>
                <w:rFonts w:hint="eastAsia"/>
              </w:rPr>
              <w:t>。</w:t>
            </w:r>
          </w:p>
          <w:p>
            <w:pPr>
              <w:pStyle w:val="5"/>
              <w:ind w:firstLine="472"/>
            </w:pPr>
            <w:r>
              <w:rPr>
                <w:spacing w:val="-2"/>
              </w:rPr>
              <w:t>c、</w:t>
            </w:r>
            <w:r>
              <w:t>转输物料量V</w:t>
            </w:r>
            <w:r>
              <w:rPr>
                <w:vertAlign w:val="subscript"/>
              </w:rPr>
              <w:t>3</w:t>
            </w:r>
            <w:r>
              <w:t>：V</w:t>
            </w:r>
            <w:r>
              <w:rPr>
                <w:vertAlign w:val="subscript"/>
              </w:rPr>
              <w:t>3</w:t>
            </w:r>
            <w:r>
              <w:t>为</w:t>
            </w:r>
            <w:r>
              <w:rPr>
                <w:rFonts w:hint="eastAsia"/>
              </w:rPr>
              <w:t>100</w:t>
            </w:r>
            <w:r>
              <w:t>m</w:t>
            </w:r>
            <w:r>
              <w:rPr>
                <w:vertAlign w:val="superscript"/>
              </w:rPr>
              <w:t>3</w:t>
            </w:r>
            <w:r>
              <w:t>。</w:t>
            </w:r>
          </w:p>
          <w:p>
            <w:pPr>
              <w:pStyle w:val="5"/>
              <w:ind w:firstLine="472"/>
            </w:pPr>
            <w:r>
              <w:rPr>
                <w:spacing w:val="-2"/>
              </w:rPr>
              <w:t>d、</w:t>
            </w:r>
            <w:r>
              <w:t>事故状态下可能进入该收集系统的生产废水V</w:t>
            </w:r>
            <w:r>
              <w:rPr>
                <w:vertAlign w:val="subscript"/>
              </w:rPr>
              <w:t>4</w:t>
            </w:r>
            <w:r>
              <w:t>：若发生事故，将厂区废水（</w:t>
            </w:r>
            <w:r>
              <w:rPr>
                <w:rFonts w:hint="eastAsia"/>
              </w:rPr>
              <w:t>项目共计10000</w:t>
            </w:r>
            <w:r>
              <w:t>m</w:t>
            </w:r>
            <w:r>
              <w:rPr>
                <w:vertAlign w:val="superscript"/>
              </w:rPr>
              <w:t>3</w:t>
            </w:r>
            <w:r>
              <w:t>/d）收集于事故池。按3h计算，废水量</w:t>
            </w:r>
            <w:r>
              <w:rPr>
                <w:rFonts w:hint="eastAsia"/>
              </w:rPr>
              <w:t>1250</w:t>
            </w:r>
            <w:r>
              <w:t>m</w:t>
            </w:r>
            <w:r>
              <w:rPr>
                <w:vertAlign w:val="superscript"/>
              </w:rPr>
              <w:t>3</w:t>
            </w:r>
            <w:r>
              <w:t>。</w:t>
            </w:r>
          </w:p>
          <w:p>
            <w:pPr>
              <w:pStyle w:val="5"/>
              <w:ind w:firstLine="480"/>
            </w:pPr>
            <w:r>
              <w:rPr>
                <w:rFonts w:hint="eastAsia"/>
              </w:rPr>
              <w:t>e、</w:t>
            </w:r>
            <w:r>
              <w:t>初期污染雨水量V</w:t>
            </w:r>
            <w:r>
              <w:rPr>
                <w:vertAlign w:val="subscript"/>
              </w:rPr>
              <w:t>5</w:t>
            </w:r>
            <w:r>
              <w:rPr>
                <w:rFonts w:hint="eastAsia"/>
              </w:rPr>
              <w:t>：8.7</w:t>
            </w:r>
            <w:r>
              <w:t>m</w:t>
            </w:r>
            <w:r>
              <w:rPr>
                <w:vertAlign w:val="superscript"/>
              </w:rPr>
              <w:t>3</w:t>
            </w:r>
            <w:r>
              <w:t>/次。</w:t>
            </w:r>
          </w:p>
          <w:p>
            <w:pPr>
              <w:pStyle w:val="5"/>
              <w:ind w:firstLine="480"/>
            </w:pPr>
            <w:r>
              <w:t>V</w:t>
            </w:r>
            <w:r>
              <w:rPr>
                <w:vertAlign w:val="subscript"/>
              </w:rPr>
              <w:t>5</w:t>
            </w:r>
            <w:r>
              <w:t>=10qF</w:t>
            </w:r>
          </w:p>
          <w:p>
            <w:pPr>
              <w:pStyle w:val="5"/>
              <w:ind w:firstLine="480"/>
            </w:pPr>
            <w:r>
              <w:t>q—降雨强度，mm，按平均日降雨量；</w:t>
            </w:r>
          </w:p>
          <w:p>
            <w:pPr>
              <w:pStyle w:val="5"/>
              <w:ind w:firstLine="480"/>
            </w:pPr>
            <w:r>
              <w:t>q=q</w:t>
            </w:r>
            <w:r>
              <w:rPr>
                <w:vertAlign w:val="subscript"/>
              </w:rPr>
              <w:t>a</w:t>
            </w:r>
            <w:r>
              <w:t>/n</w:t>
            </w:r>
          </w:p>
          <w:p>
            <w:pPr>
              <w:pStyle w:val="5"/>
              <w:ind w:firstLine="480"/>
            </w:pPr>
            <w:r>
              <w:t>q</w:t>
            </w:r>
            <w:r>
              <w:rPr>
                <w:vertAlign w:val="subscript"/>
              </w:rPr>
              <w:t>a</w:t>
            </w:r>
            <w:r>
              <w:t>—年平均降雨量，取</w:t>
            </w:r>
            <w:r>
              <w:rPr>
                <w:rFonts w:hint="eastAsia"/>
              </w:rPr>
              <w:t>1305</w:t>
            </w:r>
            <w:r>
              <w:t>mm；</w:t>
            </w:r>
          </w:p>
          <w:p>
            <w:pPr>
              <w:pStyle w:val="5"/>
              <w:ind w:firstLine="480"/>
            </w:pPr>
            <w:r>
              <w:t>n—年平均降雨日数，取</w:t>
            </w:r>
            <w:r>
              <w:rPr>
                <w:rFonts w:hint="eastAsia"/>
              </w:rPr>
              <w:t>150</w:t>
            </w:r>
            <w:r>
              <w:t>天。</w:t>
            </w:r>
          </w:p>
          <w:p>
            <w:pPr>
              <w:pStyle w:val="5"/>
              <w:ind w:firstLine="480"/>
            </w:pPr>
            <w:r>
              <w:t>F—全厂必须进入事故废水收集系统的雨水汇水面积，取</w:t>
            </w:r>
            <w:r>
              <w:rPr>
                <w:rFonts w:hint="eastAsia"/>
              </w:rPr>
              <w:t>0.1</w:t>
            </w:r>
            <w:r>
              <w:t>hm</w:t>
            </w:r>
            <w:r>
              <w:rPr>
                <w:vertAlign w:val="superscript"/>
              </w:rPr>
              <w:t>2</w:t>
            </w:r>
            <w:r>
              <w:rPr>
                <w:rFonts w:hint="eastAsia"/>
              </w:rPr>
              <w:t>（考虑加药间周围）</w:t>
            </w:r>
            <w:r>
              <w:t>；</w:t>
            </w:r>
          </w:p>
          <w:p>
            <w:pPr>
              <w:pStyle w:val="5"/>
              <w:ind w:firstLine="480"/>
            </w:pPr>
            <w:r>
              <w:t>计算事故池最小容积的参数选取及计算结果见</w:t>
            </w:r>
            <w:r>
              <w:fldChar w:fldCharType="begin"/>
            </w:r>
            <w:r>
              <w:instrText xml:space="preserve"> REF _Ref170718935 \h  \* MERGEFORMAT </w:instrText>
            </w:r>
            <w:r>
              <w:fldChar w:fldCharType="separate"/>
            </w:r>
            <w:r>
              <w:t>表 4.2</w:t>
            </w:r>
            <w:r>
              <w:noBreakHyphen/>
            </w:r>
            <w:r>
              <w:t>33</w:t>
            </w:r>
            <w:r>
              <w:fldChar w:fldCharType="end"/>
            </w:r>
            <w:r>
              <w:t>。</w:t>
            </w:r>
          </w:p>
          <w:p>
            <w:pPr>
              <w:pStyle w:val="14"/>
              <w:keepNext/>
            </w:pPr>
            <w:bookmarkStart w:id="89" w:name="_Ref170718935"/>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33</w:t>
            </w:r>
            <w:r>
              <w:fldChar w:fldCharType="end"/>
            </w:r>
            <w:bookmarkEnd w:id="89"/>
            <w:r>
              <w:rPr>
                <w:rFonts w:hint="eastAsia"/>
              </w:rPr>
              <w:t xml:space="preserve">   事故池最小容积计算表</w:t>
            </w:r>
          </w:p>
          <w:tbl>
            <w:tblPr>
              <w:tblStyle w:val="38"/>
              <w:tblW w:w="7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7"/>
              <w:gridCol w:w="2073"/>
              <w:gridCol w:w="3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7" w:type="dxa"/>
                  <w:vMerge w:val="restart"/>
                  <w:vAlign w:val="center"/>
                </w:tcPr>
                <w:p>
                  <w:pPr>
                    <w:pStyle w:val="63"/>
                  </w:pPr>
                  <w:r>
                    <w:t>计算项目</w:t>
                  </w:r>
                </w:p>
              </w:tc>
              <w:tc>
                <w:tcPr>
                  <w:tcW w:w="2073" w:type="dxa"/>
                  <w:vAlign w:val="center"/>
                </w:tcPr>
                <w:p>
                  <w:pPr>
                    <w:pStyle w:val="63"/>
                  </w:pPr>
                  <w:r>
                    <w:t>计算区域</w:t>
                  </w:r>
                </w:p>
              </w:tc>
              <w:tc>
                <w:tcPr>
                  <w:tcW w:w="3347" w:type="dxa"/>
                  <w:vMerge w:val="restart"/>
                  <w:vAlign w:val="center"/>
                </w:tcPr>
                <w:p>
                  <w:pPr>
                    <w:pStyle w:val="63"/>
                  </w:pPr>
                  <w: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7" w:type="dxa"/>
                  <w:vMerge w:val="continue"/>
                  <w:vAlign w:val="center"/>
                </w:tcPr>
                <w:p>
                  <w:pPr>
                    <w:pStyle w:val="63"/>
                  </w:pPr>
                </w:p>
              </w:tc>
              <w:tc>
                <w:tcPr>
                  <w:tcW w:w="2073" w:type="dxa"/>
                  <w:vAlign w:val="center"/>
                </w:tcPr>
                <w:p>
                  <w:pPr>
                    <w:pStyle w:val="63"/>
                  </w:pPr>
                  <w:r>
                    <w:rPr>
                      <w:rFonts w:hint="eastAsia"/>
                    </w:rPr>
                    <w:t>加药间/综合楼</w:t>
                  </w:r>
                </w:p>
              </w:tc>
              <w:tc>
                <w:tcPr>
                  <w:tcW w:w="3347"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2507" w:type="dxa"/>
                  <w:vAlign w:val="center"/>
                </w:tcPr>
                <w:p>
                  <w:pPr>
                    <w:pStyle w:val="63"/>
                  </w:pPr>
                  <w:r>
                    <w:t>最大</w:t>
                  </w:r>
                  <w:r>
                    <w:rPr>
                      <w:rFonts w:hint="eastAsia"/>
                    </w:rPr>
                    <w:t>储存量</w:t>
                  </w:r>
                  <w:r>
                    <w:rPr>
                      <w:spacing w:val="2"/>
                    </w:rPr>
                    <w:t>V</w:t>
                  </w:r>
                  <w:r>
                    <w:rPr>
                      <w:spacing w:val="2"/>
                      <w:vertAlign w:val="subscript"/>
                    </w:rPr>
                    <w:t>1</w:t>
                  </w:r>
                  <w:r>
                    <w:t>/</w:t>
                  </w:r>
                  <w:r>
                    <w:rPr>
                      <w:spacing w:val="-3"/>
                    </w:rPr>
                    <w:t>m</w:t>
                  </w:r>
                  <w:r>
                    <w:rPr>
                      <w:spacing w:val="-3"/>
                      <w:vertAlign w:val="superscript"/>
                    </w:rPr>
                    <w:t>3</w:t>
                  </w:r>
                </w:p>
              </w:tc>
              <w:tc>
                <w:tcPr>
                  <w:tcW w:w="2073" w:type="dxa"/>
                  <w:vAlign w:val="center"/>
                </w:tcPr>
                <w:p>
                  <w:pPr>
                    <w:pStyle w:val="63"/>
                  </w:pPr>
                  <w:r>
                    <w:rPr>
                      <w:rFonts w:hint="eastAsia"/>
                    </w:rPr>
                    <w:t>22</w:t>
                  </w:r>
                </w:p>
              </w:tc>
              <w:tc>
                <w:tcPr>
                  <w:tcW w:w="3347" w:type="dxa"/>
                  <w:vAlign w:val="center"/>
                </w:tcPr>
                <w:p>
                  <w:pPr>
                    <w:pStyle w:val="63"/>
                  </w:pPr>
                  <w:r>
                    <w:rPr>
                      <w:rFonts w:hint="eastAsia"/>
                    </w:rPr>
                    <w:t>加药间贮存物料最大储存量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7" w:type="dxa"/>
                  <w:vAlign w:val="center"/>
                </w:tcPr>
                <w:p>
                  <w:pPr>
                    <w:pStyle w:val="63"/>
                  </w:pPr>
                  <w:r>
                    <w:t>最大消防水量</w:t>
                  </w:r>
                  <w:r>
                    <w:rPr>
                      <w:spacing w:val="2"/>
                    </w:rPr>
                    <w:t>V</w:t>
                  </w:r>
                  <w:r>
                    <w:rPr>
                      <w:spacing w:val="2"/>
                      <w:vertAlign w:val="subscript"/>
                    </w:rPr>
                    <w:t>2</w:t>
                  </w:r>
                  <w:r>
                    <w:t>/</w:t>
                  </w:r>
                  <w:r>
                    <w:rPr>
                      <w:spacing w:val="-3"/>
                    </w:rPr>
                    <w:t>m</w:t>
                  </w:r>
                  <w:r>
                    <w:rPr>
                      <w:spacing w:val="-3"/>
                      <w:vertAlign w:val="superscript"/>
                    </w:rPr>
                    <w:t>3</w:t>
                  </w:r>
                </w:p>
              </w:tc>
              <w:tc>
                <w:tcPr>
                  <w:tcW w:w="2073" w:type="dxa"/>
                  <w:vAlign w:val="center"/>
                </w:tcPr>
                <w:p>
                  <w:pPr>
                    <w:pStyle w:val="63"/>
                  </w:pPr>
                  <w:r>
                    <w:t>799.2</w:t>
                  </w:r>
                  <w:r>
                    <w:rPr>
                      <w:rFonts w:hint="eastAsia"/>
                    </w:rPr>
                    <w:t>（取最大值）</w:t>
                  </w:r>
                </w:p>
              </w:tc>
              <w:tc>
                <w:tcPr>
                  <w:tcW w:w="3347" w:type="dxa"/>
                  <w:vAlign w:val="center"/>
                </w:tcPr>
                <w:p>
                  <w:pPr>
                    <w:pStyle w:val="63"/>
                  </w:pPr>
                  <w:r>
                    <w:rPr>
                      <w:rFonts w:hint="eastAsia"/>
                    </w:rPr>
                    <w:t>综合楼7</w:t>
                  </w:r>
                  <w:r>
                    <w:t>99.2</w:t>
                  </w:r>
                  <w:r>
                    <w:rPr>
                      <w:rFonts w:hint="eastAsia"/>
                    </w:rPr>
                    <w:t>m</w:t>
                  </w:r>
                  <w:r>
                    <w:rPr>
                      <w:rFonts w:hint="eastAsia"/>
                      <w:vertAlign w:val="superscript"/>
                    </w:rPr>
                    <w:t>3</w:t>
                  </w:r>
                  <w:r>
                    <w:rPr>
                      <w:rFonts w:hint="eastAsia"/>
                    </w:rPr>
                    <w:t>，加药间</w:t>
                  </w:r>
                  <w:r>
                    <w:t>270</w:t>
                  </w:r>
                  <w:r>
                    <w:rPr>
                      <w:rFonts w:hint="eastAsia"/>
                    </w:rPr>
                    <w:t>m</w:t>
                  </w:r>
                  <w:r>
                    <w:rPr>
                      <w:rFonts w:hint="eastAsia"/>
                      <w:vertAlign w:val="superscript"/>
                    </w:rPr>
                    <w:t>3</w:t>
                  </w:r>
                  <w:r>
                    <w:rPr>
                      <w:rFonts w:hint="eastAsia"/>
                    </w:rPr>
                    <w:t>，污泥脱水房、维修车间、鼓风机房</w:t>
                  </w:r>
                  <w:r>
                    <w:rPr>
                      <w:kern w:val="0"/>
                    </w:rPr>
                    <w:t>615.6</w:t>
                  </w:r>
                  <w:r>
                    <w:t>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7" w:type="dxa"/>
                  <w:vAlign w:val="center"/>
                </w:tcPr>
                <w:p>
                  <w:pPr>
                    <w:pStyle w:val="63"/>
                  </w:pPr>
                  <w:r>
                    <w:t>转储物料量</w:t>
                  </w:r>
                  <w:r>
                    <w:rPr>
                      <w:spacing w:val="2"/>
                    </w:rPr>
                    <w:t>V</w:t>
                  </w:r>
                  <w:r>
                    <w:rPr>
                      <w:spacing w:val="2"/>
                      <w:vertAlign w:val="subscript"/>
                    </w:rPr>
                    <w:t>3</w:t>
                  </w:r>
                  <w:r>
                    <w:t>/</w:t>
                  </w:r>
                  <w:r>
                    <w:rPr>
                      <w:spacing w:val="-3"/>
                    </w:rPr>
                    <w:t xml:space="preserve"> m</w:t>
                  </w:r>
                  <w:r>
                    <w:rPr>
                      <w:spacing w:val="-3"/>
                      <w:vertAlign w:val="superscript"/>
                    </w:rPr>
                    <w:t>3</w:t>
                  </w:r>
                </w:p>
              </w:tc>
              <w:tc>
                <w:tcPr>
                  <w:tcW w:w="2073" w:type="dxa"/>
                  <w:vAlign w:val="center"/>
                </w:tcPr>
                <w:p>
                  <w:pPr>
                    <w:pStyle w:val="63"/>
                  </w:pPr>
                  <w:r>
                    <w:rPr>
                      <w:rFonts w:hint="eastAsia"/>
                    </w:rPr>
                    <w:t>100</w:t>
                  </w:r>
                </w:p>
              </w:tc>
              <w:tc>
                <w:tcPr>
                  <w:tcW w:w="3347"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7" w:type="dxa"/>
                  <w:vAlign w:val="center"/>
                </w:tcPr>
                <w:p>
                  <w:pPr>
                    <w:pStyle w:val="63"/>
                  </w:pPr>
                  <w:r>
                    <w:rPr>
                      <w:rFonts w:hint="eastAsia"/>
                    </w:rPr>
                    <w:t>生产废水、</w:t>
                  </w:r>
                  <w:r>
                    <w:t>事故状态下清净下水量</w:t>
                  </w:r>
                  <w:r>
                    <w:rPr>
                      <w:spacing w:val="2"/>
                    </w:rPr>
                    <w:t>V</w:t>
                  </w:r>
                  <w:r>
                    <w:rPr>
                      <w:spacing w:val="2"/>
                      <w:vertAlign w:val="subscript"/>
                    </w:rPr>
                    <w:t>4</w:t>
                  </w:r>
                  <w:r>
                    <w:t>/</w:t>
                  </w:r>
                  <w:r>
                    <w:rPr>
                      <w:spacing w:val="-3"/>
                    </w:rPr>
                    <w:t>m</w:t>
                  </w:r>
                  <w:r>
                    <w:rPr>
                      <w:spacing w:val="-3"/>
                      <w:vertAlign w:val="superscript"/>
                    </w:rPr>
                    <w:t>3</w:t>
                  </w:r>
                </w:p>
              </w:tc>
              <w:tc>
                <w:tcPr>
                  <w:tcW w:w="2073" w:type="dxa"/>
                  <w:vAlign w:val="center"/>
                </w:tcPr>
                <w:p>
                  <w:pPr>
                    <w:pStyle w:val="63"/>
                  </w:pPr>
                  <w:r>
                    <w:rPr>
                      <w:rFonts w:hint="eastAsia"/>
                    </w:rPr>
                    <w:t>1251</w:t>
                  </w:r>
                </w:p>
              </w:tc>
              <w:tc>
                <w:tcPr>
                  <w:tcW w:w="3347" w:type="dxa"/>
                  <w:vAlign w:val="center"/>
                </w:tcPr>
                <w:p>
                  <w:pPr>
                    <w:pStyle w:val="63"/>
                  </w:pPr>
                  <w:r>
                    <w:rPr>
                      <w:rFonts w:hint="eastAsia"/>
                    </w:rPr>
                    <w:t>废水417</w:t>
                  </w:r>
                  <w:r>
                    <w:t>m</w:t>
                  </w:r>
                  <w:r>
                    <w:rPr>
                      <w:vertAlign w:val="superscript"/>
                    </w:rPr>
                    <w:t>3</w:t>
                  </w:r>
                  <w:r>
                    <w:t>/</w:t>
                  </w:r>
                  <w:r>
                    <w:rPr>
                      <w:rFonts w:hint="eastAsia"/>
                    </w:rPr>
                    <w:t>h</w:t>
                  </w:r>
                  <w:r>
                    <w:t>，按3h计算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7" w:type="dxa"/>
                  <w:vAlign w:val="center"/>
                </w:tcPr>
                <w:p>
                  <w:pPr>
                    <w:pStyle w:val="63"/>
                  </w:pPr>
                  <w:r>
                    <w:t>初期雨水量</w:t>
                  </w:r>
                  <w:r>
                    <w:rPr>
                      <w:spacing w:val="2"/>
                    </w:rPr>
                    <w:t>V</w:t>
                  </w:r>
                  <w:r>
                    <w:rPr>
                      <w:spacing w:val="2"/>
                      <w:vertAlign w:val="subscript"/>
                    </w:rPr>
                    <w:t>5</w:t>
                  </w:r>
                  <w:r>
                    <w:t>/</w:t>
                  </w:r>
                  <w:r>
                    <w:rPr>
                      <w:spacing w:val="-3"/>
                    </w:rPr>
                    <w:t>m</w:t>
                  </w:r>
                  <w:r>
                    <w:rPr>
                      <w:spacing w:val="-3"/>
                      <w:vertAlign w:val="superscript"/>
                    </w:rPr>
                    <w:t>3</w:t>
                  </w:r>
                </w:p>
              </w:tc>
              <w:tc>
                <w:tcPr>
                  <w:tcW w:w="2073" w:type="dxa"/>
                  <w:vAlign w:val="center"/>
                </w:tcPr>
                <w:p>
                  <w:pPr>
                    <w:pStyle w:val="63"/>
                  </w:pPr>
                  <w:r>
                    <w:rPr>
                      <w:rFonts w:hint="eastAsia"/>
                    </w:rPr>
                    <w:t>8.7</w:t>
                  </w:r>
                </w:p>
              </w:tc>
              <w:tc>
                <w:tcPr>
                  <w:tcW w:w="3347" w:type="dxa"/>
                  <w:vAlign w:val="center"/>
                </w:tcPr>
                <w:p>
                  <w:pPr>
                    <w:pStyle w:val="63"/>
                  </w:pPr>
                  <w:r>
                    <w:rPr>
                      <w:rFonts w:hint="eastAsia"/>
                    </w:rPr>
                    <w:t>考虑加药间周围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7" w:type="dxa"/>
                  <w:vAlign w:val="center"/>
                </w:tcPr>
                <w:p>
                  <w:pPr>
                    <w:pStyle w:val="63"/>
                  </w:pPr>
                  <w:r>
                    <w:rPr>
                      <w:spacing w:val="2"/>
                    </w:rPr>
                    <w:t>V</w:t>
                  </w:r>
                  <w:r>
                    <w:rPr>
                      <w:spacing w:val="2"/>
                      <w:vertAlign w:val="subscript"/>
                    </w:rPr>
                    <w:t>总</w:t>
                  </w:r>
                  <w:r>
                    <w:t>/</w:t>
                  </w:r>
                  <w:r>
                    <w:rPr>
                      <w:spacing w:val="-3"/>
                    </w:rPr>
                    <w:t>m</w:t>
                  </w:r>
                  <w:r>
                    <w:rPr>
                      <w:spacing w:val="-3"/>
                      <w:vertAlign w:val="superscript"/>
                    </w:rPr>
                    <w:t>3</w:t>
                  </w:r>
                </w:p>
              </w:tc>
              <w:tc>
                <w:tcPr>
                  <w:tcW w:w="2073" w:type="dxa"/>
                  <w:vAlign w:val="center"/>
                </w:tcPr>
                <w:p>
                  <w:pPr>
                    <w:pStyle w:val="63"/>
                  </w:pPr>
                  <w:r>
                    <w:rPr>
                      <w:rFonts w:hint="eastAsia"/>
                    </w:rPr>
                    <w:t>2180.9</w:t>
                  </w:r>
                </w:p>
              </w:tc>
              <w:tc>
                <w:tcPr>
                  <w:tcW w:w="3347" w:type="dxa"/>
                  <w:vAlign w:val="center"/>
                </w:tcPr>
                <w:p>
                  <w:pPr>
                    <w:pStyle w:val="63"/>
                  </w:pPr>
                  <w:r>
                    <w:rPr>
                      <w:rFonts w:hint="eastAsia"/>
                    </w:rPr>
                    <w:t>-</w:t>
                  </w:r>
                </w:p>
              </w:tc>
            </w:tr>
          </w:tbl>
          <w:p/>
          <w:p>
            <w:pPr>
              <w:pStyle w:val="5"/>
              <w:ind w:firstLine="480"/>
            </w:pPr>
            <w:r>
              <w:rPr>
                <w:rFonts w:hint="eastAsia"/>
              </w:rPr>
              <w:t>根据分析，厂内事故废水量2180.9m</w:t>
            </w:r>
            <w:r>
              <w:rPr>
                <w:rFonts w:hint="eastAsia"/>
                <w:vertAlign w:val="superscript"/>
              </w:rPr>
              <w:t>3</w:t>
            </w:r>
            <w:r>
              <w:rPr>
                <w:rFonts w:hint="eastAsia"/>
              </w:rPr>
              <w:t>，厂区内设置调节池1座，容积3068m</w:t>
            </w:r>
            <w:r>
              <w:rPr>
                <w:rFonts w:hint="eastAsia"/>
                <w:vertAlign w:val="superscript"/>
              </w:rPr>
              <w:t>3</w:t>
            </w:r>
            <w:r>
              <w:rPr>
                <w:rFonts w:hint="eastAsia"/>
              </w:rPr>
              <w:t>，场外污水按1h来水量417m</w:t>
            </w:r>
            <w:r>
              <w:rPr>
                <w:rFonts w:hint="eastAsia"/>
                <w:vertAlign w:val="superscript"/>
              </w:rPr>
              <w:t>3</w:t>
            </w:r>
            <w:r>
              <w:rPr>
                <w:rFonts w:hint="eastAsia"/>
              </w:rPr>
              <w:t>计，则事故废水量为2597.9m</w:t>
            </w:r>
            <w:r>
              <w:rPr>
                <w:rFonts w:hint="eastAsia"/>
                <w:vertAlign w:val="superscript"/>
              </w:rPr>
              <w:t>3</w:t>
            </w:r>
            <w:r>
              <w:rPr>
                <w:rFonts w:hint="eastAsia"/>
              </w:rPr>
              <w:t>/次，考虑1.1倍系数后为2857.7 m</w:t>
            </w:r>
            <w:r>
              <w:rPr>
                <w:rFonts w:hint="eastAsia"/>
                <w:vertAlign w:val="superscript"/>
              </w:rPr>
              <w:t>3</w:t>
            </w:r>
            <w:r>
              <w:rPr>
                <w:rFonts w:hint="eastAsia"/>
              </w:rPr>
              <w:t>/次。若按项目日污水处理量40%考虑设计事故池，则事故池容积为4000m</w:t>
            </w:r>
            <w:r>
              <w:rPr>
                <w:rFonts w:hint="eastAsia"/>
                <w:vertAlign w:val="superscript"/>
              </w:rPr>
              <w:t>3</w:t>
            </w:r>
            <w:r>
              <w:rPr>
                <w:rFonts w:hint="eastAsia"/>
              </w:rPr>
              <w:t>。厂区内设置调节池1座，容积3068m</w:t>
            </w:r>
            <w:r>
              <w:rPr>
                <w:rFonts w:hint="eastAsia"/>
                <w:vertAlign w:val="superscript"/>
              </w:rPr>
              <w:t>3</w:t>
            </w:r>
            <w:r>
              <w:rPr>
                <w:rFonts w:hint="eastAsia"/>
              </w:rPr>
              <w:t>，日常运行时贮存水量按2000m</w:t>
            </w:r>
            <w:r>
              <w:rPr>
                <w:rFonts w:hint="eastAsia"/>
                <w:vertAlign w:val="superscript"/>
              </w:rPr>
              <w:t>3</w:t>
            </w:r>
            <w:r>
              <w:rPr>
                <w:rFonts w:hint="eastAsia"/>
              </w:rPr>
              <w:t>控制，剩余容积约1000m</w:t>
            </w:r>
            <w:r>
              <w:rPr>
                <w:rFonts w:hint="eastAsia"/>
                <w:vertAlign w:val="superscript"/>
              </w:rPr>
              <w:t>3</w:t>
            </w:r>
            <w:r>
              <w:rPr>
                <w:rFonts w:hint="eastAsia"/>
              </w:rPr>
              <w:t>，剩余容积可临时贮存事故废水，所以综合考虑设置1座容积不小于3000m</w:t>
            </w:r>
            <w:r>
              <w:rPr>
                <w:rFonts w:hint="eastAsia"/>
                <w:vertAlign w:val="superscript"/>
              </w:rPr>
              <w:t>3</w:t>
            </w:r>
            <w:r>
              <w:rPr>
                <w:rFonts w:hint="eastAsia"/>
              </w:rPr>
              <w:t>事故池收集事故废水，收集废水泵入厂区污水处理设施处理后达标排放。</w:t>
            </w:r>
          </w:p>
          <w:p>
            <w:pPr>
              <w:pStyle w:val="5"/>
              <w:ind w:firstLine="482"/>
              <w:rPr>
                <w:b/>
                <w:bCs/>
              </w:rPr>
            </w:pPr>
            <w:r>
              <w:rPr>
                <w:rFonts w:hint="eastAsia"/>
                <w:b/>
                <w:bCs/>
              </w:rPr>
              <w:t>三、芬顿措施可行性分析</w:t>
            </w:r>
          </w:p>
          <w:p>
            <w:pPr>
              <w:pStyle w:val="5"/>
              <w:ind w:firstLine="480"/>
            </w:pPr>
            <w:r>
              <w:rPr>
                <w:rFonts w:hint="eastAsia"/>
              </w:rPr>
              <w:t>根据前述分析，项目收集工业废水中油类、果胶物质浓度较高，属于有机废水，为减轻后续工段处理负荷，设置气浮池对收集废水进行除油、果胶预处理，当气浮池发生事故时，使用应急芬顿处理措施对废水油类、果胶物质进行预处理。</w:t>
            </w:r>
          </w:p>
          <w:p>
            <w:pPr>
              <w:pStyle w:val="5"/>
              <w:ind w:firstLine="480"/>
            </w:pPr>
            <w:r>
              <w:rPr>
                <w:rFonts w:hint="eastAsia"/>
              </w:rPr>
              <w:t>芬顿氧化法可作为废水生化处理前的预处理工艺，处理原理为芬顿试剂在酸性条件下生成羟基自由基，破坏有机物结构、最终氧化分解有机物的过程，同时，在反应过程会生成具有絮凝和吸附功能的铁水配合物，可以去除水中的部分有机物和杂质颗粒。芬顿试剂为亚铁离子</w:t>
            </w:r>
            <w:r>
              <w:t>(作为催化剂)与过氧化氢(作为氧化剂)组成的均相液体体系</w:t>
            </w:r>
            <w:r>
              <w:rPr>
                <w:rFonts w:hint="eastAsia"/>
              </w:rPr>
              <w:t>。芬顿氧化法废水处理工程工艺流程主要包括调酸、催化剂混合、氧化反应、中和、固液分离、药剂投配及污泥处理系统，工艺流程示意图见</w:t>
            </w:r>
            <w:r>
              <w:fldChar w:fldCharType="begin"/>
            </w:r>
            <w:r>
              <w:instrText xml:space="preserve"> </w:instrText>
            </w:r>
            <w:r>
              <w:rPr>
                <w:rFonts w:hint="eastAsia"/>
              </w:rPr>
              <w:instrText xml:space="preserve">REF _Ref170720283 \h</w:instrText>
            </w:r>
            <w:r>
              <w:instrText xml:space="preserve"> </w:instrText>
            </w:r>
            <w:r>
              <w:fldChar w:fldCharType="separate"/>
            </w:r>
            <w:r>
              <w:rPr>
                <w:rFonts w:hint="eastAsia"/>
              </w:rPr>
              <w:t xml:space="preserve">图 </w:t>
            </w:r>
            <w:r>
              <w:t>4.2</w:t>
            </w:r>
            <w:r>
              <w:noBreakHyphen/>
            </w:r>
            <w:r>
              <w:t>1</w:t>
            </w:r>
            <w:r>
              <w:fldChar w:fldCharType="end"/>
            </w:r>
            <w:r>
              <w:rPr>
                <w:rFonts w:hint="eastAsia"/>
              </w:rPr>
              <w:t>。</w:t>
            </w:r>
          </w:p>
          <w:p>
            <w:pPr>
              <w:pStyle w:val="63"/>
              <w:keepNext/>
            </w:pPr>
            <w:r>
              <w:drawing>
                <wp:inline distT="0" distB="0" distL="0" distR="0">
                  <wp:extent cx="5010150" cy="1209040"/>
                  <wp:effectExtent l="0" t="0" r="0" b="0"/>
                  <wp:docPr id="183680782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07825" name="图片 1" descr="图示&#10;&#10;描述已自动生成"/>
                          <pic:cNvPicPr>
                            <a:picLocks noChangeAspect="1"/>
                          </pic:cNvPicPr>
                        </pic:nvPicPr>
                        <pic:blipFill>
                          <a:blip r:embed="rId38"/>
                          <a:stretch>
                            <a:fillRect/>
                          </a:stretch>
                        </pic:blipFill>
                        <pic:spPr>
                          <a:xfrm>
                            <a:off x="0" y="0"/>
                            <a:ext cx="5023058" cy="1212307"/>
                          </a:xfrm>
                          <a:prstGeom prst="rect">
                            <a:avLst/>
                          </a:prstGeom>
                        </pic:spPr>
                      </pic:pic>
                    </a:graphicData>
                  </a:graphic>
                </wp:inline>
              </w:drawing>
            </w:r>
          </w:p>
          <w:p>
            <w:pPr>
              <w:pStyle w:val="14"/>
            </w:pPr>
            <w:bookmarkStart w:id="90" w:name="_Ref170720283"/>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bookmarkEnd w:id="90"/>
            <w:r>
              <w:rPr>
                <w:rFonts w:hint="eastAsia"/>
              </w:rPr>
              <w:t xml:space="preserve">   芬顿氧化法工艺流程示意图</w:t>
            </w:r>
          </w:p>
          <w:p>
            <w:pPr>
              <w:pStyle w:val="63"/>
              <w:keepNext/>
            </w:pPr>
            <w:r>
              <w:drawing>
                <wp:inline distT="0" distB="0" distL="0" distR="0">
                  <wp:extent cx="2886710" cy="2524125"/>
                  <wp:effectExtent l="0" t="0" r="8890" b="9525"/>
                  <wp:docPr id="14501445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44571"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87874" cy="2525185"/>
                          </a:xfrm>
                          <a:prstGeom prst="rect">
                            <a:avLst/>
                          </a:prstGeom>
                          <a:noFill/>
                        </pic:spPr>
                      </pic:pic>
                    </a:graphicData>
                  </a:graphic>
                </wp:inline>
              </w:drawing>
            </w:r>
          </w:p>
          <w:p>
            <w:pPr>
              <w:pStyle w:val="14"/>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rPr>
                <w:rFonts w:hint="eastAsia"/>
              </w:rPr>
              <w:t xml:space="preserve">   芬顿氧化法结构图</w:t>
            </w:r>
          </w:p>
          <w:p>
            <w:pPr>
              <w:pStyle w:val="5"/>
              <w:ind w:firstLine="480"/>
            </w:pPr>
            <w:r>
              <w:rPr>
                <w:rFonts w:hint="eastAsia"/>
              </w:rPr>
              <w:t>芬顿氧化各工序时间为，调酸2min、混合2min、氧化反应2h、中和2min，总用时2.1h，小时废水量为417m</w:t>
            </w:r>
            <w:r>
              <w:rPr>
                <w:rFonts w:hint="eastAsia"/>
                <w:vertAlign w:val="superscript"/>
              </w:rPr>
              <w:t>3</w:t>
            </w:r>
            <w:r>
              <w:rPr>
                <w:rFonts w:hint="eastAsia"/>
              </w:rPr>
              <w:t>/h，设施处理溶剂875.7 m</w:t>
            </w:r>
            <w:r>
              <w:rPr>
                <w:rFonts w:hint="eastAsia"/>
                <w:vertAlign w:val="superscript"/>
              </w:rPr>
              <w:t>3</w:t>
            </w:r>
            <w:r>
              <w:rPr>
                <w:rFonts w:hint="eastAsia"/>
              </w:rPr>
              <w:t>/批，项目芬顿氧化处理设施1座，钢混结构，尺寸</w:t>
            </w:r>
            <w:r>
              <w:t>21.8</w:t>
            </w:r>
            <w:r>
              <w:rPr>
                <w:rFonts w:hint="eastAsia"/>
              </w:rPr>
              <w:t>m</w:t>
            </w:r>
            <w:r>
              <w:t>×7.85</w:t>
            </w:r>
            <w:r>
              <w:rPr>
                <w:rFonts w:hint="eastAsia"/>
              </w:rPr>
              <w:t>m</w:t>
            </w:r>
            <w:r>
              <w:t>×5.5m</w:t>
            </w:r>
            <w:r>
              <w:rPr>
                <w:rFonts w:hint="eastAsia"/>
              </w:rPr>
              <w:t>，设施容积941.2 m</w:t>
            </w:r>
            <w:r>
              <w:rPr>
                <w:rFonts w:hint="eastAsia"/>
                <w:vertAlign w:val="superscript"/>
              </w:rPr>
              <w:t>3</w:t>
            </w:r>
            <w:r>
              <w:rPr>
                <w:rFonts w:hint="eastAsia"/>
              </w:rPr>
              <w:t>，设施容积满足事故状态处理需求。参考重庆市垫江生活垃圾填埋场采用Fenton高级氧化联合曝气生物滤池处理工艺</w:t>
            </w:r>
            <w:r>
              <w:t>处理垃圾渗滤液</w:t>
            </w:r>
            <w:r>
              <w:rPr>
                <w:rFonts w:hint="eastAsia"/>
              </w:rPr>
              <w:t>（高浓度有机废水）</w:t>
            </w:r>
            <w:r>
              <w:t xml:space="preserve">，芬顿氧化法作为 </w:t>
            </w:r>
            <w:r>
              <w:rPr>
                <w:rFonts w:hint="eastAsia"/>
              </w:rPr>
              <w:t>曝气生物滤池</w:t>
            </w:r>
            <w:r>
              <w:t>的预处理工艺以提高废水的可生化性</w:t>
            </w:r>
            <w:r>
              <w:rPr>
                <w:rFonts w:hint="eastAsia"/>
              </w:rPr>
              <w:t>，</w:t>
            </w:r>
            <w:r>
              <w:t>经芬顿氧化法处理</w:t>
            </w:r>
            <w:r>
              <w:rPr>
                <w:rFonts w:hint="eastAsia"/>
              </w:rPr>
              <w:t>降低</w:t>
            </w:r>
            <w:r>
              <w:t>COD同时可生化性大大提高，最终出水水质达到</w:t>
            </w:r>
            <w:r>
              <w:rPr>
                <w:rFonts w:hint="eastAsia"/>
              </w:rPr>
              <w:t>要</w:t>
            </w:r>
            <w:r>
              <w:t>求。</w:t>
            </w:r>
            <w:r>
              <w:rPr>
                <w:rFonts w:hint="eastAsia"/>
              </w:rPr>
              <w:t>事故状况下，污水处理厂运行流程见</w:t>
            </w:r>
            <w:r>
              <w:fldChar w:fldCharType="begin"/>
            </w:r>
            <w:r>
              <w:instrText xml:space="preserve"> </w:instrText>
            </w:r>
            <w:r>
              <w:rPr>
                <w:rFonts w:hint="eastAsia"/>
              </w:rPr>
              <w:instrText xml:space="preserve">REF _Ref170721899 \h</w:instrText>
            </w:r>
            <w:r>
              <w:instrText xml:space="preserve"> </w:instrText>
            </w:r>
            <w:r>
              <w:fldChar w:fldCharType="separate"/>
            </w:r>
            <w:r>
              <w:rPr>
                <w:rFonts w:hint="eastAsia"/>
              </w:rPr>
              <w:t xml:space="preserve">图 </w:t>
            </w:r>
            <w:r>
              <w:t>4.2</w:t>
            </w:r>
            <w:r>
              <w:noBreakHyphen/>
            </w:r>
            <w:r>
              <w:t>3</w:t>
            </w:r>
            <w:r>
              <w:fldChar w:fldCharType="end"/>
            </w:r>
            <w:r>
              <w:rPr>
                <w:rFonts w:hint="eastAsia"/>
              </w:rPr>
              <w:t>。综上，应急芬顿措施处理能力和工艺满足要求，可以满足事故情况下应急要求，其中应急过程中芬顿设施设备产生的沉淀物按危险废物进行处置。</w:t>
            </w:r>
          </w:p>
          <w:p>
            <w:pPr>
              <w:pStyle w:val="63"/>
              <w:keepNext/>
            </w:pPr>
            <w:r>
              <w:rPr>
                <w:rFonts w:hint="eastAsia"/>
              </w:rPr>
              <w:drawing>
                <wp:inline distT="0" distB="0" distL="0" distR="0">
                  <wp:extent cx="3454400" cy="3454400"/>
                  <wp:effectExtent l="0" t="0" r="0" b="0"/>
                  <wp:docPr id="9529621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62166" name="图片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455828" cy="3455828"/>
                          </a:xfrm>
                          <a:prstGeom prst="rect">
                            <a:avLst/>
                          </a:prstGeom>
                          <a:noFill/>
                          <a:ln>
                            <a:noFill/>
                          </a:ln>
                        </pic:spPr>
                      </pic:pic>
                    </a:graphicData>
                  </a:graphic>
                </wp:inline>
              </w:drawing>
            </w:r>
          </w:p>
          <w:p>
            <w:pPr>
              <w:pStyle w:val="14"/>
            </w:pPr>
            <w:bookmarkStart w:id="91" w:name="_Ref170721899"/>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bookmarkEnd w:id="91"/>
            <w:r>
              <w:rPr>
                <w:rFonts w:hint="eastAsia"/>
              </w:rPr>
              <w:t xml:space="preserve">   事故状况下污水处理厂运行流程</w:t>
            </w:r>
          </w:p>
          <w:p>
            <w:pPr>
              <w:pStyle w:val="5"/>
              <w:ind w:firstLine="480"/>
            </w:pPr>
            <w:r>
              <w:rPr>
                <w:rFonts w:hint="eastAsia"/>
              </w:rPr>
              <w:t>当发生事故需要撤离时，区域内的人员迅速、有序地通过安全通道撤离危险区域，从而避免人员伤亡，并到安全集中点集合，清点到达人数，确保全体人员安全撤离。</w:t>
            </w:r>
          </w:p>
          <w:p>
            <w:pPr>
              <w:pStyle w:val="63"/>
              <w:keepNext/>
            </w:pPr>
            <w:r>
              <mc:AlternateContent>
                <mc:Choice Requires="wps">
                  <w:drawing>
                    <wp:anchor distT="0" distB="0" distL="114300" distR="114300" simplePos="0" relativeHeight="251660288" behindDoc="0" locked="0" layoutInCell="1" allowOverlap="1">
                      <wp:simplePos x="0" y="0"/>
                      <wp:positionH relativeFrom="column">
                        <wp:posOffset>1464310</wp:posOffset>
                      </wp:positionH>
                      <wp:positionV relativeFrom="paragraph">
                        <wp:posOffset>706755</wp:posOffset>
                      </wp:positionV>
                      <wp:extent cx="1630045" cy="995680"/>
                      <wp:effectExtent l="38100" t="38100" r="27305" b="33020"/>
                      <wp:wrapNone/>
                      <wp:docPr id="1196501884" name="直接箭头连接符 12"/>
                      <wp:cNvGraphicFramePr/>
                      <a:graphic xmlns:a="http://schemas.openxmlformats.org/drawingml/2006/main">
                        <a:graphicData uri="http://schemas.microsoft.com/office/word/2010/wordprocessingShape">
                          <wps:wsp>
                            <wps:cNvCnPr/>
                            <wps:spPr>
                              <a:xfrm flipH="1" flipV="1">
                                <a:off x="0" y="0"/>
                                <a:ext cx="1630045" cy="995680"/>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直接箭头连接符 12" o:spid="_x0000_s1026" o:spt="32" type="#_x0000_t32" style="position:absolute;left:0pt;flip:x y;margin-left:115.3pt;margin-top:55.65pt;height:78.4pt;width:128.35pt;z-index:251660288;mso-width-relative:page;mso-height-relative:page;" filled="f" stroked="t" coordsize="21600,21600" o:gfxdata="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iWkvd2AAAAAsBAAAPAAAAAAAAAAEAIAAAACIAAABk&#10;cnMvZG93bnJldi54bWxQSwECFAAUAAAACACHTuJAUl46aAYCAAC3AwAADgAAAAAAAAABACAAAAAn&#10;AQAAZHJzL2Uyb0RvYy54bWxQSwUGAAAAAAYABgBZAQAAnwUAAAAA&#10;">
                      <v:fill on="f" focussize="0,0"/>
                      <v:stroke weight="2.25pt" color="#FF0000 [3205]" miterlimit="8" joinstyle="miter" endarrow="block"/>
                      <v:imagedata o:title=""/>
                      <o:lock v:ext="edit" aspectratio="f"/>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2412365</wp:posOffset>
                      </wp:positionH>
                      <wp:positionV relativeFrom="paragraph">
                        <wp:posOffset>1703070</wp:posOffset>
                      </wp:positionV>
                      <wp:extent cx="681990" cy="1132205"/>
                      <wp:effectExtent l="19050" t="38100" r="41910" b="10795"/>
                      <wp:wrapNone/>
                      <wp:docPr id="66777939" name="直接连接符 11"/>
                      <wp:cNvGraphicFramePr/>
                      <a:graphic xmlns:a="http://schemas.openxmlformats.org/drawingml/2006/main">
                        <a:graphicData uri="http://schemas.microsoft.com/office/word/2010/wordprocessingShape">
                          <wps:wsp>
                            <wps:cNvCnPr/>
                            <wps:spPr>
                              <a:xfrm flipV="1">
                                <a:off x="0" y="0"/>
                                <a:ext cx="681990" cy="1132205"/>
                              </a:xfrm>
                              <a:prstGeom prst="line">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1" o:spid="_x0000_s1026" o:spt="20" style="position:absolute;left:0pt;flip:y;margin-left:189.95pt;margin-top:134.1pt;height:89.15pt;width:53.7pt;z-index:251658240;mso-width-relative:page;mso-height-relative:page;" filled="f" stroked="t" coordsize="21600,21600" o:gfxdata="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ZGT12gAAAAsBAAAPAAAAAAAAAAEAIAAAACIAAABkcnMvZG93bnJldi54bWxQSwECFAAU&#10;AAAACACHTuJAjfAk2e8BAACXAwAADgAAAAAAAAABACAAAAApAQAAZHJzL2Uyb0RvYy54bWxQSwUG&#10;AAAAAAYABgBZAQAAigUAAAAA&#10;">
                      <v:fill on="f" focussize="0,0"/>
                      <v:stroke weight="2.25pt" color="#FF0000 [3205]" miterlimit="8" joinstyle="miter" endarrow="block"/>
                      <v:imagedata o:title=""/>
                      <o:lock v:ext="edit" aspectratio="f"/>
                    </v:line>
                  </w:pict>
                </mc:Fallback>
              </mc:AlternateContent>
            </w:r>
            <w:r>
              <w:drawing>
                <wp:anchor distT="0" distB="0" distL="114300" distR="114300" simplePos="0" relativeHeight="251656192" behindDoc="0" locked="0" layoutInCell="1" allowOverlap="1">
                  <wp:simplePos x="0" y="0"/>
                  <wp:positionH relativeFrom="column">
                    <wp:posOffset>3929380</wp:posOffset>
                  </wp:positionH>
                  <wp:positionV relativeFrom="paragraph">
                    <wp:posOffset>403225</wp:posOffset>
                  </wp:positionV>
                  <wp:extent cx="542925" cy="406400"/>
                  <wp:effectExtent l="0" t="0" r="0" b="0"/>
                  <wp:wrapNone/>
                  <wp:docPr id="241739728" name="图片 7"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39728" name="图片 7" descr="图表, 雷达图&#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06400"/>
                          </a:xfrm>
                          <a:prstGeom prst="rect">
                            <a:avLst/>
                          </a:prstGeom>
                          <a:noFill/>
                          <a:ln>
                            <a:noFill/>
                          </a:ln>
                        </pic:spPr>
                      </pic:pic>
                    </a:graphicData>
                  </a:graphic>
                </wp:anchor>
              </w:drawing>
            </w:r>
            <w:r>
              <w:drawing>
                <wp:inline distT="0" distB="0" distL="0" distR="0">
                  <wp:extent cx="4053205" cy="3275965"/>
                  <wp:effectExtent l="0" t="0" r="4445" b="635"/>
                  <wp:docPr id="1540941739"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1739" name="图片 1" descr="图示&#10;&#10;低可信度描述已自动生成"/>
                          <pic:cNvPicPr>
                            <a:picLocks noChangeAspect="1"/>
                          </pic:cNvPicPr>
                        </pic:nvPicPr>
                        <pic:blipFill>
                          <a:blip r:embed="rId42"/>
                          <a:stretch>
                            <a:fillRect/>
                          </a:stretch>
                        </pic:blipFill>
                        <pic:spPr>
                          <a:xfrm>
                            <a:off x="0" y="0"/>
                            <a:ext cx="4053385" cy="3276464"/>
                          </a:xfrm>
                          <a:prstGeom prst="rect">
                            <a:avLst/>
                          </a:prstGeom>
                        </pic:spPr>
                      </pic:pic>
                    </a:graphicData>
                  </a:graphic>
                </wp:inline>
              </w:drawing>
            </w:r>
          </w:p>
          <w:p>
            <w:pPr>
              <w:pStyle w:val="14"/>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4</w:t>
            </w:r>
            <w:r>
              <w:fldChar w:fldCharType="end"/>
            </w:r>
            <w:r>
              <w:rPr>
                <w:rFonts w:hint="eastAsia"/>
              </w:rPr>
              <w:t xml:space="preserve">   撤退路线示意图</w:t>
            </w:r>
          </w:p>
          <w:p>
            <w:pPr>
              <w:pStyle w:val="5"/>
              <w:ind w:firstLine="480"/>
            </w:pPr>
            <w:bookmarkStart w:id="92" w:name="_Toc172739713"/>
            <w:r>
              <w:rPr>
                <w:rFonts w:hint="eastAsia"/>
              </w:rPr>
              <w:t>四、储药及加药间防范措施</w:t>
            </w:r>
            <w:bookmarkEnd w:id="92"/>
          </w:p>
          <w:p>
            <w:pPr>
              <w:pStyle w:val="5"/>
              <w:numPr>
                <w:ilvl w:val="0"/>
                <w:numId w:val="18"/>
              </w:numPr>
              <w:ind w:firstLineChars="0"/>
            </w:pPr>
            <w:r>
              <w:rPr>
                <w:rFonts w:hint="eastAsia"/>
              </w:rPr>
              <w:t>储药及加药间地面硬化，并进行防腐、防渗处理，设置明显的安全标志，并符合</w:t>
            </w:r>
            <w:r>
              <w:t xml:space="preserve"> GB 2894《安全标志及其使用导则》</w:t>
            </w:r>
            <w:r>
              <w:rPr>
                <w:rFonts w:hint="eastAsia"/>
              </w:rPr>
              <w:t>规定, 严禁吸烟和使用明火，建立动火作业安全管理制度、电器安全管理制度，加强通风、注意防潮。</w:t>
            </w:r>
          </w:p>
          <w:p>
            <w:pPr>
              <w:pStyle w:val="5"/>
              <w:numPr>
                <w:ilvl w:val="0"/>
                <w:numId w:val="18"/>
              </w:numPr>
              <w:ind w:firstLineChars="0"/>
            </w:pPr>
            <w:r>
              <w:rPr>
                <w:rFonts w:hint="eastAsia"/>
              </w:rPr>
              <w:t>双氧水、硫酸、氢氧化钠设置在室内，防止日光照射，分开贮存，双氧水、硫酸储罐内贮存，储罐材质采用塑料并设置围堰，围堰容积不小于贮存储罐容积。</w:t>
            </w:r>
          </w:p>
          <w:p>
            <w:pPr>
              <w:pStyle w:val="5"/>
              <w:numPr>
                <w:ilvl w:val="0"/>
                <w:numId w:val="18"/>
              </w:numPr>
              <w:ind w:firstLineChars="0"/>
            </w:pPr>
            <w:r>
              <w:rPr>
                <w:rFonts w:hint="eastAsia"/>
              </w:rPr>
              <w:t>作业人员应穿具有防静电功能的工作服，不应穿带钉鞋，在进入储药及加药间前应消除人体静电，加强通风，应按照化学品安全技术说明书及装卸要求进行作业。进入现场施救人员应佩戴相应的防护装备。应根据现场泄漏危险化学品特性及时进行围堤堵截、覆盖、收容、稀释处理，使泄漏物得到安全可靠的处置，防止次生、衍生事故的发生。</w:t>
            </w:r>
          </w:p>
          <w:p>
            <w:pPr>
              <w:pStyle w:val="5"/>
              <w:numPr>
                <w:ilvl w:val="0"/>
                <w:numId w:val="18"/>
              </w:numPr>
              <w:ind w:firstLineChars="0"/>
            </w:pPr>
            <w:r>
              <w:rPr>
                <w:rFonts w:hint="eastAsia"/>
              </w:rPr>
              <w:t>化学品输送管道应明管铺设，管道接头和管材应满足防腐要求。</w:t>
            </w:r>
          </w:p>
          <w:p>
            <w:pPr>
              <w:pStyle w:val="5"/>
              <w:numPr>
                <w:ilvl w:val="0"/>
                <w:numId w:val="18"/>
              </w:numPr>
              <w:ind w:firstLineChars="0"/>
            </w:pPr>
            <w:r>
              <w:t>操作加药等装置设备的人员要做好上岗前培训工作，熟悉各类设备的操作规程和出现异常的应急处理措施，熟悉掌握各类化学品的理化性质，熟悉各类防护用品的使用和穿戴。</w:t>
            </w:r>
          </w:p>
          <w:p>
            <w:pPr>
              <w:pStyle w:val="5"/>
              <w:numPr>
                <w:ilvl w:val="0"/>
                <w:numId w:val="18"/>
              </w:numPr>
              <w:ind w:firstLineChars="0"/>
            </w:pPr>
            <w:r>
              <w:t>定期检查盛装化学药品的容器是否完好，若有破损则及时采取措施清理更换。</w:t>
            </w:r>
            <w:r>
              <w:rPr>
                <w:rFonts w:hint="eastAsia"/>
              </w:rPr>
              <w:t>危险化学品的储存、使用应有专人负责管理，备有化学品安全技术说明书及完善的规章制度，并按照国家现行有关法律法规的规定执行。</w:t>
            </w:r>
          </w:p>
          <w:p>
            <w:pPr>
              <w:pStyle w:val="5"/>
              <w:numPr>
                <w:ilvl w:val="0"/>
                <w:numId w:val="18"/>
              </w:numPr>
              <w:ind w:firstLineChars="0"/>
            </w:pPr>
            <w:r>
              <w:rPr>
                <w:rFonts w:hint="eastAsia"/>
              </w:rPr>
              <w:t>仪表、电气设施、照明灯具等均采用防爆型。</w:t>
            </w:r>
            <w:r>
              <w:t>设备、管道、阀门</w:t>
            </w:r>
            <w:r>
              <w:rPr>
                <w:rFonts w:hint="eastAsia"/>
              </w:rPr>
              <w:t>根据相关规划要求</w:t>
            </w:r>
            <w:r>
              <w:t>做防雷接地、防静电措施</w:t>
            </w:r>
            <w:r>
              <w:rPr>
                <w:rFonts w:hint="eastAsia"/>
              </w:rPr>
              <w:t>设备采用防爆设备，根据相关规范要求安装易燃易爆、有毒有害等气体检测仪并定期进行检查和校准。</w:t>
            </w:r>
          </w:p>
          <w:p>
            <w:pPr>
              <w:pStyle w:val="5"/>
              <w:ind w:firstLine="480"/>
            </w:pPr>
            <w:bookmarkStart w:id="93" w:name="_Toc172739714"/>
            <w:r>
              <w:rPr>
                <w:rFonts w:hint="eastAsia"/>
              </w:rPr>
              <w:t>五、污泥脱水间防范措施</w:t>
            </w:r>
            <w:bookmarkEnd w:id="93"/>
          </w:p>
          <w:p>
            <w:pPr>
              <w:pStyle w:val="5"/>
              <w:ind w:firstLine="480"/>
            </w:pPr>
            <w:r>
              <w:rPr>
                <w:rFonts w:hint="eastAsia"/>
              </w:rPr>
              <w:t>项目产生的污泥脱水后暂存于</w:t>
            </w:r>
            <w:r>
              <w:t>污泥脱水间</w:t>
            </w:r>
            <w:r>
              <w:rPr>
                <w:rFonts w:hint="eastAsia"/>
              </w:rPr>
              <w:t>专门区域暂存。</w:t>
            </w:r>
          </w:p>
          <w:p>
            <w:pPr>
              <w:pStyle w:val="5"/>
              <w:numPr>
                <w:ilvl w:val="0"/>
                <w:numId w:val="19"/>
              </w:numPr>
              <w:ind w:firstLineChars="0"/>
            </w:pPr>
            <w:r>
              <w:rPr>
                <w:rFonts w:hint="eastAsia"/>
              </w:rPr>
              <w:t>脱水间地面硬化并作防腐、防渗处理，</w:t>
            </w:r>
            <w:r>
              <w:t xml:space="preserve">污泥脱水过程产生的废水专用管道泵入项目污水处理厂系统处理达标后排放； </w:t>
            </w:r>
          </w:p>
          <w:p>
            <w:pPr>
              <w:pStyle w:val="5"/>
              <w:numPr>
                <w:ilvl w:val="0"/>
                <w:numId w:val="19"/>
              </w:numPr>
              <w:ind w:firstLineChars="0"/>
            </w:pPr>
            <w:r>
              <w:rPr>
                <w:rFonts w:hint="eastAsia"/>
              </w:rPr>
              <w:t>定期对所贮存的污泥包装容器及贮存设施进行检查，发现破损，应及时采取措施清理更换。</w:t>
            </w:r>
            <w:r>
              <w:t xml:space="preserve"> </w:t>
            </w:r>
            <w:r>
              <w:rPr>
                <w:rFonts w:hint="eastAsia"/>
              </w:rPr>
              <w:t>污泥经脱水后及时清运出厂。</w:t>
            </w:r>
          </w:p>
          <w:p>
            <w:pPr>
              <w:pStyle w:val="5"/>
              <w:ind w:firstLine="480"/>
            </w:pPr>
            <w:bookmarkStart w:id="94" w:name="_Toc172739715"/>
            <w:r>
              <w:rPr>
                <w:rFonts w:hint="eastAsia"/>
              </w:rPr>
              <w:t>六、维修和柴油发电机间防范措施</w:t>
            </w:r>
            <w:bookmarkEnd w:id="94"/>
          </w:p>
          <w:p>
            <w:pPr>
              <w:pStyle w:val="5"/>
              <w:ind w:firstLine="480"/>
            </w:pPr>
            <w:r>
              <w:rPr>
                <w:rFonts w:hint="eastAsia"/>
              </w:rPr>
              <w:t>柴油发电机周围应设有灭火器、消火栓等消防设备，并保持良好状态，储油间</w:t>
            </w:r>
            <w:r>
              <w:t>防火隔墙与发电机间分隔</w:t>
            </w:r>
            <w:r>
              <w:rPr>
                <w:rFonts w:hint="eastAsia"/>
              </w:rPr>
              <w:t>，应设置火灾报警装置。 柴油储罐设置在围堰内，围堰容积不小于1m</w:t>
            </w:r>
            <w:r>
              <w:rPr>
                <w:rFonts w:hint="eastAsia"/>
                <w:vertAlign w:val="superscript"/>
              </w:rPr>
              <w:t>3</w:t>
            </w:r>
            <w:r>
              <w:rPr>
                <w:rFonts w:hint="eastAsia"/>
              </w:rPr>
              <w:t>，围堰内防腐防渗。</w:t>
            </w:r>
          </w:p>
          <w:p>
            <w:pPr>
              <w:pStyle w:val="5"/>
              <w:ind w:firstLine="480"/>
            </w:pPr>
            <w:bookmarkStart w:id="95" w:name="_Toc172739716"/>
            <w:r>
              <w:rPr>
                <w:rFonts w:hint="eastAsia"/>
              </w:rPr>
              <w:t>七、火灾风险防范措施</w:t>
            </w:r>
            <w:bookmarkEnd w:id="95"/>
          </w:p>
          <w:p>
            <w:pPr>
              <w:pStyle w:val="5"/>
              <w:ind w:firstLine="480"/>
            </w:pPr>
            <w:r>
              <w:rPr>
                <w:rFonts w:hint="eastAsia"/>
              </w:rPr>
              <w:t>（</w:t>
            </w:r>
            <w:r>
              <w:t>1）增强安全意识。建立严格的安全管理制度，污水处理厂区杜绝违章动火、吸烟等现象，按规定配备劳动防护用品．职工进行安全和健康防护方面的教育。</w:t>
            </w:r>
            <w:r>
              <w:rPr>
                <w:rFonts w:hint="eastAsia"/>
              </w:rPr>
              <w:t>除臭设施防护范围内，严禁明火作业。</w:t>
            </w:r>
          </w:p>
          <w:p>
            <w:pPr>
              <w:pStyle w:val="5"/>
              <w:ind w:firstLine="480"/>
            </w:pPr>
            <w:r>
              <w:rPr>
                <w:rFonts w:hint="eastAsia"/>
              </w:rPr>
              <w:t>（</w:t>
            </w:r>
            <w:r>
              <w:t>2）各类设备选用安全可靠设备，设备和管道应经过防腐处理。泵、流量计、照明灯和各种管路，应防火、防爆。 保证废气处理的有效性，避免沼气等可燃气体积聚</w:t>
            </w:r>
            <w:r>
              <w:rPr>
                <w:rFonts w:hint="eastAsia"/>
              </w:rPr>
              <w:t>。</w:t>
            </w:r>
            <w:r>
              <w:t>确保各消防设施随时处于可用状态。</w:t>
            </w:r>
          </w:p>
          <w:p>
            <w:pPr>
              <w:pStyle w:val="5"/>
              <w:ind w:firstLine="480"/>
            </w:pPr>
            <w:r>
              <w:rPr>
                <w:rFonts w:hint="eastAsia"/>
              </w:rPr>
              <w:t>（3）明确燃烧物及其特性，选用合适的灭火器材和灭火方式</w:t>
            </w:r>
            <w:r>
              <w:t>,进行灭火作业，并设立危险区域</w:t>
            </w:r>
            <w:r>
              <w:rPr>
                <w:rFonts w:hint="eastAsia"/>
              </w:rPr>
              <w:t>警戒线。发生火灾，应按应急预案自救同时报警，应尽快堵截火势，防止蔓延，防止次生、衍生事故的发生。</w:t>
            </w:r>
          </w:p>
          <w:p>
            <w:pPr>
              <w:pStyle w:val="6"/>
              <w:spacing w:before="120" w:after="120"/>
            </w:pPr>
            <w:bookmarkStart w:id="96" w:name="_Toc172739717"/>
            <w:r>
              <w:rPr>
                <w:rFonts w:hint="eastAsia"/>
              </w:rPr>
              <w:t>突发环境事件应急制要求</w:t>
            </w:r>
            <w:bookmarkEnd w:id="96"/>
          </w:p>
          <w:p>
            <w:pPr>
              <w:pStyle w:val="5"/>
              <w:ind w:firstLine="480"/>
            </w:pPr>
            <w:r>
              <w:t>项目运行前，应制定出详细的、内容详实、可操作性强的应急预案。并在实际生产运行当中，不断完善应急预案的内容。建设单位应按照以下要求进行应急处理：</w:t>
            </w:r>
          </w:p>
          <w:p>
            <w:pPr>
              <w:pStyle w:val="5"/>
              <w:ind w:firstLine="480"/>
            </w:pPr>
            <w:r>
              <w:t>（1）应急预案制定</w:t>
            </w:r>
          </w:p>
          <w:p>
            <w:pPr>
              <w:pStyle w:val="5"/>
              <w:ind w:firstLine="480"/>
            </w:pPr>
            <w:r>
              <w:rPr>
                <w:rFonts w:hint="eastAsia" w:ascii="宋体" w:hAnsi="宋体"/>
              </w:rPr>
              <w:t>①</w:t>
            </w:r>
            <w:r>
              <w:t>污水处理厂成立应急事故处理领导小组，由厂长任组长，副厂长任副组长，组员由各工段长组成，负责事故处理的指挥和调度工作。</w:t>
            </w:r>
          </w:p>
          <w:p>
            <w:pPr>
              <w:pStyle w:val="5"/>
              <w:ind w:firstLine="480"/>
            </w:pPr>
            <w:r>
              <w:rPr>
                <w:rFonts w:hint="eastAsia" w:ascii="宋体" w:hAnsi="宋体"/>
              </w:rPr>
              <w:t>②</w:t>
            </w:r>
            <w:r>
              <w:t>成立事故应急队，由副厂长负责，技术、维修、操作岗位人员参加。</w:t>
            </w:r>
          </w:p>
          <w:p>
            <w:pPr>
              <w:pStyle w:val="5"/>
              <w:ind w:firstLine="480"/>
            </w:pPr>
            <w:r>
              <w:rPr>
                <w:rFonts w:hint="eastAsia" w:ascii="宋体" w:hAnsi="宋体"/>
              </w:rPr>
              <w:t>③</w:t>
            </w:r>
            <w:r>
              <w:t>给应急队配备应急器具及劳保用品，包括橡皮手套、工作服、眼镜、防毒面具、常用救护药品等。应急器具及劳保用品在指定地点存放。</w:t>
            </w:r>
          </w:p>
          <w:p>
            <w:pPr>
              <w:pStyle w:val="5"/>
              <w:ind w:firstLine="480"/>
            </w:pPr>
            <w:r>
              <w:rPr>
                <w:rFonts w:hint="eastAsia" w:ascii="宋体" w:hAnsi="宋体"/>
              </w:rPr>
              <w:t>④</w:t>
            </w:r>
            <w:r>
              <w:t>对应急队员每季度进行一次应急培训，使其具备处理事故的能力。如条件许可，每年进行一次应急处理演习，检验应急准备工作是否完善。</w:t>
            </w:r>
          </w:p>
          <w:p>
            <w:pPr>
              <w:pStyle w:val="5"/>
              <w:ind w:firstLine="480"/>
            </w:pPr>
            <w:r>
              <w:t>（2）应急预案实施</w:t>
            </w:r>
          </w:p>
          <w:p>
            <w:pPr>
              <w:pStyle w:val="5"/>
              <w:ind w:firstLine="480"/>
            </w:pPr>
            <w:r>
              <w:rPr>
                <w:rFonts w:hint="eastAsia" w:ascii="宋体" w:hAnsi="宋体"/>
              </w:rPr>
              <w:t>①</w:t>
            </w:r>
            <w:r>
              <w:t>当事故或紧急情况发生后，事故的当事人或发现人在一分钟内向值班长和应急事故处理领导小组报告，并采取应急措施防止事故扩大。</w:t>
            </w:r>
          </w:p>
          <w:p>
            <w:pPr>
              <w:pStyle w:val="5"/>
              <w:ind w:firstLine="480"/>
            </w:pPr>
            <w:r>
              <w:rPr>
                <w:rFonts w:hint="eastAsia" w:ascii="宋体" w:hAnsi="宋体"/>
              </w:rPr>
              <w:t>②</w:t>
            </w:r>
            <w:r>
              <w:t>值班长接报告后通知本班应急队员，应急队员接到通知后，佩戴好劳保用品，携带应急器具，赶赴现场处理环境事故或紧急情况。</w:t>
            </w:r>
          </w:p>
          <w:p>
            <w:pPr>
              <w:pStyle w:val="5"/>
              <w:ind w:firstLine="480"/>
            </w:pPr>
            <w:r>
              <w:rPr>
                <w:rFonts w:hint="eastAsia" w:ascii="宋体" w:hAnsi="宋体"/>
              </w:rPr>
              <w:t>③</w:t>
            </w:r>
            <w:r>
              <w:t>应急事故处理领导小组成员在5分钟内赶到现场，指挥和协助事故或紧急情况的处理。</w:t>
            </w:r>
          </w:p>
          <w:p>
            <w:pPr>
              <w:pStyle w:val="5"/>
              <w:ind w:firstLine="480"/>
            </w:pPr>
            <w:r>
              <w:rPr>
                <w:rFonts w:hint="eastAsia" w:ascii="宋体" w:hAnsi="宋体"/>
              </w:rPr>
              <w:t>④</w:t>
            </w:r>
            <w:r>
              <w:t>力争保证各预处理设备设施正常运行，使进水中的SS和COD得到一定的削减。在事故发生及处理期间，应在排放口附近水域悬挂标志示警，提醒各有关方面采取防范措施。</w:t>
            </w:r>
          </w:p>
          <w:p>
            <w:pPr>
              <w:pStyle w:val="5"/>
              <w:ind w:firstLine="480"/>
            </w:pPr>
            <w:r>
              <w:t>建设单位应结合项目实际情况，编制环境风险应急预案，本项目应急预案的主要内容见</w:t>
            </w:r>
            <w:r>
              <w:fldChar w:fldCharType="begin"/>
            </w:r>
            <w:r>
              <w:instrText xml:space="preserve"> REF _Ref157087452 \h  \* MERGEFORMAT </w:instrText>
            </w:r>
            <w:r>
              <w:fldChar w:fldCharType="separate"/>
            </w:r>
            <w:r>
              <w:t>表 4.2</w:t>
            </w:r>
            <w:r>
              <w:noBreakHyphen/>
            </w:r>
            <w:r>
              <w:t>34</w:t>
            </w:r>
            <w:r>
              <w:fldChar w:fldCharType="end"/>
            </w:r>
            <w:r>
              <w:t>。</w:t>
            </w:r>
          </w:p>
          <w:p>
            <w:pPr>
              <w:pStyle w:val="14"/>
            </w:pPr>
            <w:bookmarkStart w:id="97" w:name="_Ref157087452"/>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34</w:t>
            </w:r>
            <w:r>
              <w:fldChar w:fldCharType="end"/>
            </w:r>
            <w:bookmarkEnd w:id="97"/>
            <w:r>
              <w:rPr>
                <w:rFonts w:hint="eastAsia"/>
              </w:rPr>
              <w:t xml:space="preserve">   </w:t>
            </w:r>
            <w:r>
              <w:t>应急预案内容</w:t>
            </w:r>
          </w:p>
          <w:tbl>
            <w:tblPr>
              <w:tblStyle w:val="38"/>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783"/>
              <w:gridCol w:w="5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序号</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项目</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1</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总则</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2</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危险源情况</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详细说明危险源类型、数量、及其分布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3</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应急计划区</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对厂区平面布置进行介绍，对本项目生产、使用、贮存和运输化学危险品 的数量、危险性质及可能引起重大事故进行初步分析，详细说明厂区危险化学品的数量及分布，确定应急计划区并给出分布图。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4</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应急组织机构、人员</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指挥部：负责现场全面指挥</w:t>
                  </w:r>
                </w:p>
                <w:p>
                  <w:pPr>
                    <w:pStyle w:val="63"/>
                  </w:pPr>
                  <w:r>
                    <w:t>专业救援队伍：负责事故控制、救援、善后处理</w:t>
                  </w:r>
                </w:p>
                <w:p>
                  <w:pPr>
                    <w:pStyle w:val="63"/>
                  </w:pPr>
                  <w:r>
                    <w:t>地区指挥部：负责附近地区全面指挥、救援、管制、疏散地区专业救援队伍：负责对工厂专业救援队伍的支持。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5</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预案分级响应条件</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6</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应急救援保障</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规定并明确应急设施、设备与器材，并落实专人管理。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7</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报警、通讯联络方式</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火灾、爆炸事故应急措施、设备与材料，主要为消防器材；</w:t>
                  </w:r>
                </w:p>
                <w:p>
                  <w:pPr>
                    <w:pStyle w:val="63"/>
                  </w:pPr>
                  <w:r>
                    <w:t>危险物质泄漏控制设备：泄漏控制工具、探测设备、喷淋设备、封堵设备等；个人防护设备：防护服、手套、靴子、呼吸保护装置等；医疗支持设备：担架、氧气、急救箱等；应急电力设备：主要为备用的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8</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应急环境监测、抢险、救援及控制措施</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9</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应急检测、防护措施、清除泄漏措施和器材</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包括事故现场、临近区域及控制防火区域，明确控制和清除污染措施及 相应设备。制定不同事故时不同救援方案和程序（例如设备故障导致污 水直排应急方案和程序、火灾爆炸应急方案和程序、停水、电应急措施 等），并配有清晰的图示，明确职工自救、互救方法，规定伤员转运途中的医护技术要求，制定医护人员的常规值班表、详细地址和联络途径，确定现场急救点并设置明显标志。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10</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人员紧急撤离、疏散，应急剂量控制、撤离组织计划</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包括人员紧急撤离、疏散，应急剂量控制及撤离组织计划，明确事故现 场、厂区邻近区域、受事故影响的区域人员及公众对毒物应急剂量控制 规定，制定医疗救护程序。详细规定本厂事故情况下紧急集结点及周边 居民区的紧急集结点，确定紧急事故情况下的安全疏散路线。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11</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事故应急救援关闭程序与恢复措施</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12</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人员培训与演戏</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应急计划制定后，安排事故处理人员进行相关知识培训进行事故应急处理演习；对工厂工人进行安全教育，必要时包括附近的居民。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13</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公众教育和信息发布</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对邻近地区公众开展环境风险事故预防教育、应急知识培训并定期发布相关信息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14</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记录和报告</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op w:val="single" w:color="auto" w:sz="4" w:space="0"/>
                    <w:left w:val="single" w:color="auto" w:sz="4" w:space="0"/>
                    <w:bottom w:val="single" w:color="auto" w:sz="4" w:space="0"/>
                    <w:right w:val="single" w:color="auto" w:sz="4" w:space="0"/>
                  </w:tcBorders>
                  <w:vAlign w:val="center"/>
                </w:tcPr>
                <w:p>
                  <w:pPr>
                    <w:pStyle w:val="63"/>
                  </w:pPr>
                  <w:r>
                    <w:t>15</w:t>
                  </w:r>
                </w:p>
              </w:tc>
              <w:tc>
                <w:tcPr>
                  <w:tcW w:w="1783" w:type="dxa"/>
                  <w:tcBorders>
                    <w:top w:val="single" w:color="auto" w:sz="4" w:space="0"/>
                    <w:left w:val="single" w:color="auto" w:sz="4" w:space="0"/>
                    <w:bottom w:val="single" w:color="auto" w:sz="4" w:space="0"/>
                    <w:right w:val="single" w:color="auto" w:sz="4" w:space="0"/>
                  </w:tcBorders>
                  <w:vAlign w:val="center"/>
                </w:tcPr>
                <w:p>
                  <w:pPr>
                    <w:pStyle w:val="63"/>
                  </w:pPr>
                  <w:r>
                    <w:t>附件</w:t>
                  </w:r>
                </w:p>
              </w:tc>
              <w:tc>
                <w:tcPr>
                  <w:tcW w:w="5531" w:type="dxa"/>
                  <w:tcBorders>
                    <w:top w:val="single" w:color="auto" w:sz="4" w:space="0"/>
                    <w:left w:val="single" w:color="auto" w:sz="4" w:space="0"/>
                    <w:bottom w:val="single" w:color="auto" w:sz="4" w:space="0"/>
                    <w:right w:val="single" w:color="auto" w:sz="4" w:space="0"/>
                  </w:tcBorders>
                  <w:vAlign w:val="center"/>
                </w:tcPr>
                <w:p>
                  <w:pPr>
                    <w:pStyle w:val="63"/>
                  </w:pPr>
                  <w:r>
                    <w:t>准备并形成环境风险事故应急处理有关的附件材料</w:t>
                  </w:r>
                </w:p>
              </w:tc>
            </w:tr>
          </w:tbl>
          <w:p/>
          <w:p>
            <w:pPr>
              <w:pStyle w:val="6"/>
              <w:spacing w:before="120" w:after="120"/>
            </w:pPr>
            <w:r>
              <w:rPr>
                <w:rFonts w:hint="eastAsia"/>
              </w:rPr>
              <w:t>分析结论</w:t>
            </w:r>
          </w:p>
          <w:p>
            <w:pPr>
              <w:pStyle w:val="5"/>
              <w:ind w:firstLine="480"/>
            </w:pPr>
            <w:r>
              <w:rPr>
                <w:rFonts w:hint="eastAsia"/>
              </w:rPr>
              <w:t>项目采用单电源+备用电源供电，</w:t>
            </w:r>
            <w:r>
              <w:t>水处理构筑物采用多套并联运行</w:t>
            </w:r>
            <w:r>
              <w:rPr>
                <w:rFonts w:hint="eastAsia"/>
              </w:rPr>
              <w:t>，</w:t>
            </w:r>
            <w:r>
              <w:t>建设事故池1座，容积3000m</w:t>
            </w:r>
            <w:r>
              <w:rPr>
                <w:vertAlign w:val="superscript"/>
              </w:rPr>
              <w:t>3</w:t>
            </w:r>
            <w:r>
              <w:t>，建设1套Feton应急污水处理设施</w:t>
            </w:r>
            <w:r>
              <w:rPr>
                <w:rFonts w:hint="eastAsia"/>
              </w:rPr>
              <w:t>，</w:t>
            </w:r>
            <w:r>
              <w:t>设置进出水水质在线自动监测装置</w:t>
            </w:r>
            <w:r>
              <w:rPr>
                <w:rFonts w:hint="eastAsia"/>
              </w:rPr>
              <w:t>，设置雨污切换阀等风险防范措施，</w:t>
            </w:r>
            <w:r>
              <w:t>双氧水、硫酸、氢氧化钠设置在室内，</w:t>
            </w:r>
            <w:r>
              <w:rPr>
                <w:rFonts w:hint="eastAsia"/>
              </w:rPr>
              <w:t>防止</w:t>
            </w:r>
            <w:r>
              <w:t>日光照射，分开贮存，双氧水、硫酸储罐内贮存，储罐材质采用塑料并设置围堰，围堰容积不小于贮存储罐容积</w:t>
            </w:r>
            <w:r>
              <w:rPr>
                <w:rFonts w:hint="eastAsia"/>
              </w:rPr>
              <w:t>，</w:t>
            </w:r>
            <w:r>
              <w:t>化学品输送管道应明管铺设，管道接头和管材应满足防腐要求</w:t>
            </w:r>
            <w:r>
              <w:rPr>
                <w:rFonts w:hint="eastAsia"/>
              </w:rPr>
              <w:t>，</w:t>
            </w:r>
            <w:r>
              <w:t>仪表、电气设施、照明灯具等均采用防爆型</w:t>
            </w:r>
            <w:r>
              <w:rPr>
                <w:rFonts w:hint="eastAsia"/>
              </w:rPr>
              <w:t>，同时落实各项环保措施和本评价提出的各项环境风险防范措施，建立有效的突发环境事件应急预案，加强风险管理的条件下，项目的环境风险可防控。</w:t>
            </w:r>
          </w:p>
        </w:tc>
      </w:tr>
    </w:tbl>
    <w:p>
      <w:pPr>
        <w:tabs>
          <w:tab w:val="left" w:pos="2715"/>
        </w:tabs>
        <w:rPr>
          <w:rFonts w:ascii="宋体" w:cs="宋体"/>
          <w:b/>
          <w:kern w:val="0"/>
          <w:sz w:val="28"/>
          <w:szCs w:val="28"/>
        </w:rPr>
      </w:pPr>
    </w:p>
    <w:p>
      <w:pPr>
        <w:tabs>
          <w:tab w:val="left" w:pos="2715"/>
        </w:tabs>
        <w:rPr>
          <w:rFonts w:ascii="宋体" w:cs="宋体"/>
          <w:b/>
          <w:kern w:val="0"/>
          <w:sz w:val="28"/>
          <w:szCs w:val="28"/>
        </w:rPr>
      </w:pPr>
    </w:p>
    <w:p>
      <w:pPr>
        <w:tabs>
          <w:tab w:val="left" w:pos="2715"/>
        </w:tabs>
        <w:rPr>
          <w:rFonts w:ascii="宋体" w:cs="宋体"/>
          <w:sz w:val="28"/>
          <w:szCs w:val="28"/>
        </w:rPr>
        <w:sectPr>
          <w:pgSz w:w="11907" w:h="16840"/>
          <w:pgMar w:top="1701" w:right="1531" w:bottom="2127" w:left="1531" w:header="851" w:footer="851" w:gutter="0"/>
          <w:cols w:space="720" w:num="1"/>
          <w:docGrid w:linePitch="312" w:charSpace="0"/>
        </w:sectPr>
      </w:pPr>
      <w:r>
        <w:rPr>
          <w:rFonts w:ascii="宋体" w:cs="宋体"/>
          <w:sz w:val="28"/>
          <w:szCs w:val="28"/>
        </w:rPr>
        <w:tab/>
      </w:r>
    </w:p>
    <w:p>
      <w:pPr>
        <w:pStyle w:val="2"/>
        <w:rPr>
          <w:snapToGrid w:val="0"/>
        </w:rPr>
      </w:pPr>
      <w:bookmarkStart w:id="98" w:name="_Hlk54167917"/>
      <w:r>
        <w:rPr>
          <w:rFonts w:hint="eastAsia"/>
          <w:snapToGrid w:val="0"/>
        </w:rPr>
        <w:t>环境保护措施监督检查清单</w:t>
      </w:r>
      <w:bookmarkEnd w:id="98"/>
    </w:p>
    <w:tbl>
      <w:tblPr>
        <w:tblStyle w:val="38"/>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559"/>
        <w:gridCol w:w="1418"/>
        <w:gridCol w:w="2823"/>
        <w:gridCol w:w="17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66" w:type="dxa"/>
            <w:tcBorders>
              <w:tl2br w:val="single" w:color="auto" w:sz="4" w:space="0"/>
            </w:tcBorders>
          </w:tcPr>
          <w:p>
            <w:pPr>
              <w:adjustRightInd w:val="0"/>
              <w:snapToGrid w:val="0"/>
              <w:ind w:firstLine="630" w:firstLineChars="300"/>
              <w:rPr>
                <w:rFonts w:hint="eastAsia" w:ascii="宋体" w:hAnsi="宋体" w:cs="宋体"/>
                <w:szCs w:val="21"/>
              </w:rPr>
            </w:pPr>
            <w:r>
              <w:rPr>
                <w:rFonts w:hint="eastAsia" w:ascii="宋体" w:hAnsi="宋体" w:cs="宋体"/>
                <w:szCs w:val="21"/>
              </w:rPr>
              <w:t>内容</w:t>
            </w:r>
          </w:p>
          <w:p>
            <w:pPr>
              <w:adjustRightInd w:val="0"/>
              <w:snapToGrid w:val="0"/>
              <w:rPr>
                <w:rFonts w:hint="eastAsia" w:ascii="宋体" w:hAnsi="宋体" w:cs="宋体"/>
                <w:szCs w:val="21"/>
              </w:rPr>
            </w:pPr>
            <w:r>
              <w:rPr>
                <w:rFonts w:hint="eastAsia" w:ascii="宋体" w:hAnsi="宋体" w:cs="宋体"/>
                <w:szCs w:val="21"/>
              </w:rPr>
              <w:t>要素</w:t>
            </w:r>
          </w:p>
        </w:tc>
        <w:tc>
          <w:tcPr>
            <w:tcW w:w="1559" w:type="dxa"/>
            <w:vAlign w:val="center"/>
          </w:tcPr>
          <w:p>
            <w:pPr>
              <w:adjustRightInd w:val="0"/>
              <w:snapToGrid w:val="0"/>
              <w:jc w:val="center"/>
              <w:rPr>
                <w:rFonts w:hint="eastAsia" w:ascii="宋体" w:hAnsi="宋体" w:cs="宋体"/>
                <w:szCs w:val="21"/>
              </w:rPr>
            </w:pPr>
            <w:r>
              <w:rPr>
                <w:rFonts w:hint="eastAsia" w:ascii="宋体" w:hAnsi="宋体" w:cs="宋体"/>
                <w:szCs w:val="21"/>
              </w:rPr>
              <w:t>排放口(编号、名称)/污染源</w:t>
            </w:r>
          </w:p>
        </w:tc>
        <w:tc>
          <w:tcPr>
            <w:tcW w:w="1418" w:type="dxa"/>
            <w:vAlign w:val="center"/>
          </w:tcPr>
          <w:p>
            <w:pPr>
              <w:adjustRightInd w:val="0"/>
              <w:snapToGrid w:val="0"/>
              <w:jc w:val="center"/>
              <w:rPr>
                <w:rFonts w:hint="eastAsia" w:ascii="宋体" w:hAnsi="宋体" w:cs="宋体"/>
                <w:szCs w:val="21"/>
              </w:rPr>
            </w:pPr>
            <w:r>
              <w:rPr>
                <w:rFonts w:hint="eastAsia" w:ascii="宋体" w:hAnsi="宋体" w:cs="宋体"/>
                <w:szCs w:val="21"/>
              </w:rPr>
              <w:t>污染物项目</w:t>
            </w:r>
          </w:p>
        </w:tc>
        <w:tc>
          <w:tcPr>
            <w:tcW w:w="2823" w:type="dxa"/>
            <w:vAlign w:val="center"/>
          </w:tcPr>
          <w:p>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1734" w:type="dxa"/>
            <w:vAlign w:val="center"/>
          </w:tcPr>
          <w:p>
            <w:pPr>
              <w:adjustRightInd w:val="0"/>
              <w:snapToGrid w:val="0"/>
              <w:jc w:val="center"/>
              <w:rPr>
                <w:rFonts w:hint="eastAsia"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42" w:hRule="atLeast"/>
          <w:jc w:val="center"/>
        </w:trPr>
        <w:tc>
          <w:tcPr>
            <w:tcW w:w="1266" w:type="dxa"/>
            <w:vMerge w:val="restart"/>
            <w:vAlign w:val="center"/>
          </w:tcPr>
          <w:p>
            <w:pPr>
              <w:adjustRightInd w:val="0"/>
              <w:snapToGrid w:val="0"/>
              <w:jc w:val="center"/>
              <w:rPr>
                <w:rFonts w:hint="eastAsia" w:ascii="宋体" w:hAnsi="宋体" w:cs="宋体"/>
                <w:szCs w:val="21"/>
              </w:rPr>
            </w:pPr>
            <w:r>
              <w:rPr>
                <w:rFonts w:hint="eastAsia" w:ascii="宋体" w:hAnsi="宋体" w:cs="宋体"/>
                <w:szCs w:val="21"/>
              </w:rPr>
              <w:t>大气环境</w:t>
            </w:r>
          </w:p>
        </w:tc>
        <w:tc>
          <w:tcPr>
            <w:tcW w:w="1559" w:type="dxa"/>
            <w:vAlign w:val="center"/>
          </w:tcPr>
          <w:p>
            <w:pPr>
              <w:adjustRightInd w:val="0"/>
              <w:snapToGrid w:val="0"/>
              <w:jc w:val="center"/>
              <w:rPr>
                <w:rFonts w:hint="eastAsia" w:ascii="宋体" w:hAnsi="宋体" w:cs="宋体"/>
                <w:szCs w:val="21"/>
              </w:rPr>
            </w:pPr>
            <w:r>
              <w:rPr>
                <w:rFonts w:hint="eastAsia" w:ascii="宋体" w:hAnsi="宋体" w:cs="宋体"/>
                <w:szCs w:val="21"/>
              </w:rPr>
              <w:t>臭气处理设施DA001（15m）</w:t>
            </w:r>
          </w:p>
        </w:tc>
        <w:tc>
          <w:tcPr>
            <w:tcW w:w="1418" w:type="dxa"/>
            <w:vAlign w:val="center"/>
          </w:tcPr>
          <w:p>
            <w:pPr>
              <w:adjustRightInd w:val="0"/>
              <w:snapToGrid w:val="0"/>
              <w:jc w:val="center"/>
              <w:rPr>
                <w:rFonts w:hint="eastAsia" w:ascii="宋体" w:hAnsi="宋体" w:cs="宋体"/>
                <w:szCs w:val="21"/>
              </w:rPr>
            </w:pPr>
            <w:r>
              <w:rPr>
                <w:rFonts w:hint="eastAsia" w:ascii="宋体" w:hAnsi="宋体" w:cs="宋体"/>
                <w:szCs w:val="21"/>
              </w:rPr>
              <w:t>废气量、氨、硫化氢、臭气浓度</w:t>
            </w:r>
          </w:p>
        </w:tc>
        <w:tc>
          <w:tcPr>
            <w:tcW w:w="2823" w:type="dxa"/>
            <w:vAlign w:val="center"/>
          </w:tcPr>
          <w:p>
            <w:pPr>
              <w:adjustRightInd w:val="0"/>
              <w:snapToGrid w:val="0"/>
              <w:jc w:val="center"/>
              <w:rPr>
                <w:rFonts w:hint="eastAsia" w:ascii="宋体" w:hAnsi="宋体" w:cs="宋体"/>
                <w:szCs w:val="21"/>
              </w:rPr>
            </w:pPr>
            <w:r>
              <w:rPr>
                <w:rFonts w:hint="eastAsia" w:ascii="宋体" w:hAnsi="宋体" w:cs="宋体"/>
                <w:szCs w:val="21"/>
              </w:rPr>
              <w:t>污水预处理区池体、</w:t>
            </w:r>
            <w:r>
              <w:rPr>
                <w:rFonts w:hint="eastAsia"/>
              </w:rPr>
              <w:t>污水二级处理池体、污泥脱水及处理设施</w:t>
            </w:r>
            <w:r>
              <w:rPr>
                <w:rFonts w:hint="eastAsia" w:ascii="宋体" w:hAnsi="宋体" w:cs="宋体"/>
                <w:szCs w:val="21"/>
              </w:rPr>
              <w:t>进行加盖、加罩收集臭气，</w:t>
            </w:r>
            <w:r>
              <w:rPr>
                <w:rFonts w:hint="eastAsia"/>
              </w:rPr>
              <w:t>粗格栅和调节池采用地埋设置并收集臭气</w:t>
            </w:r>
            <w:r>
              <w:rPr>
                <w:rFonts w:hint="eastAsia" w:ascii="宋体" w:hAnsi="宋体" w:cs="宋体"/>
                <w:szCs w:val="21"/>
              </w:rPr>
              <w:t>，臭气采用负压收集，管道送至生物除臭的处理工艺处理，处理规模20000m</w:t>
            </w:r>
            <w:r>
              <w:rPr>
                <w:rFonts w:hint="eastAsia" w:ascii="宋体" w:hAnsi="宋体" w:cs="宋体"/>
                <w:szCs w:val="21"/>
                <w:vertAlign w:val="superscript"/>
              </w:rPr>
              <w:t>3</w:t>
            </w:r>
            <w:r>
              <w:rPr>
                <w:rFonts w:hint="eastAsia" w:ascii="宋体" w:hAnsi="宋体" w:cs="宋体"/>
                <w:szCs w:val="21"/>
              </w:rPr>
              <w:t>/h，15m高排气筒排放</w:t>
            </w:r>
          </w:p>
        </w:tc>
        <w:tc>
          <w:tcPr>
            <w:tcW w:w="1734" w:type="dxa"/>
            <w:vAlign w:val="center"/>
          </w:tcPr>
          <w:p>
            <w:pPr>
              <w:adjustRightInd w:val="0"/>
              <w:snapToGrid w:val="0"/>
              <w:jc w:val="center"/>
              <w:rPr>
                <w:rFonts w:hint="eastAsia" w:ascii="宋体" w:hAnsi="宋体" w:cs="宋体"/>
                <w:szCs w:val="21"/>
              </w:rPr>
            </w:pPr>
            <w:r>
              <w:rPr>
                <w:rFonts w:hint="eastAsia"/>
              </w:rPr>
              <w:t>《恶臭污染物排放标准》（GB14554-93）二级标准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66" w:type="dxa"/>
            <w:vMerge w:val="continue"/>
            <w:vAlign w:val="center"/>
          </w:tcPr>
          <w:p>
            <w:pPr>
              <w:adjustRightInd w:val="0"/>
              <w:snapToGrid w:val="0"/>
              <w:jc w:val="center"/>
              <w:rPr>
                <w:rFonts w:hint="eastAsia" w:ascii="宋体" w:hAnsi="宋体" w:cs="宋体"/>
                <w:szCs w:val="21"/>
              </w:rPr>
            </w:pPr>
          </w:p>
        </w:tc>
        <w:tc>
          <w:tcPr>
            <w:tcW w:w="1559" w:type="dxa"/>
            <w:vMerge w:val="restart"/>
            <w:vAlign w:val="center"/>
          </w:tcPr>
          <w:p>
            <w:pPr>
              <w:adjustRightInd w:val="0"/>
              <w:snapToGrid w:val="0"/>
              <w:jc w:val="center"/>
              <w:rPr>
                <w:rFonts w:hint="eastAsia" w:ascii="宋体" w:hAnsi="宋体" w:cs="宋体"/>
                <w:szCs w:val="21"/>
              </w:rPr>
            </w:pPr>
            <w:r>
              <w:rPr>
                <w:rFonts w:hint="eastAsia" w:ascii="宋体" w:hAnsi="宋体" w:cs="宋体"/>
                <w:szCs w:val="21"/>
              </w:rPr>
              <w:t>无组织废气</w:t>
            </w:r>
          </w:p>
        </w:tc>
        <w:tc>
          <w:tcPr>
            <w:tcW w:w="1418" w:type="dxa"/>
            <w:vMerge w:val="restart"/>
            <w:vAlign w:val="center"/>
          </w:tcPr>
          <w:p>
            <w:pPr>
              <w:adjustRightInd w:val="0"/>
              <w:snapToGrid w:val="0"/>
              <w:jc w:val="center"/>
              <w:rPr>
                <w:rFonts w:hint="eastAsia" w:ascii="宋体" w:hAnsi="宋体" w:cs="宋体"/>
                <w:szCs w:val="21"/>
              </w:rPr>
            </w:pPr>
            <w:r>
              <w:rPr>
                <w:rFonts w:hint="eastAsia"/>
                <w:szCs w:val="21"/>
              </w:rPr>
              <w:t>氨、硫化氢、臭气浓度、甲烷</w:t>
            </w:r>
          </w:p>
        </w:tc>
        <w:tc>
          <w:tcPr>
            <w:tcW w:w="2823" w:type="dxa"/>
            <w:vAlign w:val="center"/>
          </w:tcPr>
          <w:p>
            <w:pPr>
              <w:adjustRightInd w:val="0"/>
              <w:snapToGrid w:val="0"/>
              <w:jc w:val="center"/>
              <w:rPr>
                <w:rFonts w:hint="eastAsia" w:ascii="宋体" w:hAnsi="宋体" w:cs="宋体"/>
                <w:szCs w:val="21"/>
              </w:rPr>
            </w:pPr>
            <w:r>
              <w:rPr>
                <w:rFonts w:hint="eastAsia"/>
                <w:szCs w:val="21"/>
              </w:rPr>
              <w:t>加强管理、检修检漏、绿化等措施</w:t>
            </w:r>
          </w:p>
        </w:tc>
        <w:tc>
          <w:tcPr>
            <w:tcW w:w="1734" w:type="dxa"/>
            <w:vMerge w:val="restart"/>
            <w:vAlign w:val="center"/>
          </w:tcPr>
          <w:p>
            <w:pPr>
              <w:adjustRightInd w:val="0"/>
              <w:snapToGrid w:val="0"/>
              <w:jc w:val="center"/>
              <w:rPr>
                <w:rFonts w:hint="eastAsia" w:ascii="宋体" w:hAnsi="宋体" w:cs="宋体"/>
                <w:szCs w:val="21"/>
              </w:rPr>
            </w:pPr>
            <w:r>
              <w:rPr>
                <w:rFonts w:hint="eastAsia"/>
                <w:szCs w:val="21"/>
              </w:rPr>
              <w:t>《城镇污水处理厂污染物排放标准》（</w:t>
            </w:r>
            <w:r>
              <w:rPr>
                <w:szCs w:val="21"/>
              </w:rPr>
              <w:t>GB18918-2002）表5二级标准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66" w:type="dxa"/>
            <w:vMerge w:val="continue"/>
            <w:vAlign w:val="center"/>
          </w:tcPr>
          <w:p>
            <w:pPr>
              <w:adjustRightInd w:val="0"/>
              <w:snapToGrid w:val="0"/>
              <w:jc w:val="center"/>
              <w:rPr>
                <w:rFonts w:hint="eastAsia" w:ascii="宋体" w:hAnsi="宋体" w:cs="宋体"/>
                <w:szCs w:val="21"/>
              </w:rPr>
            </w:pPr>
          </w:p>
        </w:tc>
        <w:tc>
          <w:tcPr>
            <w:tcW w:w="1559" w:type="dxa"/>
            <w:vMerge w:val="continue"/>
            <w:vAlign w:val="center"/>
          </w:tcPr>
          <w:p>
            <w:pPr>
              <w:adjustRightInd w:val="0"/>
              <w:snapToGrid w:val="0"/>
              <w:jc w:val="center"/>
              <w:rPr>
                <w:rFonts w:hint="eastAsia" w:ascii="宋体" w:hAnsi="宋体" w:cs="宋体"/>
                <w:szCs w:val="21"/>
              </w:rPr>
            </w:pPr>
          </w:p>
        </w:tc>
        <w:tc>
          <w:tcPr>
            <w:tcW w:w="1418" w:type="dxa"/>
            <w:vMerge w:val="continue"/>
            <w:vAlign w:val="center"/>
          </w:tcPr>
          <w:p>
            <w:pPr>
              <w:adjustRightInd w:val="0"/>
              <w:snapToGrid w:val="0"/>
              <w:jc w:val="center"/>
              <w:rPr>
                <w:rFonts w:hint="eastAsia" w:ascii="宋体" w:hAnsi="宋体" w:cs="宋体"/>
                <w:szCs w:val="21"/>
              </w:rPr>
            </w:pPr>
          </w:p>
        </w:tc>
        <w:tc>
          <w:tcPr>
            <w:tcW w:w="2823" w:type="dxa"/>
            <w:vAlign w:val="center"/>
          </w:tcPr>
          <w:p>
            <w:pPr>
              <w:adjustRightInd w:val="0"/>
              <w:snapToGrid w:val="0"/>
              <w:jc w:val="center"/>
              <w:rPr>
                <w:rFonts w:hint="eastAsia" w:ascii="宋体" w:hAnsi="宋体" w:cs="宋体"/>
                <w:szCs w:val="21"/>
              </w:rPr>
            </w:pPr>
            <w:r>
              <w:rPr>
                <w:rFonts w:hint="eastAsia"/>
                <w:szCs w:val="21"/>
              </w:rPr>
              <w:t>项目防护距离为污水预处理区、污水二级处理区和污泥脱水污泥处理区外扩100m范围，防护距离内不得安排住宅、学校、医院等敏感性用途的建设用地。</w:t>
            </w:r>
          </w:p>
        </w:tc>
        <w:tc>
          <w:tcPr>
            <w:tcW w:w="1734" w:type="dxa"/>
            <w:vMerge w:val="continue"/>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66" w:type="dxa"/>
            <w:vMerge w:val="restart"/>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1559" w:type="dxa"/>
            <w:vAlign w:val="center"/>
          </w:tcPr>
          <w:p>
            <w:pPr>
              <w:pStyle w:val="88"/>
              <w:rPr>
                <w:szCs w:val="21"/>
              </w:rPr>
            </w:pPr>
            <w:r>
              <w:rPr>
                <w:rFonts w:hint="eastAsia"/>
                <w:szCs w:val="21"/>
              </w:rPr>
              <w:t>厂内生产、生活污水</w:t>
            </w:r>
          </w:p>
          <w:p>
            <w:pPr>
              <w:adjustRightInd w:val="0"/>
              <w:snapToGrid w:val="0"/>
              <w:jc w:val="center"/>
              <w:rPr>
                <w:rFonts w:hint="eastAsia" w:ascii="宋体" w:hAnsi="宋体" w:cs="宋体"/>
                <w:szCs w:val="21"/>
              </w:rPr>
            </w:pPr>
          </w:p>
        </w:tc>
        <w:tc>
          <w:tcPr>
            <w:tcW w:w="1418" w:type="dxa"/>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2823" w:type="dxa"/>
            <w:vAlign w:val="center"/>
          </w:tcPr>
          <w:p>
            <w:pPr>
              <w:adjustRightInd w:val="0"/>
              <w:snapToGrid w:val="0"/>
              <w:jc w:val="center"/>
              <w:rPr>
                <w:rFonts w:hint="eastAsia" w:ascii="宋体" w:hAnsi="宋体" w:cs="宋体"/>
                <w:szCs w:val="21"/>
              </w:rPr>
            </w:pPr>
            <w:r>
              <w:rPr>
                <w:rFonts w:hint="eastAsia"/>
                <w:szCs w:val="21"/>
              </w:rPr>
              <w:t>管道导入厂区污水处理系统处理</w:t>
            </w:r>
          </w:p>
        </w:tc>
        <w:tc>
          <w:tcPr>
            <w:tcW w:w="1734" w:type="dxa"/>
            <w:vAlign w:val="center"/>
          </w:tcPr>
          <w:p>
            <w:pPr>
              <w:adjustRightInd w:val="0"/>
              <w:snapToGrid w:val="0"/>
              <w:jc w:val="center"/>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66" w:type="dxa"/>
            <w:vMerge w:val="continue"/>
            <w:vAlign w:val="center"/>
          </w:tcPr>
          <w:p>
            <w:pPr>
              <w:adjustRightInd w:val="0"/>
              <w:snapToGrid w:val="0"/>
              <w:jc w:val="center"/>
              <w:rPr>
                <w:rFonts w:hint="eastAsia" w:ascii="宋体" w:hAnsi="宋体" w:cs="宋体"/>
                <w:szCs w:val="21"/>
              </w:rPr>
            </w:pPr>
          </w:p>
        </w:tc>
        <w:tc>
          <w:tcPr>
            <w:tcW w:w="1559" w:type="dxa"/>
            <w:vAlign w:val="center"/>
          </w:tcPr>
          <w:p>
            <w:pPr>
              <w:pStyle w:val="88"/>
              <w:rPr>
                <w:szCs w:val="21"/>
              </w:rPr>
            </w:pPr>
            <w:r>
              <w:rPr>
                <w:rFonts w:hint="eastAsia"/>
                <w:szCs w:val="21"/>
              </w:rPr>
              <w:t>事故初期雨水</w:t>
            </w:r>
          </w:p>
        </w:tc>
        <w:tc>
          <w:tcPr>
            <w:tcW w:w="1418" w:type="dxa"/>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2823" w:type="dxa"/>
            <w:vAlign w:val="center"/>
          </w:tcPr>
          <w:p>
            <w:pPr>
              <w:adjustRightInd w:val="0"/>
              <w:snapToGrid w:val="0"/>
              <w:jc w:val="center"/>
              <w:rPr>
                <w:szCs w:val="21"/>
              </w:rPr>
            </w:pPr>
            <w:r>
              <w:rPr>
                <w:rFonts w:hint="eastAsia"/>
                <w:szCs w:val="21"/>
              </w:rPr>
              <w:t>厂区内雨水管道收集，事故初期雨水导入事故池暂存导入厂区污水处理厂设施处理，处理达标后排污口排入朱衣河。雨水管道设置雨污切换阀，初期雨水收集时间过后，通过厂区雨水排口排入朱衣河</w:t>
            </w:r>
          </w:p>
        </w:tc>
        <w:tc>
          <w:tcPr>
            <w:tcW w:w="1734" w:type="dxa"/>
            <w:vAlign w:val="center"/>
          </w:tcPr>
          <w:p>
            <w:pPr>
              <w:adjustRightInd w:val="0"/>
              <w:snapToGrid w:val="0"/>
              <w:jc w:val="center"/>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266" w:type="dxa"/>
            <w:vMerge w:val="continue"/>
            <w:vAlign w:val="center"/>
          </w:tcPr>
          <w:p>
            <w:pPr>
              <w:adjustRightInd w:val="0"/>
              <w:snapToGrid w:val="0"/>
              <w:jc w:val="center"/>
              <w:rPr>
                <w:rFonts w:hint="eastAsia" w:ascii="宋体" w:hAnsi="宋体" w:cs="宋体"/>
                <w:szCs w:val="21"/>
              </w:rPr>
            </w:pPr>
          </w:p>
        </w:tc>
        <w:tc>
          <w:tcPr>
            <w:tcW w:w="1559" w:type="dxa"/>
            <w:vAlign w:val="center"/>
          </w:tcPr>
          <w:p>
            <w:pPr>
              <w:adjustRightInd w:val="0"/>
              <w:snapToGrid w:val="0"/>
              <w:jc w:val="center"/>
              <w:rPr>
                <w:rFonts w:hint="eastAsia" w:ascii="宋体" w:hAnsi="宋体" w:cs="宋体"/>
                <w:szCs w:val="21"/>
              </w:rPr>
            </w:pPr>
            <w:r>
              <w:rPr>
                <w:rFonts w:hint="eastAsia"/>
                <w:szCs w:val="21"/>
              </w:rPr>
              <w:t>污水总排放口</w:t>
            </w:r>
          </w:p>
        </w:tc>
        <w:tc>
          <w:tcPr>
            <w:tcW w:w="1418" w:type="dxa"/>
            <w:vAlign w:val="center"/>
          </w:tcPr>
          <w:p>
            <w:pPr>
              <w:adjustRightInd w:val="0"/>
              <w:snapToGrid w:val="0"/>
              <w:jc w:val="center"/>
              <w:rPr>
                <w:rFonts w:hint="eastAsia" w:ascii="宋体" w:hAnsi="宋体" w:cs="宋体"/>
                <w:szCs w:val="21"/>
              </w:rPr>
            </w:pPr>
            <w:r>
              <w:rPr>
                <w:rFonts w:hint="eastAsia"/>
                <w:szCs w:val="21"/>
              </w:rPr>
              <w:t>COD、NH</w:t>
            </w:r>
            <w:r>
              <w:rPr>
                <w:rFonts w:hint="eastAsia"/>
                <w:szCs w:val="21"/>
                <w:vertAlign w:val="subscript"/>
              </w:rPr>
              <w:t>3</w:t>
            </w:r>
            <w:r>
              <w:rPr>
                <w:rFonts w:hint="eastAsia"/>
                <w:szCs w:val="21"/>
              </w:rPr>
              <w:t>-N、SS、石油类、动植物油</w:t>
            </w:r>
          </w:p>
        </w:tc>
        <w:tc>
          <w:tcPr>
            <w:tcW w:w="2823" w:type="dxa"/>
            <w:vAlign w:val="center"/>
          </w:tcPr>
          <w:p>
            <w:pPr>
              <w:adjustRightInd w:val="0"/>
              <w:snapToGrid w:val="0"/>
              <w:jc w:val="center"/>
              <w:rPr>
                <w:rFonts w:hint="eastAsia" w:ascii="宋体" w:hAnsi="宋体" w:cs="宋体"/>
                <w:szCs w:val="21"/>
              </w:rPr>
            </w:pPr>
            <w:r>
              <w:rPr>
                <w:rFonts w:hint="eastAsia"/>
                <w:szCs w:val="21"/>
              </w:rPr>
              <w:t>处理规模10000m</w:t>
            </w:r>
            <w:r>
              <w:rPr>
                <w:rFonts w:hint="eastAsia"/>
                <w:szCs w:val="21"/>
                <w:vertAlign w:val="superscript"/>
              </w:rPr>
              <w:t>3</w:t>
            </w:r>
            <w:r>
              <w:rPr>
                <w:rFonts w:hint="eastAsia"/>
                <w:szCs w:val="21"/>
              </w:rPr>
              <w:t>/d，处理工艺为预处理</w:t>
            </w:r>
            <w:r>
              <w:rPr>
                <w:szCs w:val="21"/>
              </w:rPr>
              <w:t xml:space="preserve">+二级处理+深度处理+消毒 </w:t>
            </w:r>
          </w:p>
        </w:tc>
        <w:tc>
          <w:tcPr>
            <w:tcW w:w="1734" w:type="dxa"/>
            <w:vAlign w:val="center"/>
          </w:tcPr>
          <w:p>
            <w:pPr>
              <w:adjustRightInd w:val="0"/>
              <w:snapToGrid w:val="0"/>
              <w:jc w:val="center"/>
              <w:rPr>
                <w:rFonts w:hint="eastAsia" w:ascii="宋体" w:hAnsi="宋体" w:cs="宋体"/>
                <w:szCs w:val="21"/>
              </w:rPr>
            </w:pPr>
            <w:r>
              <w:rPr>
                <w:rFonts w:hint="eastAsia"/>
                <w:szCs w:val="21"/>
              </w:rPr>
              <w:t>《城镇污水处理厂污染物排放标准》（</w:t>
            </w:r>
            <w:r>
              <w:rPr>
                <w:szCs w:val="21"/>
              </w:rPr>
              <w:t>GB18918-2002）一级A标准排入朱衣河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266" w:type="dxa"/>
            <w:vAlign w:val="center"/>
          </w:tcPr>
          <w:p>
            <w:pPr>
              <w:adjustRightInd w:val="0"/>
              <w:snapToGrid w:val="0"/>
              <w:jc w:val="center"/>
              <w:rPr>
                <w:rFonts w:hint="eastAsia" w:ascii="宋体" w:hAnsi="宋体" w:cs="宋体"/>
                <w:szCs w:val="21"/>
              </w:rPr>
            </w:pPr>
            <w:r>
              <w:rPr>
                <w:rFonts w:hint="eastAsia" w:ascii="宋体" w:hAnsi="宋体" w:cs="宋体"/>
                <w:szCs w:val="21"/>
              </w:rPr>
              <w:t>声环境</w:t>
            </w:r>
          </w:p>
        </w:tc>
        <w:tc>
          <w:tcPr>
            <w:tcW w:w="1559" w:type="dxa"/>
            <w:vAlign w:val="center"/>
          </w:tcPr>
          <w:p>
            <w:pPr>
              <w:adjustRightInd w:val="0"/>
              <w:snapToGrid w:val="0"/>
              <w:jc w:val="center"/>
              <w:rPr>
                <w:szCs w:val="21"/>
              </w:rPr>
            </w:pPr>
            <w:r>
              <w:rPr>
                <w:rFonts w:hint="eastAsia"/>
                <w:szCs w:val="21"/>
              </w:rPr>
              <w:t>厂界</w:t>
            </w:r>
          </w:p>
        </w:tc>
        <w:tc>
          <w:tcPr>
            <w:tcW w:w="1418" w:type="dxa"/>
            <w:vAlign w:val="center"/>
          </w:tcPr>
          <w:p>
            <w:pPr>
              <w:adjustRightInd w:val="0"/>
              <w:snapToGrid w:val="0"/>
              <w:jc w:val="center"/>
              <w:rPr>
                <w:szCs w:val="21"/>
              </w:rPr>
            </w:pPr>
            <w:r>
              <w:rPr>
                <w:rFonts w:hint="eastAsia"/>
                <w:szCs w:val="21"/>
              </w:rPr>
              <w:t>噪声</w:t>
            </w:r>
          </w:p>
        </w:tc>
        <w:tc>
          <w:tcPr>
            <w:tcW w:w="2823" w:type="dxa"/>
            <w:vAlign w:val="center"/>
          </w:tcPr>
          <w:p>
            <w:pPr>
              <w:adjustRightInd w:val="0"/>
              <w:snapToGrid w:val="0"/>
              <w:jc w:val="center"/>
              <w:rPr>
                <w:szCs w:val="21"/>
              </w:rPr>
            </w:pPr>
            <w:r>
              <w:rPr>
                <w:rFonts w:hint="eastAsia"/>
                <w:szCs w:val="21"/>
              </w:rPr>
              <w:t>减振、消声、隔声</w:t>
            </w:r>
          </w:p>
        </w:tc>
        <w:tc>
          <w:tcPr>
            <w:tcW w:w="1734" w:type="dxa"/>
            <w:vAlign w:val="center"/>
          </w:tcPr>
          <w:p>
            <w:pPr>
              <w:adjustRightInd w:val="0"/>
              <w:snapToGrid w:val="0"/>
              <w:jc w:val="center"/>
              <w:rPr>
                <w:szCs w:val="21"/>
              </w:rPr>
            </w:pPr>
            <w:r>
              <w:rPr>
                <w:rFonts w:hint="eastAsia"/>
                <w:szCs w:val="21"/>
              </w:rPr>
              <w:t>《工业企业厂界环境噪声排放标准》(GB12348-2008)</w:t>
            </w:r>
            <w:r>
              <w:rPr>
                <w:rFonts w:hint="eastAsia"/>
              </w:rPr>
              <w:t xml:space="preserve"> 2类和4类标准限值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266" w:type="dxa"/>
            <w:vAlign w:val="center"/>
          </w:tcPr>
          <w:p>
            <w:pPr>
              <w:adjustRightInd w:val="0"/>
              <w:snapToGrid w:val="0"/>
              <w:jc w:val="center"/>
              <w:rPr>
                <w:rFonts w:hint="eastAsia" w:ascii="宋体" w:hAnsi="宋体" w:cs="宋体"/>
                <w:szCs w:val="21"/>
              </w:rPr>
            </w:pPr>
            <w:r>
              <w:rPr>
                <w:rFonts w:hint="eastAsia" w:ascii="宋体" w:hAnsi="宋体" w:cs="宋体"/>
                <w:szCs w:val="21"/>
              </w:rPr>
              <w:t>电磁辐射</w:t>
            </w:r>
          </w:p>
        </w:tc>
        <w:tc>
          <w:tcPr>
            <w:tcW w:w="1559" w:type="dxa"/>
            <w:vAlign w:val="center"/>
          </w:tcPr>
          <w:p>
            <w:pPr>
              <w:adjustRightInd w:val="0"/>
              <w:snapToGrid w:val="0"/>
              <w:jc w:val="center"/>
              <w:rPr>
                <w:szCs w:val="21"/>
              </w:rPr>
            </w:pPr>
            <w:r>
              <w:rPr>
                <w:rFonts w:hint="eastAsia"/>
                <w:szCs w:val="21"/>
              </w:rPr>
              <w:t>-</w:t>
            </w:r>
          </w:p>
        </w:tc>
        <w:tc>
          <w:tcPr>
            <w:tcW w:w="1418" w:type="dxa"/>
            <w:vAlign w:val="center"/>
          </w:tcPr>
          <w:p>
            <w:pPr>
              <w:adjustRightInd w:val="0"/>
              <w:snapToGrid w:val="0"/>
              <w:jc w:val="center"/>
              <w:rPr>
                <w:szCs w:val="21"/>
              </w:rPr>
            </w:pPr>
            <w:r>
              <w:rPr>
                <w:rFonts w:hint="eastAsia"/>
                <w:szCs w:val="21"/>
              </w:rPr>
              <w:t>-</w:t>
            </w:r>
          </w:p>
        </w:tc>
        <w:tc>
          <w:tcPr>
            <w:tcW w:w="2823" w:type="dxa"/>
            <w:vAlign w:val="center"/>
          </w:tcPr>
          <w:p>
            <w:pPr>
              <w:adjustRightInd w:val="0"/>
              <w:snapToGrid w:val="0"/>
              <w:jc w:val="center"/>
              <w:rPr>
                <w:szCs w:val="21"/>
              </w:rPr>
            </w:pPr>
            <w:r>
              <w:rPr>
                <w:rFonts w:hint="eastAsia"/>
                <w:szCs w:val="21"/>
              </w:rPr>
              <w:t>-</w:t>
            </w:r>
          </w:p>
        </w:tc>
        <w:tc>
          <w:tcPr>
            <w:tcW w:w="1734"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266" w:type="dxa"/>
            <w:vMerge w:val="restart"/>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1559" w:type="dxa"/>
            <w:vMerge w:val="restart"/>
            <w:vAlign w:val="center"/>
          </w:tcPr>
          <w:p>
            <w:pPr>
              <w:adjustRightInd w:val="0"/>
              <w:snapToGrid w:val="0"/>
              <w:jc w:val="center"/>
              <w:rPr>
                <w:szCs w:val="21"/>
              </w:rPr>
            </w:pPr>
            <w:r>
              <w:rPr>
                <w:rFonts w:hint="eastAsia"/>
                <w:szCs w:val="21"/>
              </w:rPr>
              <w:t>场内</w:t>
            </w:r>
          </w:p>
        </w:tc>
        <w:tc>
          <w:tcPr>
            <w:tcW w:w="1418" w:type="dxa"/>
            <w:vAlign w:val="center"/>
          </w:tcPr>
          <w:p>
            <w:pPr>
              <w:adjustRightInd w:val="0"/>
              <w:snapToGrid w:val="0"/>
              <w:jc w:val="center"/>
              <w:rPr>
                <w:szCs w:val="21"/>
              </w:rPr>
            </w:pPr>
            <w:r>
              <w:rPr>
                <w:rFonts w:hint="eastAsia"/>
                <w:szCs w:val="21"/>
              </w:rPr>
              <w:t>生活垃圾</w:t>
            </w:r>
          </w:p>
        </w:tc>
        <w:tc>
          <w:tcPr>
            <w:tcW w:w="2823" w:type="dxa"/>
            <w:vAlign w:val="center"/>
          </w:tcPr>
          <w:p>
            <w:pPr>
              <w:adjustRightInd w:val="0"/>
              <w:snapToGrid w:val="0"/>
              <w:jc w:val="center"/>
              <w:rPr>
                <w:szCs w:val="21"/>
              </w:rPr>
            </w:pPr>
            <w:r>
              <w:rPr>
                <w:rFonts w:hint="eastAsia"/>
                <w:szCs w:val="21"/>
              </w:rPr>
              <w:t>厂内贮存，环卫转运处置</w:t>
            </w:r>
          </w:p>
        </w:tc>
        <w:tc>
          <w:tcPr>
            <w:tcW w:w="1734"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266" w:type="dxa"/>
            <w:vMerge w:val="continue"/>
            <w:vAlign w:val="center"/>
          </w:tcPr>
          <w:p>
            <w:pPr>
              <w:adjustRightInd w:val="0"/>
              <w:snapToGrid w:val="0"/>
              <w:jc w:val="center"/>
              <w:rPr>
                <w:rFonts w:hint="eastAsia" w:ascii="宋体" w:hAnsi="宋体" w:cs="宋体"/>
                <w:szCs w:val="21"/>
              </w:rPr>
            </w:pPr>
          </w:p>
        </w:tc>
        <w:tc>
          <w:tcPr>
            <w:tcW w:w="1559"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rFonts w:hint="eastAsia"/>
                <w:szCs w:val="21"/>
              </w:rPr>
              <w:t>一般固体废物</w:t>
            </w:r>
          </w:p>
        </w:tc>
        <w:tc>
          <w:tcPr>
            <w:tcW w:w="2823" w:type="dxa"/>
            <w:vAlign w:val="center"/>
          </w:tcPr>
          <w:p>
            <w:pPr>
              <w:adjustRightInd w:val="0"/>
              <w:snapToGrid w:val="0"/>
              <w:jc w:val="center"/>
              <w:rPr>
                <w:szCs w:val="21"/>
              </w:rPr>
            </w:pPr>
            <w:r>
              <w:t>外委单位处置或利用</w:t>
            </w:r>
            <w:r>
              <w:rPr>
                <w:rFonts w:hint="eastAsia"/>
              </w:rPr>
              <w:t>，一般固体废物暂存间1间，</w:t>
            </w:r>
            <w:r>
              <w:rPr>
                <w:rFonts w:hint="eastAsia"/>
                <w:szCs w:val="21"/>
              </w:rPr>
              <w:t>面积20m</w:t>
            </w:r>
            <w:r>
              <w:rPr>
                <w:rFonts w:hint="eastAsia"/>
                <w:szCs w:val="21"/>
                <w:vertAlign w:val="superscript"/>
              </w:rPr>
              <w:t>2</w:t>
            </w:r>
            <w:r>
              <w:rPr>
                <w:rFonts w:hint="eastAsia"/>
                <w:szCs w:val="21"/>
              </w:rPr>
              <w:t>，位于加药间内，水处理厂污泥脱水处理后污泥间暂存</w:t>
            </w:r>
          </w:p>
        </w:tc>
        <w:tc>
          <w:tcPr>
            <w:tcW w:w="1734"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266" w:type="dxa"/>
            <w:vMerge w:val="continue"/>
            <w:vAlign w:val="center"/>
          </w:tcPr>
          <w:p>
            <w:pPr>
              <w:adjustRightInd w:val="0"/>
              <w:snapToGrid w:val="0"/>
              <w:jc w:val="center"/>
              <w:rPr>
                <w:rFonts w:hint="eastAsia" w:ascii="宋体" w:hAnsi="宋体" w:cs="宋体"/>
                <w:szCs w:val="21"/>
              </w:rPr>
            </w:pPr>
          </w:p>
        </w:tc>
        <w:tc>
          <w:tcPr>
            <w:tcW w:w="1559" w:type="dxa"/>
            <w:vMerge w:val="continue"/>
            <w:vAlign w:val="center"/>
          </w:tcPr>
          <w:p>
            <w:pPr>
              <w:adjustRightInd w:val="0"/>
              <w:snapToGrid w:val="0"/>
              <w:jc w:val="center"/>
              <w:rPr>
                <w:szCs w:val="21"/>
              </w:rPr>
            </w:pPr>
          </w:p>
        </w:tc>
        <w:tc>
          <w:tcPr>
            <w:tcW w:w="1418" w:type="dxa"/>
            <w:vAlign w:val="center"/>
          </w:tcPr>
          <w:p>
            <w:pPr>
              <w:adjustRightInd w:val="0"/>
              <w:snapToGrid w:val="0"/>
              <w:jc w:val="center"/>
              <w:rPr>
                <w:szCs w:val="21"/>
              </w:rPr>
            </w:pPr>
            <w:r>
              <w:rPr>
                <w:rFonts w:hint="eastAsia"/>
                <w:szCs w:val="21"/>
              </w:rPr>
              <w:t>危险废物</w:t>
            </w:r>
          </w:p>
        </w:tc>
        <w:tc>
          <w:tcPr>
            <w:tcW w:w="2823" w:type="dxa"/>
            <w:vAlign w:val="center"/>
          </w:tcPr>
          <w:p>
            <w:pPr>
              <w:adjustRightInd w:val="0"/>
              <w:snapToGrid w:val="0"/>
              <w:jc w:val="center"/>
              <w:rPr>
                <w:szCs w:val="21"/>
              </w:rPr>
            </w:pPr>
            <w:r>
              <w:rPr>
                <w:rFonts w:hint="eastAsia"/>
                <w:szCs w:val="21"/>
              </w:rPr>
              <w:t>危废暂存间，防渗、分类贮存，交有危废处置资质单位转运处理。危废间1间，面积10m</w:t>
            </w:r>
            <w:r>
              <w:rPr>
                <w:rFonts w:hint="eastAsia"/>
                <w:szCs w:val="21"/>
                <w:vertAlign w:val="superscript"/>
              </w:rPr>
              <w:t>2</w:t>
            </w:r>
            <w:r>
              <w:rPr>
                <w:rFonts w:hint="eastAsia"/>
                <w:szCs w:val="21"/>
              </w:rPr>
              <w:t>，位于加药间内。</w:t>
            </w:r>
          </w:p>
        </w:tc>
        <w:tc>
          <w:tcPr>
            <w:tcW w:w="1734" w:type="dxa"/>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1266" w:type="dxa"/>
            <w:vAlign w:val="center"/>
          </w:tcPr>
          <w:p>
            <w:pPr>
              <w:adjustRightInd w:val="0"/>
              <w:snapToGrid w:val="0"/>
              <w:jc w:val="center"/>
              <w:rPr>
                <w:rFonts w:hint="eastAsia" w:ascii="宋体" w:hAnsi="宋体" w:cs="宋体"/>
                <w:szCs w:val="21"/>
              </w:rPr>
            </w:pPr>
            <w:r>
              <w:rPr>
                <w:rFonts w:hint="eastAsia" w:ascii="宋体" w:hAnsi="宋体" w:cs="宋体"/>
                <w:szCs w:val="21"/>
              </w:rPr>
              <w:t>土壤及地下水污染防治措施</w:t>
            </w:r>
          </w:p>
        </w:tc>
        <w:tc>
          <w:tcPr>
            <w:tcW w:w="7534" w:type="dxa"/>
            <w:gridSpan w:val="4"/>
            <w:vAlign w:val="center"/>
          </w:tcPr>
          <w:p>
            <w:pPr>
              <w:adjustRightInd w:val="0"/>
              <w:snapToGrid w:val="0"/>
              <w:jc w:val="center"/>
              <w:rPr>
                <w:rFonts w:hint="eastAsia" w:ascii="宋体" w:hAnsi="宋体" w:cs="宋体"/>
                <w:szCs w:val="21"/>
              </w:rPr>
            </w:pPr>
            <w:r>
              <w:t>重点污染防治区、一般污染防治区和非污染防治区</w:t>
            </w:r>
            <w:r>
              <w:rPr>
                <w:rFonts w:hint="eastAsia"/>
              </w:rPr>
              <w:t>按要求进行防渗，设地下水环境影响跟踪监测井1</w:t>
            </w:r>
            <w:r>
              <w:t>个，1#监测井位于厂区外北侧（下游）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66" w:hRule="atLeast"/>
          <w:jc w:val="center"/>
        </w:trPr>
        <w:tc>
          <w:tcPr>
            <w:tcW w:w="1266" w:type="dxa"/>
            <w:vAlign w:val="center"/>
          </w:tcPr>
          <w:p>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7534" w:type="dxa"/>
            <w:gridSpan w:val="4"/>
            <w:vAlign w:val="center"/>
          </w:tcPr>
          <w:p>
            <w:pPr>
              <w:adjustRightInd w:val="0"/>
              <w:snapToGrid w:val="0"/>
              <w:jc w:val="center"/>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266" w:type="dxa"/>
            <w:vAlign w:val="center"/>
          </w:tcPr>
          <w:p>
            <w:pPr>
              <w:adjustRightInd w:val="0"/>
              <w:snapToGrid w:val="0"/>
              <w:jc w:val="center"/>
              <w:rPr>
                <w:rFonts w:hint="eastAsia" w:ascii="宋体" w:hAnsi="宋体" w:cs="宋体"/>
                <w:spacing w:val="-8"/>
                <w:szCs w:val="21"/>
              </w:rPr>
            </w:pPr>
            <w:r>
              <w:rPr>
                <w:rFonts w:hint="eastAsia" w:ascii="宋体" w:hAnsi="宋体" w:cs="宋体"/>
                <w:spacing w:val="-8"/>
                <w:szCs w:val="21"/>
              </w:rPr>
              <w:t>环境风险</w:t>
            </w:r>
          </w:p>
          <w:p>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7534" w:type="dxa"/>
            <w:gridSpan w:val="4"/>
            <w:vAlign w:val="center"/>
          </w:tcPr>
          <w:p>
            <w:pPr>
              <w:pStyle w:val="88"/>
              <w:jc w:val="left"/>
            </w:pPr>
            <w:r>
              <w:rPr>
                <w:rFonts w:hint="eastAsia"/>
              </w:rPr>
              <w:t>（1</w:t>
            </w:r>
            <w:r>
              <w:t>）项目供电采用单电源+备用电源供电，工作电源与备用电源满足全厂100%负荷供电，项目水处理构筑物采用多套并联运行；</w:t>
            </w:r>
          </w:p>
          <w:p>
            <w:pPr>
              <w:pStyle w:val="88"/>
              <w:jc w:val="left"/>
            </w:pPr>
            <w:r>
              <w:rPr>
                <w:rFonts w:hint="eastAsia"/>
              </w:rPr>
              <w:t>（2</w:t>
            </w:r>
            <w:r>
              <w:t>）建设事故池1座，容积3000m</w:t>
            </w:r>
            <w:r>
              <w:rPr>
                <w:vertAlign w:val="superscript"/>
              </w:rPr>
              <w:t>3</w:t>
            </w:r>
            <w:r>
              <w:t>，建设1套Feton应急污水处理设施；</w:t>
            </w:r>
            <w:r>
              <w:rPr>
                <w:rFonts w:hint="eastAsia"/>
              </w:rPr>
              <w:t>设置进出水水质在线自动监测装置，及时监控水质。</w:t>
            </w:r>
            <w:r>
              <w:t>设置雨污切换阀，当发生事故或火灾等时，将事故废水、消防废水、初期雨水导入事故水池暂存，当污水处理厂恢复正常运行后导入污水处理厂设施处理达标排放</w:t>
            </w:r>
            <w:r>
              <w:rPr>
                <w:rFonts w:hint="eastAsia"/>
              </w:rPr>
              <w:t>。</w:t>
            </w:r>
          </w:p>
          <w:p>
            <w:pPr>
              <w:pStyle w:val="88"/>
              <w:jc w:val="left"/>
            </w:pPr>
            <w:r>
              <w:rPr>
                <w:rFonts w:hint="eastAsia"/>
              </w:rPr>
              <w:t>（3）</w:t>
            </w:r>
            <w:r>
              <w:t>储药及加药间地面硬化，并进行防腐、防渗处理，设置明显的安全标志，并符合 GB 2894《安全标志及其使用导则》规定</w:t>
            </w:r>
            <w:r>
              <w:rPr>
                <w:rFonts w:hint="eastAsia"/>
              </w:rPr>
              <w:t>，</w:t>
            </w:r>
            <w:r>
              <w:t>双氧水、硫酸、氢氧化钠设置在室内，防止日光照射，分开贮存，双氧水、硫酸储罐内贮存，储罐材质采用塑料并设置围堰，围堰容积不小于贮存储罐容积，化学品输送管道应明管铺设，管道接头和管材应满足防腐要求，仪表、电气设施、照明灯具等均采用防爆型。设备、管道、阀门根据相关规划要求做防雷接地、防静电措施设备采用防爆设备。</w:t>
            </w:r>
          </w:p>
          <w:p>
            <w:pPr>
              <w:pStyle w:val="88"/>
              <w:jc w:val="left"/>
            </w:pPr>
            <w:r>
              <w:t>（</w:t>
            </w:r>
            <w:r>
              <w:rPr>
                <w:rFonts w:hint="eastAsia"/>
              </w:rPr>
              <w:t>4</w:t>
            </w:r>
            <w:r>
              <w:t>）脱水间</w:t>
            </w:r>
            <w:r>
              <w:rPr>
                <w:rFonts w:hint="eastAsia"/>
              </w:rPr>
              <w:t>地面硬化并作防腐、防渗处理，</w:t>
            </w:r>
            <w:r>
              <w:t>污泥脱水过程产生的废水专用管道泵入项目污水处理厂系统处理达标后排放。</w:t>
            </w:r>
          </w:p>
          <w:p>
            <w:pPr>
              <w:adjustRightInd w:val="0"/>
              <w:snapToGrid w:val="0"/>
              <w:rPr>
                <w:rFonts w:hint="eastAsia" w:ascii="宋体" w:hAnsi="宋体" w:cs="宋体"/>
                <w:szCs w:val="21"/>
              </w:rPr>
            </w:pPr>
            <w:r>
              <w:t>（</w:t>
            </w:r>
            <w:r>
              <w:rPr>
                <w:rFonts w:hint="eastAsia"/>
              </w:rPr>
              <w:t>5</w:t>
            </w:r>
            <w:r>
              <w:t>）</w:t>
            </w:r>
            <w:r>
              <w:rPr>
                <w:rFonts w:hint="eastAsia"/>
              </w:rPr>
              <w:t>各类设备选用安全可靠设备，设备和管道应经过防腐处理。泵、流量计、照明灯和各种管路，应防火、防爆。根据应急预案要求配置应急物资并定期演练。制定风险事故防范措施和事故应急预案，当发生风险事故时立即启动事故应急预案，确保事故不扩大，减少对周边环境造成危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266" w:type="dxa"/>
            <w:vAlign w:val="center"/>
          </w:tcPr>
          <w:p>
            <w:pPr>
              <w:adjustRightInd w:val="0"/>
              <w:snapToGrid w:val="0"/>
              <w:jc w:val="center"/>
              <w:rPr>
                <w:rFonts w:hint="eastAsia" w:ascii="宋体" w:hAnsi="宋体" w:cs="宋体"/>
                <w:spacing w:val="-8"/>
                <w:szCs w:val="21"/>
              </w:rPr>
            </w:pPr>
            <w:r>
              <w:rPr>
                <w:rFonts w:hint="eastAsia" w:ascii="宋体" w:hAnsi="宋体" w:cs="宋体"/>
                <w:spacing w:val="-8"/>
                <w:szCs w:val="21"/>
              </w:rPr>
              <w:t>其他环境</w:t>
            </w:r>
          </w:p>
          <w:p>
            <w:pPr>
              <w:adjustRightInd w:val="0"/>
              <w:snapToGrid w:val="0"/>
              <w:jc w:val="center"/>
              <w:rPr>
                <w:rFonts w:hint="eastAsia" w:ascii="宋体" w:hAnsi="宋体" w:cs="宋体"/>
                <w:spacing w:val="-8"/>
                <w:szCs w:val="21"/>
              </w:rPr>
            </w:pPr>
            <w:r>
              <w:rPr>
                <w:rFonts w:hint="eastAsia" w:ascii="宋体" w:hAnsi="宋体" w:cs="宋体"/>
                <w:spacing w:val="-8"/>
                <w:szCs w:val="21"/>
              </w:rPr>
              <w:t>管理要求</w:t>
            </w:r>
          </w:p>
        </w:tc>
        <w:tc>
          <w:tcPr>
            <w:tcW w:w="7534" w:type="dxa"/>
            <w:gridSpan w:val="4"/>
            <w:vAlign w:val="center"/>
          </w:tcPr>
          <w:p>
            <w:pPr>
              <w:adjustRightInd w:val="0"/>
              <w:snapToGrid w:val="0"/>
              <w:jc w:val="center"/>
              <w:rPr>
                <w:rFonts w:hint="eastAsia" w:ascii="宋体" w:hAnsi="宋体" w:cs="宋体"/>
                <w:szCs w:val="21"/>
              </w:rPr>
            </w:pPr>
            <w:r>
              <w:rPr>
                <w:rFonts w:hint="eastAsia" w:ascii="宋体" w:hAnsi="宋体" w:cs="宋体"/>
                <w:szCs w:val="21"/>
              </w:rPr>
              <w:t>环保手续、档案齐全，环境管理制度建立。</w:t>
            </w:r>
          </w:p>
        </w:tc>
      </w:tr>
    </w:tbl>
    <w:p>
      <w:pPr>
        <w:pStyle w:val="2"/>
        <w:rPr>
          <w:snapToGrid w:val="0"/>
        </w:rPr>
      </w:pPr>
      <w:r>
        <w:rPr>
          <w:rFonts w:hint="eastAsia"/>
          <w:snapToGrid w:val="0"/>
        </w:rPr>
        <w:t>结论</w:t>
      </w:r>
    </w:p>
    <w:tbl>
      <w:tblPr>
        <w:tblStyle w:val="38"/>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pStyle w:val="5"/>
              <w:ind w:firstLine="480"/>
            </w:pPr>
            <w:r>
              <w:rPr>
                <w:rFonts w:hint="eastAsia"/>
              </w:rPr>
              <w:t>高铁生态城新兴产业集聚区污水处理厂项目为市政基础设施建设项目，符合国家产业政策，选址符合规划要求。项目采用的工艺具先进性和成熟性，符合清洁生产要求，选址地周围无明显环境制约因素，采取环评提出的环保措施可实现“三废”和噪声达标排放，对各环境要素的影响小，不会改变区域的环境功能。项目建设可将削减区域水污染物排放，有利于朱衣河环境保护，协调区域经济发展和生态保护关系。项目在施工期会对局部环境产生一定影响，采取污染防治措施后不会对环境产生明显影响，营运期拟采用的二次污染防治措施技术经济可行，环境风险在可接受水平内，社会效益、经济效益显著。</w:t>
            </w:r>
            <w:r>
              <w:t xml:space="preserve"> 在全面落实环评提出的各项环保措施前提下，则本项目在规划建设用地范围内建设从环保角度可行。</w:t>
            </w:r>
          </w:p>
          <w:p>
            <w:pPr>
              <w:pStyle w:val="5"/>
              <w:ind w:firstLine="480"/>
            </w:pPr>
          </w:p>
        </w:tc>
      </w:tr>
    </w:tbl>
    <w:p>
      <w:pPr>
        <w:rPr>
          <w:rFonts w:ascii="宋体"/>
        </w:rPr>
        <w:sectPr>
          <w:pgSz w:w="11906" w:h="16838"/>
          <w:pgMar w:top="1701" w:right="1531" w:bottom="1701" w:left="1531" w:header="851" w:footer="851" w:gutter="0"/>
          <w:cols w:space="720" w:num="1"/>
          <w:docGrid w:linePitch="312" w:charSpace="0"/>
        </w:sectPr>
      </w:pPr>
    </w:p>
    <w:p>
      <w:pPr>
        <w:pStyle w:val="5"/>
        <w:ind w:firstLine="0" w:firstLineChars="0"/>
        <w:rPr>
          <w:rFonts w:cs="Times New Roman"/>
          <w:b/>
          <w:szCs w:val="32"/>
        </w:rPr>
      </w:pPr>
      <w:r>
        <w:tab/>
      </w:r>
      <w:r>
        <w:rPr>
          <w:rFonts w:cs="Times New Roman"/>
          <w:b/>
          <w:szCs w:val="32"/>
        </w:rPr>
        <w:t>附图：</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2994"/>
        <w:gridCol w:w="1163"/>
        <w:gridCol w:w="3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tcPr>
          <w:p>
            <w:pPr>
              <w:pStyle w:val="63"/>
            </w:pPr>
            <w:r>
              <w:rPr>
                <w:rFonts w:hint="eastAsia"/>
              </w:rPr>
              <w:t>附图1</w:t>
            </w:r>
          </w:p>
        </w:tc>
        <w:tc>
          <w:tcPr>
            <w:tcW w:w="2994" w:type="dxa"/>
          </w:tcPr>
          <w:p>
            <w:pPr>
              <w:pStyle w:val="63"/>
            </w:pPr>
            <w:r>
              <w:rPr>
                <w:rFonts w:hint="eastAsia"/>
              </w:rPr>
              <w:t>项目地理位置图</w:t>
            </w:r>
          </w:p>
        </w:tc>
        <w:tc>
          <w:tcPr>
            <w:tcW w:w="1163" w:type="dxa"/>
          </w:tcPr>
          <w:p>
            <w:pPr>
              <w:pStyle w:val="63"/>
            </w:pPr>
            <w:r>
              <w:rPr>
                <w:rFonts w:hint="eastAsia"/>
              </w:rPr>
              <w:t>附图4</w:t>
            </w:r>
            <w:r>
              <w:t xml:space="preserve">  </w:t>
            </w:r>
          </w:p>
        </w:tc>
        <w:tc>
          <w:tcPr>
            <w:tcW w:w="3538" w:type="dxa"/>
          </w:tcPr>
          <w:p>
            <w:pPr>
              <w:pStyle w:val="63"/>
            </w:pPr>
            <w:r>
              <w:t>土地利用现状图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tcPr>
          <w:p>
            <w:pPr>
              <w:pStyle w:val="63"/>
            </w:pPr>
            <w:r>
              <w:rPr>
                <w:rFonts w:hint="eastAsia"/>
              </w:rPr>
              <w:t>附图2-1</w:t>
            </w:r>
          </w:p>
        </w:tc>
        <w:tc>
          <w:tcPr>
            <w:tcW w:w="2994" w:type="dxa"/>
          </w:tcPr>
          <w:p>
            <w:pPr>
              <w:pStyle w:val="63"/>
            </w:pPr>
            <w:r>
              <w:t>大气环境保护目标图</w:t>
            </w:r>
          </w:p>
        </w:tc>
        <w:tc>
          <w:tcPr>
            <w:tcW w:w="1163" w:type="dxa"/>
          </w:tcPr>
          <w:p>
            <w:pPr>
              <w:pStyle w:val="63"/>
            </w:pPr>
            <w:r>
              <w:rPr>
                <w:rFonts w:hint="eastAsia"/>
              </w:rPr>
              <w:t>附图5</w:t>
            </w:r>
            <w:r>
              <w:t xml:space="preserve"> </w:t>
            </w:r>
          </w:p>
        </w:tc>
        <w:tc>
          <w:tcPr>
            <w:tcW w:w="3538" w:type="dxa"/>
          </w:tcPr>
          <w:p>
            <w:pPr>
              <w:pStyle w:val="63"/>
            </w:pPr>
            <w:r>
              <w:t>土地利用规划图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tcPr>
          <w:p>
            <w:pPr>
              <w:pStyle w:val="63"/>
            </w:pPr>
            <w:r>
              <w:rPr>
                <w:rFonts w:hint="eastAsia"/>
              </w:rPr>
              <w:t>附图</w:t>
            </w:r>
            <w:r>
              <w:t>2-</w:t>
            </w:r>
            <w:r>
              <w:rPr>
                <w:rFonts w:hint="eastAsia"/>
              </w:rPr>
              <w:t>2</w:t>
            </w:r>
            <w:r>
              <w:t xml:space="preserve">  </w:t>
            </w:r>
          </w:p>
        </w:tc>
        <w:tc>
          <w:tcPr>
            <w:tcW w:w="2994" w:type="dxa"/>
          </w:tcPr>
          <w:p>
            <w:pPr>
              <w:pStyle w:val="63"/>
            </w:pPr>
            <w:r>
              <w:t>生态环境保护目标图</w:t>
            </w:r>
          </w:p>
        </w:tc>
        <w:tc>
          <w:tcPr>
            <w:tcW w:w="1163" w:type="dxa"/>
          </w:tcPr>
          <w:p>
            <w:pPr>
              <w:pStyle w:val="63"/>
            </w:pPr>
            <w:r>
              <w:rPr>
                <w:rFonts w:hint="eastAsia"/>
              </w:rPr>
              <w:t>附图6</w:t>
            </w:r>
            <w:r>
              <w:t xml:space="preserve">  </w:t>
            </w:r>
          </w:p>
        </w:tc>
        <w:tc>
          <w:tcPr>
            <w:tcW w:w="3538" w:type="dxa"/>
          </w:tcPr>
          <w:p>
            <w:pPr>
              <w:pStyle w:val="63"/>
            </w:pPr>
            <w:r>
              <w:t>环保措施分布图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tcPr>
          <w:p>
            <w:pPr>
              <w:pStyle w:val="63"/>
            </w:pPr>
            <w:r>
              <w:rPr>
                <w:rFonts w:hint="eastAsia"/>
              </w:rPr>
              <w:t>附图2-3</w:t>
            </w:r>
          </w:p>
        </w:tc>
        <w:tc>
          <w:tcPr>
            <w:tcW w:w="2994" w:type="dxa"/>
          </w:tcPr>
          <w:p>
            <w:pPr>
              <w:pStyle w:val="63"/>
            </w:pPr>
            <w:r>
              <w:rPr>
                <w:rFonts w:hint="eastAsia"/>
              </w:rPr>
              <w:t>区域声功能区划图</w:t>
            </w:r>
          </w:p>
        </w:tc>
        <w:tc>
          <w:tcPr>
            <w:tcW w:w="1163" w:type="dxa"/>
          </w:tcPr>
          <w:p>
            <w:pPr>
              <w:pStyle w:val="63"/>
            </w:pPr>
            <w:r>
              <w:rPr>
                <w:rFonts w:hint="eastAsia"/>
              </w:rPr>
              <w:t>附图7</w:t>
            </w:r>
          </w:p>
        </w:tc>
        <w:tc>
          <w:tcPr>
            <w:tcW w:w="3538" w:type="dxa"/>
          </w:tcPr>
          <w:p>
            <w:pPr>
              <w:pStyle w:val="63"/>
            </w:pPr>
            <w:r>
              <w:t>地下水分区防渗图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tcPr>
          <w:p>
            <w:pPr>
              <w:pStyle w:val="63"/>
            </w:pPr>
            <w:r>
              <w:rPr>
                <w:rFonts w:hint="eastAsia"/>
              </w:rPr>
              <w:t>附图</w:t>
            </w:r>
            <w:r>
              <w:t xml:space="preserve">3-1  </w:t>
            </w:r>
          </w:p>
        </w:tc>
        <w:tc>
          <w:tcPr>
            <w:tcW w:w="2994" w:type="dxa"/>
          </w:tcPr>
          <w:p>
            <w:pPr>
              <w:pStyle w:val="63"/>
            </w:pPr>
            <w:r>
              <w:t>项目总平面布局图</w:t>
            </w:r>
          </w:p>
        </w:tc>
        <w:tc>
          <w:tcPr>
            <w:tcW w:w="1163" w:type="dxa"/>
          </w:tcPr>
          <w:p>
            <w:pPr>
              <w:pStyle w:val="63"/>
            </w:pPr>
            <w:r>
              <w:rPr>
                <w:rFonts w:hint="eastAsia"/>
              </w:rPr>
              <w:t>附图8</w:t>
            </w:r>
          </w:p>
        </w:tc>
        <w:tc>
          <w:tcPr>
            <w:tcW w:w="3538" w:type="dxa"/>
          </w:tcPr>
          <w:p>
            <w:pPr>
              <w:pStyle w:val="63"/>
            </w:pPr>
            <w:r>
              <w:t>监测布点图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tcPr>
          <w:p>
            <w:pPr>
              <w:pStyle w:val="63"/>
            </w:pPr>
            <w:r>
              <w:rPr>
                <w:rFonts w:hint="eastAsia"/>
              </w:rPr>
              <w:t>附图</w:t>
            </w:r>
            <w:r>
              <w:t>3-2</w:t>
            </w:r>
          </w:p>
        </w:tc>
        <w:tc>
          <w:tcPr>
            <w:tcW w:w="2994" w:type="dxa"/>
          </w:tcPr>
          <w:p>
            <w:pPr>
              <w:pStyle w:val="63"/>
            </w:pPr>
            <w:r>
              <w:t>工艺流程图</w:t>
            </w:r>
          </w:p>
        </w:tc>
        <w:tc>
          <w:tcPr>
            <w:tcW w:w="1163" w:type="dxa"/>
          </w:tcPr>
          <w:p>
            <w:pPr>
              <w:pStyle w:val="63"/>
            </w:pPr>
            <w:r>
              <w:rPr>
                <w:rFonts w:hint="eastAsia"/>
              </w:rPr>
              <w:t>附图9</w:t>
            </w:r>
          </w:p>
        </w:tc>
        <w:tc>
          <w:tcPr>
            <w:tcW w:w="3538" w:type="dxa"/>
          </w:tcPr>
          <w:p>
            <w:pPr>
              <w:pStyle w:val="63"/>
            </w:pPr>
            <w:r>
              <w:t>项目与三区三线位置关系图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tcPr>
          <w:p>
            <w:pPr>
              <w:pStyle w:val="63"/>
            </w:pPr>
            <w:r>
              <w:rPr>
                <w:rFonts w:hint="eastAsia"/>
              </w:rPr>
              <w:t>附图3-3</w:t>
            </w:r>
          </w:p>
        </w:tc>
        <w:tc>
          <w:tcPr>
            <w:tcW w:w="2994" w:type="dxa"/>
          </w:tcPr>
          <w:p>
            <w:pPr>
              <w:pStyle w:val="63"/>
            </w:pPr>
            <w:r>
              <w:rPr>
                <w:rFonts w:hint="eastAsia"/>
              </w:rPr>
              <w:t>管网布置图</w:t>
            </w:r>
          </w:p>
        </w:tc>
        <w:tc>
          <w:tcPr>
            <w:tcW w:w="1163" w:type="dxa"/>
          </w:tcPr>
          <w:p>
            <w:pPr>
              <w:pStyle w:val="63"/>
            </w:pPr>
            <w:r>
              <w:rPr>
                <w:rFonts w:hint="eastAsia"/>
              </w:rPr>
              <w:t>附图10</w:t>
            </w:r>
          </w:p>
        </w:tc>
        <w:tc>
          <w:tcPr>
            <w:tcW w:w="3538" w:type="dxa"/>
          </w:tcPr>
          <w:p>
            <w:pPr>
              <w:pStyle w:val="63"/>
            </w:pPr>
            <w:r>
              <w:rPr>
                <w:rFonts w:hint="eastAsia"/>
              </w:rPr>
              <w:t>项目防护距离示意图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tcPr>
          <w:p>
            <w:pPr>
              <w:pStyle w:val="63"/>
            </w:pPr>
            <w:r>
              <w:rPr>
                <w:rFonts w:hint="eastAsia"/>
              </w:rPr>
              <w:t>附图3-4</w:t>
            </w:r>
          </w:p>
        </w:tc>
        <w:tc>
          <w:tcPr>
            <w:tcW w:w="2994" w:type="dxa"/>
          </w:tcPr>
          <w:p>
            <w:pPr>
              <w:pStyle w:val="63"/>
            </w:pPr>
            <w:r>
              <w:rPr>
                <w:rFonts w:hint="eastAsia"/>
              </w:rPr>
              <w:t>项目收水范围示意图</w:t>
            </w:r>
          </w:p>
        </w:tc>
        <w:tc>
          <w:tcPr>
            <w:tcW w:w="1163" w:type="dxa"/>
          </w:tcPr>
          <w:p>
            <w:pPr>
              <w:pStyle w:val="63"/>
            </w:pPr>
          </w:p>
        </w:tc>
        <w:tc>
          <w:tcPr>
            <w:tcW w:w="3538" w:type="dxa"/>
          </w:tcPr>
          <w:p>
            <w:pPr>
              <w:pStyle w:val="63"/>
            </w:pPr>
          </w:p>
        </w:tc>
      </w:tr>
    </w:tbl>
    <w:p>
      <w:pPr>
        <w:pStyle w:val="5"/>
        <w:ind w:firstLine="0" w:firstLineChars="0"/>
        <w:rPr>
          <w:rFonts w:cs="Times New Roman"/>
          <w:szCs w:val="32"/>
        </w:rPr>
      </w:pPr>
    </w:p>
    <w:p>
      <w:pPr>
        <w:pStyle w:val="5"/>
        <w:ind w:firstLine="0" w:firstLineChars="0"/>
        <w:rPr>
          <w:rFonts w:cs="Times New Roman"/>
          <w:b/>
          <w:szCs w:val="32"/>
        </w:rPr>
      </w:pPr>
      <w:r>
        <w:rPr>
          <w:rFonts w:cs="Times New Roman"/>
          <w:b/>
          <w:szCs w:val="32"/>
        </w:rPr>
        <w:t>附件：</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119"/>
        <w:gridCol w:w="1134"/>
        <w:gridCol w:w="3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pStyle w:val="63"/>
            </w:pPr>
            <w:r>
              <w:rPr>
                <w:rFonts w:hint="eastAsia"/>
              </w:rPr>
              <w:t>附件1</w:t>
            </w:r>
          </w:p>
        </w:tc>
        <w:tc>
          <w:tcPr>
            <w:tcW w:w="3119" w:type="dxa"/>
            <w:vAlign w:val="center"/>
          </w:tcPr>
          <w:p>
            <w:pPr>
              <w:pStyle w:val="63"/>
            </w:pPr>
            <w:r>
              <w:rPr>
                <w:rFonts w:hint="eastAsia"/>
              </w:rPr>
              <w:t>项目备案证</w:t>
            </w:r>
          </w:p>
        </w:tc>
        <w:tc>
          <w:tcPr>
            <w:tcW w:w="1134" w:type="dxa"/>
            <w:vAlign w:val="center"/>
          </w:tcPr>
          <w:p>
            <w:pPr>
              <w:pStyle w:val="63"/>
            </w:pPr>
            <w:r>
              <w:rPr>
                <w:rFonts w:hint="eastAsia"/>
              </w:rPr>
              <w:t>附件5</w:t>
            </w:r>
          </w:p>
        </w:tc>
        <w:tc>
          <w:tcPr>
            <w:tcW w:w="3566" w:type="dxa"/>
            <w:vAlign w:val="center"/>
          </w:tcPr>
          <w:p>
            <w:pPr>
              <w:pStyle w:val="63"/>
            </w:pPr>
            <w:r>
              <w:rPr>
                <w:rFonts w:hint="eastAsia"/>
              </w:rPr>
              <w:t>补充监测报告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pStyle w:val="63"/>
            </w:pPr>
            <w:r>
              <w:rPr>
                <w:rFonts w:hint="eastAsia"/>
              </w:rPr>
              <w:t>附件2</w:t>
            </w:r>
          </w:p>
        </w:tc>
        <w:tc>
          <w:tcPr>
            <w:tcW w:w="3119" w:type="dxa"/>
            <w:vAlign w:val="center"/>
          </w:tcPr>
          <w:p>
            <w:pPr>
              <w:pStyle w:val="63"/>
            </w:pPr>
            <w:r>
              <w:rPr>
                <w:rFonts w:hint="eastAsia"/>
              </w:rPr>
              <w:t>选址意见书</w:t>
            </w:r>
          </w:p>
        </w:tc>
        <w:tc>
          <w:tcPr>
            <w:tcW w:w="1134" w:type="dxa"/>
            <w:vMerge w:val="restart"/>
            <w:vAlign w:val="center"/>
          </w:tcPr>
          <w:p>
            <w:pPr>
              <w:pStyle w:val="63"/>
            </w:pPr>
            <w:r>
              <w:rPr>
                <w:rFonts w:hint="eastAsia"/>
              </w:rPr>
              <w:t>附件6</w:t>
            </w:r>
          </w:p>
        </w:tc>
        <w:tc>
          <w:tcPr>
            <w:tcW w:w="3566" w:type="dxa"/>
            <w:vMerge w:val="restart"/>
            <w:vAlign w:val="center"/>
          </w:tcPr>
          <w:p>
            <w:pPr>
              <w:pStyle w:val="63"/>
            </w:pPr>
            <w:r>
              <w:rPr>
                <w:rFonts w:hint="eastAsia"/>
              </w:rPr>
              <w:t>重庆市奉节县高铁生态城新兴产业集聚区控制性详细规划环境影响报告书审查意见的函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pStyle w:val="63"/>
            </w:pPr>
            <w:r>
              <w:rPr>
                <w:rFonts w:hint="eastAsia"/>
              </w:rPr>
              <w:t>附件3</w:t>
            </w:r>
          </w:p>
        </w:tc>
        <w:tc>
          <w:tcPr>
            <w:tcW w:w="3119" w:type="dxa"/>
            <w:vAlign w:val="center"/>
          </w:tcPr>
          <w:p>
            <w:pPr>
              <w:pStyle w:val="63"/>
            </w:pPr>
            <w:r>
              <w:rPr>
                <w:rFonts w:hint="eastAsia"/>
              </w:rPr>
              <w:t>三线一单检测报告</w:t>
            </w:r>
          </w:p>
        </w:tc>
        <w:tc>
          <w:tcPr>
            <w:tcW w:w="1134" w:type="dxa"/>
            <w:vMerge w:val="continue"/>
            <w:vAlign w:val="center"/>
          </w:tcPr>
          <w:p>
            <w:pPr>
              <w:pStyle w:val="63"/>
            </w:pPr>
          </w:p>
        </w:tc>
        <w:tc>
          <w:tcPr>
            <w:tcW w:w="3566"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pStyle w:val="63"/>
            </w:pPr>
            <w:r>
              <w:rPr>
                <w:rFonts w:hint="eastAsia"/>
              </w:rPr>
              <w:t>附件4</w:t>
            </w:r>
          </w:p>
        </w:tc>
        <w:tc>
          <w:tcPr>
            <w:tcW w:w="3119" w:type="dxa"/>
            <w:vAlign w:val="center"/>
          </w:tcPr>
          <w:p>
            <w:pPr>
              <w:pStyle w:val="63"/>
            </w:pPr>
            <w:r>
              <w:rPr>
                <w:rFonts w:hint="eastAsia"/>
              </w:rPr>
              <w:t>引用监测报告</w:t>
            </w:r>
          </w:p>
        </w:tc>
        <w:tc>
          <w:tcPr>
            <w:tcW w:w="1134" w:type="dxa"/>
            <w:vMerge w:val="continue"/>
            <w:vAlign w:val="center"/>
          </w:tcPr>
          <w:p>
            <w:pPr>
              <w:pStyle w:val="63"/>
            </w:pPr>
          </w:p>
        </w:tc>
        <w:tc>
          <w:tcPr>
            <w:tcW w:w="3566" w:type="dxa"/>
            <w:vMerge w:val="continue"/>
            <w:vAlign w:val="center"/>
          </w:tcPr>
          <w:p>
            <w:pPr>
              <w:pStyle w:val="63"/>
            </w:pPr>
          </w:p>
        </w:tc>
      </w:tr>
    </w:tbl>
    <w:p>
      <w:pPr>
        <w:tabs>
          <w:tab w:val="left" w:pos="829"/>
        </w:tabs>
      </w:pPr>
    </w:p>
    <w:p>
      <w:pPr>
        <w:tabs>
          <w:tab w:val="left" w:pos="829"/>
        </w:tabs>
        <w:sectPr>
          <w:footerReference r:id="rId7" w:type="first"/>
          <w:footerReference r:id="rId6" w:type="default"/>
          <w:pgSz w:w="11906" w:h="16838"/>
          <w:pgMar w:top="1701" w:right="1474" w:bottom="1418" w:left="1474" w:header="851" w:footer="992" w:gutter="0"/>
          <w:cols w:space="425" w:num="1"/>
          <w:titlePg/>
          <w:docGrid w:type="lines" w:linePitch="312" w:charSpace="0"/>
        </w:sectPr>
      </w:pPr>
      <w:r>
        <w:tab/>
      </w:r>
    </w:p>
    <w:p/>
    <w:p>
      <w:pPr>
        <w:pStyle w:val="33"/>
        <w:adjustRightInd w:val="0"/>
        <w:snapToGrid w:val="0"/>
        <w:spacing w:before="0" w:beforeAutospacing="0" w:after="0" w:afterAutospacing="0"/>
        <w:jc w:val="center"/>
        <w:outlineLvl w:val="0"/>
        <w:rPr>
          <w:rFonts w:ascii="Times New Roman" w:hAnsi="Times New Roman"/>
          <w:snapToGrid w:val="0"/>
          <w:sz w:val="38"/>
          <w:szCs w:val="38"/>
        </w:rPr>
      </w:pPr>
      <w:r>
        <w:rPr>
          <w:rFonts w:hint="eastAsia" w:ascii="Times New Roman" w:hAnsi="Times New Roman"/>
          <w:snapToGrid w:val="0"/>
          <w:sz w:val="38"/>
          <w:szCs w:val="38"/>
        </w:rPr>
        <w:t>建设项目污染物排放量汇总表</w:t>
      </w:r>
    </w:p>
    <w:tbl>
      <w:tblPr>
        <w:tblStyle w:val="38"/>
        <w:tblW w:w="13709" w:type="dxa"/>
        <w:tblInd w:w="0" w:type="dxa"/>
        <w:tblLayout w:type="fixed"/>
        <w:tblCellMar>
          <w:top w:w="0" w:type="dxa"/>
          <w:left w:w="108" w:type="dxa"/>
          <w:bottom w:w="0" w:type="dxa"/>
          <w:right w:w="108" w:type="dxa"/>
        </w:tblCellMar>
      </w:tblPr>
      <w:tblGrid>
        <w:gridCol w:w="1696"/>
        <w:gridCol w:w="1418"/>
        <w:gridCol w:w="2180"/>
        <w:gridCol w:w="973"/>
        <w:gridCol w:w="1664"/>
        <w:gridCol w:w="1667"/>
        <w:gridCol w:w="1250"/>
        <w:gridCol w:w="1757"/>
        <w:gridCol w:w="1104"/>
      </w:tblGrid>
      <w:tr>
        <w:tblPrEx>
          <w:tblLayout w:type="fixed"/>
          <w:tblCellMar>
            <w:top w:w="0" w:type="dxa"/>
            <w:left w:w="108" w:type="dxa"/>
            <w:bottom w:w="0" w:type="dxa"/>
            <w:right w:w="108" w:type="dxa"/>
          </w:tblCellMar>
        </w:tblPrEx>
        <w:tc>
          <w:tcPr>
            <w:tcW w:w="1696" w:type="dxa"/>
            <w:vMerge w:val="restart"/>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widowControl/>
              <w:jc w:val="right"/>
              <w:rPr>
                <w:kern w:val="0"/>
                <w:szCs w:val="21"/>
              </w:rPr>
            </w:pPr>
            <w:r>
              <w:rPr>
                <w:kern w:val="0"/>
                <w:szCs w:val="21"/>
              </w:rPr>
              <w:t>项目</w:t>
            </w:r>
          </w:p>
          <w:p>
            <w:pPr>
              <w:widowControl/>
              <w:rPr>
                <w:kern w:val="0"/>
                <w:szCs w:val="21"/>
              </w:rPr>
            </w:pPr>
          </w:p>
          <w:p>
            <w:pPr>
              <w:widowControl/>
              <w:rPr>
                <w:kern w:val="0"/>
                <w:szCs w:val="21"/>
              </w:rPr>
            </w:pPr>
          </w:p>
          <w:p>
            <w:pPr>
              <w:widowControl/>
              <w:rPr>
                <w:kern w:val="0"/>
                <w:szCs w:val="21"/>
              </w:rPr>
            </w:pPr>
            <w:r>
              <w:rPr>
                <w:kern w:val="0"/>
                <w:szCs w:val="21"/>
              </w:rPr>
              <w:t>分类</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污染物名称</w:t>
            </w:r>
          </w:p>
        </w:tc>
        <w:tc>
          <w:tcPr>
            <w:tcW w:w="2180"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现有工程</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现有工程</w:t>
            </w:r>
          </w:p>
        </w:tc>
        <w:tc>
          <w:tcPr>
            <w:tcW w:w="1664"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在建工程</w:t>
            </w:r>
          </w:p>
        </w:tc>
        <w:tc>
          <w:tcPr>
            <w:tcW w:w="166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本项目</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以新带老削减量</w:t>
            </w:r>
          </w:p>
        </w:tc>
        <w:tc>
          <w:tcPr>
            <w:tcW w:w="175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本项目建成后</w:t>
            </w:r>
          </w:p>
        </w:tc>
        <w:tc>
          <w:tcPr>
            <w:tcW w:w="1104"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变化量</w:t>
            </w:r>
          </w:p>
        </w:tc>
      </w:tr>
      <w:tr>
        <w:tblPrEx>
          <w:tblLayout w:type="fixed"/>
          <w:tblCellMar>
            <w:top w:w="0" w:type="dxa"/>
            <w:left w:w="108" w:type="dxa"/>
            <w:bottom w:w="0" w:type="dxa"/>
            <w:right w:w="108" w:type="dxa"/>
          </w:tblCellMar>
        </w:tblPrEx>
        <w:tc>
          <w:tcPr>
            <w:tcW w:w="1696" w:type="dxa"/>
            <w:vMerge w:val="continue"/>
            <w:tcBorders>
              <w:top w:val="single" w:color="auto" w:sz="4" w:space="0"/>
              <w:left w:val="single" w:color="auto" w:sz="4" w:space="0"/>
              <w:bottom w:val="single" w:color="auto" w:sz="4" w:space="0"/>
              <w:right w:val="single" w:color="auto" w:sz="4" w:space="0"/>
            </w:tcBorders>
            <w:vAlign w:val="center"/>
          </w:tcPr>
          <w:p>
            <w:pPr>
              <w:widowControl/>
              <w:rPr>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rPr>
                <w:kern w:val="0"/>
                <w:szCs w:val="21"/>
              </w:rPr>
            </w:pPr>
          </w:p>
        </w:tc>
        <w:tc>
          <w:tcPr>
            <w:tcW w:w="218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排放量（固体废物产生量）</w:t>
            </w:r>
            <w:r>
              <w:rPr>
                <w:rFonts w:hint="eastAsia" w:cs="宋体"/>
                <w:kern w:val="0"/>
                <w:szCs w:val="21"/>
              </w:rPr>
              <w:t>①</w:t>
            </w:r>
          </w:p>
        </w:tc>
        <w:tc>
          <w:tcPr>
            <w:tcW w:w="97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许可排放量</w:t>
            </w:r>
            <w:r>
              <w:rPr>
                <w:rFonts w:hint="eastAsia" w:cs="宋体"/>
                <w:kern w:val="0"/>
                <w:szCs w:val="21"/>
              </w:rPr>
              <w:t>②</w:t>
            </w:r>
          </w:p>
        </w:tc>
        <w:tc>
          <w:tcPr>
            <w:tcW w:w="1664"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排放量（固体废物产生量）</w:t>
            </w:r>
            <w:r>
              <w:rPr>
                <w:rFonts w:hint="eastAsia" w:cs="宋体"/>
                <w:kern w:val="0"/>
                <w:szCs w:val="21"/>
              </w:rPr>
              <w:t>③</w:t>
            </w:r>
          </w:p>
        </w:tc>
        <w:tc>
          <w:tcPr>
            <w:tcW w:w="166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排放量（固体废物产生量）</w:t>
            </w:r>
            <w:r>
              <w:rPr>
                <w:rFonts w:hint="eastAsia" w:cs="宋体"/>
                <w:kern w:val="0"/>
                <w:szCs w:val="21"/>
              </w:rPr>
              <w:t>④</w:t>
            </w:r>
          </w:p>
        </w:tc>
        <w:tc>
          <w:tcPr>
            <w:tcW w:w="125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（新建项目不填）</w:t>
            </w:r>
            <w:r>
              <w:rPr>
                <w:rFonts w:hint="eastAsia" w:cs="宋体"/>
                <w:kern w:val="0"/>
                <w:szCs w:val="21"/>
              </w:rPr>
              <w:t>⑤</w:t>
            </w:r>
          </w:p>
        </w:tc>
        <w:tc>
          <w:tcPr>
            <w:tcW w:w="175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全厂排放量（固体废物产生量）</w:t>
            </w:r>
            <w:r>
              <w:rPr>
                <w:rFonts w:hint="eastAsia" w:cs="宋体"/>
                <w:kern w:val="0"/>
                <w:szCs w:val="21"/>
              </w:rPr>
              <w:t>⑥</w:t>
            </w:r>
          </w:p>
        </w:tc>
        <w:tc>
          <w:tcPr>
            <w:tcW w:w="1104"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cs="宋体"/>
                <w:kern w:val="0"/>
                <w:szCs w:val="21"/>
              </w:rPr>
              <w:t>⑦</w:t>
            </w:r>
          </w:p>
        </w:tc>
      </w:tr>
      <w:tr>
        <w:tblPrEx>
          <w:tblLayout w:type="fixed"/>
          <w:tblCellMar>
            <w:top w:w="0" w:type="dxa"/>
            <w:left w:w="108" w:type="dxa"/>
            <w:bottom w:w="0" w:type="dxa"/>
            <w:right w:w="108" w:type="dxa"/>
          </w:tblCellMar>
        </w:tblPrEx>
        <w:tc>
          <w:tcPr>
            <w:tcW w:w="1696" w:type="dxa"/>
            <w:vMerge w:val="restart"/>
            <w:tcBorders>
              <w:top w:val="single" w:color="auto" w:sz="4" w:space="0"/>
              <w:left w:val="single" w:color="auto" w:sz="4" w:space="0"/>
              <w:right w:val="single" w:color="auto" w:sz="4" w:space="0"/>
            </w:tcBorders>
            <w:vAlign w:val="center"/>
          </w:tcPr>
          <w:p>
            <w:pPr>
              <w:widowControl/>
              <w:jc w:val="center"/>
              <w:rPr>
                <w:kern w:val="0"/>
                <w:szCs w:val="21"/>
              </w:rPr>
            </w:pPr>
            <w:r>
              <w:rPr>
                <w:rFonts w:hint="eastAsia"/>
                <w:kern w:val="0"/>
                <w:szCs w:val="21"/>
              </w:rPr>
              <w:t>废气</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氨</w:t>
            </w:r>
          </w:p>
        </w:tc>
        <w:tc>
          <w:tcPr>
            <w:tcW w:w="218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0.0854</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0.0854</w:t>
            </w:r>
          </w:p>
        </w:tc>
        <w:tc>
          <w:tcPr>
            <w:tcW w:w="1104"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+0.1</w:t>
            </w:r>
          </w:p>
        </w:tc>
      </w:tr>
      <w:tr>
        <w:tblPrEx>
          <w:tblLayout w:type="fixed"/>
          <w:tblCellMar>
            <w:top w:w="0" w:type="dxa"/>
            <w:left w:w="108" w:type="dxa"/>
            <w:bottom w:w="0" w:type="dxa"/>
            <w:right w:w="108" w:type="dxa"/>
          </w:tblCellMar>
        </w:tblPrEx>
        <w:tc>
          <w:tcPr>
            <w:tcW w:w="1696" w:type="dxa"/>
            <w:vMerge w:val="continue"/>
            <w:tcBorders>
              <w:left w:val="single" w:color="auto" w:sz="4" w:space="0"/>
              <w:bottom w:val="single" w:color="auto" w:sz="4" w:space="0"/>
              <w:right w:val="single" w:color="auto" w:sz="4" w:space="0"/>
            </w:tcBorders>
            <w:vAlign w:val="center"/>
          </w:tcPr>
          <w:p>
            <w:pPr>
              <w:widowControl/>
              <w:jc w:val="center"/>
              <w:rPr>
                <w:kern w:val="0"/>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Cs w:val="21"/>
              </w:rPr>
            </w:pPr>
            <w:r>
              <w:rPr>
                <w:rFonts w:hint="eastAsia"/>
                <w:kern w:val="0"/>
                <w:szCs w:val="21"/>
              </w:rPr>
              <w:t>硫化氢</w:t>
            </w:r>
          </w:p>
        </w:tc>
        <w:tc>
          <w:tcPr>
            <w:tcW w:w="218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0.00468</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0.00468</w:t>
            </w:r>
          </w:p>
        </w:tc>
        <w:tc>
          <w:tcPr>
            <w:tcW w:w="1104"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+0.0</w:t>
            </w:r>
          </w:p>
        </w:tc>
      </w:tr>
      <w:tr>
        <w:tblPrEx>
          <w:tblLayout w:type="fixed"/>
          <w:tblCellMar>
            <w:top w:w="0" w:type="dxa"/>
            <w:left w:w="108" w:type="dxa"/>
            <w:bottom w:w="0" w:type="dxa"/>
            <w:right w:w="108" w:type="dxa"/>
          </w:tblCellMar>
        </w:tblPrEx>
        <w:tc>
          <w:tcPr>
            <w:tcW w:w="1696" w:type="dxa"/>
            <w:vMerge w:val="restart"/>
            <w:tcBorders>
              <w:top w:val="nil"/>
              <w:left w:val="single" w:color="auto" w:sz="4" w:space="0"/>
              <w:right w:val="single" w:color="auto" w:sz="4" w:space="0"/>
            </w:tcBorders>
            <w:shd w:val="clear" w:color="auto" w:fill="auto"/>
            <w:vAlign w:val="center"/>
          </w:tcPr>
          <w:p>
            <w:pPr>
              <w:widowControl/>
              <w:jc w:val="center"/>
              <w:rPr>
                <w:kern w:val="0"/>
                <w:szCs w:val="21"/>
              </w:rPr>
            </w:pPr>
            <w:r>
              <w:rPr>
                <w:kern w:val="0"/>
                <w:szCs w:val="21"/>
              </w:rPr>
              <w:t>废水</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COD</w:t>
            </w:r>
          </w:p>
        </w:tc>
        <w:tc>
          <w:tcPr>
            <w:tcW w:w="218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182.5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182.5</w:t>
            </w:r>
          </w:p>
        </w:tc>
        <w:tc>
          <w:tcPr>
            <w:tcW w:w="1104"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+182.5</w:t>
            </w:r>
          </w:p>
        </w:tc>
      </w:tr>
      <w:tr>
        <w:tblPrEx>
          <w:tblLayout w:type="fixed"/>
          <w:tblCellMar>
            <w:top w:w="0" w:type="dxa"/>
            <w:left w:w="108" w:type="dxa"/>
            <w:bottom w:w="0" w:type="dxa"/>
            <w:right w:w="108" w:type="dxa"/>
          </w:tblCellMar>
        </w:tblPrEx>
        <w:tc>
          <w:tcPr>
            <w:tcW w:w="1696" w:type="dxa"/>
            <w:vMerge w:val="continue"/>
            <w:tcBorders>
              <w:left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BOD</w:t>
            </w:r>
            <w:r>
              <w:rPr>
                <w:kern w:val="0"/>
                <w:szCs w:val="21"/>
                <w:vertAlign w:val="subscript"/>
              </w:rPr>
              <w:t>5</w:t>
            </w:r>
          </w:p>
        </w:tc>
        <w:tc>
          <w:tcPr>
            <w:tcW w:w="2180" w:type="dxa"/>
            <w:tcBorders>
              <w:top w:val="nil"/>
              <w:left w:val="nil"/>
              <w:bottom w:val="single" w:color="auto" w:sz="4" w:space="0"/>
              <w:right w:val="single" w:color="auto" w:sz="4" w:space="0"/>
            </w:tcBorders>
            <w:shd w:val="clear" w:color="auto" w:fill="auto"/>
          </w:tcPr>
          <w:p>
            <w:pPr>
              <w:widowControl/>
              <w:jc w:val="center"/>
              <w:textAlignment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noWrap/>
            <w:vAlign w:val="center"/>
          </w:tcPr>
          <w:p>
            <w:pPr>
              <w:jc w:val="center"/>
              <w:rPr>
                <w:kern w:val="0"/>
                <w:szCs w:val="21"/>
              </w:rPr>
            </w:pPr>
            <w:r>
              <w:rPr>
                <w:kern w:val="0"/>
                <w:szCs w:val="21"/>
              </w:rPr>
              <w:t>36.5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textAlignment w:val="center"/>
              <w:rPr>
                <w:kern w:val="0"/>
                <w:szCs w:val="21"/>
              </w:rPr>
            </w:pPr>
            <w:r>
              <w:rPr>
                <w:kern w:val="0"/>
                <w:szCs w:val="21"/>
              </w:rPr>
              <w:t>36.5</w:t>
            </w:r>
          </w:p>
        </w:tc>
        <w:tc>
          <w:tcPr>
            <w:tcW w:w="1104" w:type="dxa"/>
            <w:tcBorders>
              <w:top w:val="nil"/>
              <w:left w:val="nil"/>
              <w:bottom w:val="single" w:color="auto" w:sz="4" w:space="0"/>
              <w:right w:val="single" w:color="auto" w:sz="4" w:space="0"/>
            </w:tcBorders>
            <w:shd w:val="clear" w:color="auto" w:fill="auto"/>
            <w:vAlign w:val="center"/>
          </w:tcPr>
          <w:p>
            <w:pPr>
              <w:jc w:val="center"/>
              <w:rPr>
                <w:kern w:val="0"/>
                <w:szCs w:val="21"/>
              </w:rPr>
            </w:pPr>
            <w:r>
              <w:rPr>
                <w:kern w:val="0"/>
                <w:szCs w:val="21"/>
              </w:rPr>
              <w:t>+36.5</w:t>
            </w:r>
          </w:p>
        </w:tc>
      </w:tr>
      <w:tr>
        <w:tblPrEx>
          <w:tblLayout w:type="fixed"/>
          <w:tblCellMar>
            <w:top w:w="0" w:type="dxa"/>
            <w:left w:w="108" w:type="dxa"/>
            <w:bottom w:w="0" w:type="dxa"/>
            <w:right w:w="108" w:type="dxa"/>
          </w:tblCellMar>
        </w:tblPrEx>
        <w:tc>
          <w:tcPr>
            <w:tcW w:w="1696" w:type="dxa"/>
            <w:vMerge w:val="continue"/>
            <w:tcBorders>
              <w:left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石油类</w:t>
            </w:r>
          </w:p>
        </w:tc>
        <w:tc>
          <w:tcPr>
            <w:tcW w:w="2180" w:type="dxa"/>
            <w:tcBorders>
              <w:top w:val="nil"/>
              <w:left w:val="nil"/>
              <w:bottom w:val="single" w:color="auto" w:sz="4" w:space="0"/>
              <w:right w:val="single" w:color="auto" w:sz="4" w:space="0"/>
            </w:tcBorders>
            <w:shd w:val="clear" w:color="auto" w:fill="auto"/>
          </w:tcPr>
          <w:p>
            <w:pPr>
              <w:widowControl/>
              <w:jc w:val="center"/>
              <w:textAlignment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noWrap/>
            <w:vAlign w:val="center"/>
          </w:tcPr>
          <w:p>
            <w:pPr>
              <w:jc w:val="center"/>
              <w:rPr>
                <w:kern w:val="0"/>
                <w:szCs w:val="21"/>
              </w:rPr>
            </w:pPr>
            <w:r>
              <w:rPr>
                <w:kern w:val="0"/>
                <w:szCs w:val="21"/>
              </w:rPr>
              <w:t>3.65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textAlignment w:val="center"/>
              <w:rPr>
                <w:kern w:val="0"/>
                <w:szCs w:val="21"/>
              </w:rPr>
            </w:pPr>
            <w:r>
              <w:rPr>
                <w:kern w:val="0"/>
                <w:szCs w:val="21"/>
              </w:rPr>
              <w:t>3.65</w:t>
            </w:r>
          </w:p>
        </w:tc>
        <w:tc>
          <w:tcPr>
            <w:tcW w:w="1104" w:type="dxa"/>
            <w:tcBorders>
              <w:top w:val="nil"/>
              <w:left w:val="nil"/>
              <w:bottom w:val="single" w:color="auto" w:sz="4" w:space="0"/>
              <w:right w:val="single" w:color="auto" w:sz="4" w:space="0"/>
            </w:tcBorders>
            <w:shd w:val="clear" w:color="auto" w:fill="auto"/>
            <w:vAlign w:val="center"/>
          </w:tcPr>
          <w:p>
            <w:pPr>
              <w:jc w:val="center"/>
              <w:rPr>
                <w:kern w:val="0"/>
                <w:szCs w:val="21"/>
              </w:rPr>
            </w:pPr>
            <w:r>
              <w:rPr>
                <w:kern w:val="0"/>
                <w:szCs w:val="21"/>
              </w:rPr>
              <w:t>+3.7</w:t>
            </w:r>
          </w:p>
        </w:tc>
      </w:tr>
      <w:tr>
        <w:tblPrEx>
          <w:tblLayout w:type="fixed"/>
          <w:tblCellMar>
            <w:top w:w="0" w:type="dxa"/>
            <w:left w:w="108" w:type="dxa"/>
            <w:bottom w:w="0" w:type="dxa"/>
            <w:right w:w="108" w:type="dxa"/>
          </w:tblCellMar>
        </w:tblPrEx>
        <w:tc>
          <w:tcPr>
            <w:tcW w:w="1696" w:type="dxa"/>
            <w:vMerge w:val="continue"/>
            <w:tcBorders>
              <w:left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动植物油</w:t>
            </w:r>
          </w:p>
        </w:tc>
        <w:tc>
          <w:tcPr>
            <w:tcW w:w="2180" w:type="dxa"/>
            <w:tcBorders>
              <w:top w:val="nil"/>
              <w:left w:val="nil"/>
              <w:bottom w:val="single" w:color="auto" w:sz="4" w:space="0"/>
              <w:right w:val="single" w:color="auto" w:sz="4" w:space="0"/>
            </w:tcBorders>
            <w:shd w:val="clear" w:color="auto" w:fill="auto"/>
          </w:tcPr>
          <w:p>
            <w:pPr>
              <w:widowControl/>
              <w:jc w:val="center"/>
              <w:textAlignment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noWrap/>
            <w:vAlign w:val="center"/>
          </w:tcPr>
          <w:p>
            <w:pPr>
              <w:jc w:val="center"/>
              <w:rPr>
                <w:kern w:val="0"/>
                <w:szCs w:val="21"/>
              </w:rPr>
            </w:pPr>
            <w:r>
              <w:rPr>
                <w:kern w:val="0"/>
                <w:szCs w:val="21"/>
              </w:rPr>
              <w:t>3.65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textAlignment w:val="center"/>
              <w:rPr>
                <w:kern w:val="0"/>
                <w:szCs w:val="21"/>
              </w:rPr>
            </w:pPr>
            <w:r>
              <w:rPr>
                <w:kern w:val="0"/>
                <w:szCs w:val="21"/>
              </w:rPr>
              <w:t>3.65</w:t>
            </w:r>
          </w:p>
        </w:tc>
        <w:tc>
          <w:tcPr>
            <w:tcW w:w="1104" w:type="dxa"/>
            <w:tcBorders>
              <w:top w:val="nil"/>
              <w:left w:val="nil"/>
              <w:bottom w:val="single" w:color="auto" w:sz="4" w:space="0"/>
              <w:right w:val="single" w:color="auto" w:sz="4" w:space="0"/>
            </w:tcBorders>
            <w:shd w:val="clear" w:color="auto" w:fill="auto"/>
            <w:vAlign w:val="center"/>
          </w:tcPr>
          <w:p>
            <w:pPr>
              <w:jc w:val="center"/>
              <w:rPr>
                <w:kern w:val="0"/>
                <w:szCs w:val="21"/>
              </w:rPr>
            </w:pPr>
            <w:r>
              <w:rPr>
                <w:kern w:val="0"/>
                <w:szCs w:val="21"/>
              </w:rPr>
              <w:t>+3.7</w:t>
            </w:r>
          </w:p>
        </w:tc>
      </w:tr>
      <w:tr>
        <w:tblPrEx>
          <w:tblLayout w:type="fixed"/>
          <w:tblCellMar>
            <w:top w:w="0" w:type="dxa"/>
            <w:left w:w="108" w:type="dxa"/>
            <w:bottom w:w="0" w:type="dxa"/>
            <w:right w:w="108" w:type="dxa"/>
          </w:tblCellMar>
        </w:tblPrEx>
        <w:tc>
          <w:tcPr>
            <w:tcW w:w="1696" w:type="dxa"/>
            <w:vMerge w:val="continue"/>
            <w:tcBorders>
              <w:left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氨氮</w:t>
            </w:r>
          </w:p>
        </w:tc>
        <w:tc>
          <w:tcPr>
            <w:tcW w:w="2180" w:type="dxa"/>
            <w:tcBorders>
              <w:top w:val="nil"/>
              <w:left w:val="nil"/>
              <w:bottom w:val="single" w:color="auto" w:sz="4" w:space="0"/>
              <w:right w:val="single" w:color="auto" w:sz="4" w:space="0"/>
            </w:tcBorders>
            <w:shd w:val="clear" w:color="auto" w:fill="auto"/>
          </w:tcPr>
          <w:p>
            <w:pPr>
              <w:widowControl/>
              <w:jc w:val="center"/>
              <w:textAlignment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18.25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textAlignment w:val="center"/>
              <w:rPr>
                <w:kern w:val="0"/>
                <w:szCs w:val="21"/>
              </w:rPr>
            </w:pPr>
            <w:r>
              <w:rPr>
                <w:kern w:val="0"/>
                <w:szCs w:val="21"/>
              </w:rPr>
              <w:t>18.25</w:t>
            </w:r>
          </w:p>
        </w:tc>
        <w:tc>
          <w:tcPr>
            <w:tcW w:w="1104"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+18.3</w:t>
            </w:r>
          </w:p>
        </w:tc>
      </w:tr>
      <w:tr>
        <w:tblPrEx>
          <w:tblLayout w:type="fixed"/>
          <w:tblCellMar>
            <w:top w:w="0" w:type="dxa"/>
            <w:left w:w="108" w:type="dxa"/>
            <w:bottom w:w="0" w:type="dxa"/>
            <w:right w:w="108" w:type="dxa"/>
          </w:tblCellMar>
        </w:tblPrEx>
        <w:tc>
          <w:tcPr>
            <w:tcW w:w="1696" w:type="dxa"/>
            <w:vMerge w:val="continue"/>
            <w:tcBorders>
              <w:left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SS</w:t>
            </w:r>
          </w:p>
        </w:tc>
        <w:tc>
          <w:tcPr>
            <w:tcW w:w="2180" w:type="dxa"/>
            <w:tcBorders>
              <w:top w:val="nil"/>
              <w:left w:val="nil"/>
              <w:bottom w:val="single" w:color="auto" w:sz="4" w:space="0"/>
              <w:right w:val="single" w:color="auto" w:sz="4" w:space="0"/>
            </w:tcBorders>
            <w:shd w:val="clear" w:color="auto" w:fill="auto"/>
          </w:tcPr>
          <w:p>
            <w:pPr>
              <w:widowControl/>
              <w:jc w:val="center"/>
              <w:textAlignment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36.5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textAlignment w:val="center"/>
              <w:rPr>
                <w:kern w:val="0"/>
                <w:szCs w:val="21"/>
              </w:rPr>
            </w:pPr>
            <w:r>
              <w:rPr>
                <w:kern w:val="0"/>
                <w:szCs w:val="21"/>
              </w:rPr>
              <w:t>36.5</w:t>
            </w:r>
          </w:p>
        </w:tc>
        <w:tc>
          <w:tcPr>
            <w:tcW w:w="1104"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+36.5</w:t>
            </w:r>
          </w:p>
        </w:tc>
      </w:tr>
      <w:tr>
        <w:tblPrEx>
          <w:tblLayout w:type="fixed"/>
          <w:tblCellMar>
            <w:top w:w="0" w:type="dxa"/>
            <w:left w:w="108" w:type="dxa"/>
            <w:bottom w:w="0" w:type="dxa"/>
            <w:right w:w="108" w:type="dxa"/>
          </w:tblCellMar>
        </w:tblPrEx>
        <w:tc>
          <w:tcPr>
            <w:tcW w:w="1696" w:type="dxa"/>
            <w:vMerge w:val="continue"/>
            <w:tcBorders>
              <w:left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总磷</w:t>
            </w:r>
          </w:p>
        </w:tc>
        <w:tc>
          <w:tcPr>
            <w:tcW w:w="2180" w:type="dxa"/>
            <w:tcBorders>
              <w:top w:val="nil"/>
              <w:left w:val="nil"/>
              <w:bottom w:val="single" w:color="auto" w:sz="4" w:space="0"/>
              <w:right w:val="single" w:color="auto" w:sz="4" w:space="0"/>
            </w:tcBorders>
            <w:shd w:val="clear" w:color="auto" w:fill="auto"/>
          </w:tcPr>
          <w:p>
            <w:pPr>
              <w:widowControl/>
              <w:jc w:val="center"/>
              <w:textAlignment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1.825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textAlignment w:val="center"/>
              <w:rPr>
                <w:kern w:val="0"/>
                <w:szCs w:val="21"/>
              </w:rPr>
            </w:pPr>
            <w:r>
              <w:rPr>
                <w:kern w:val="0"/>
                <w:szCs w:val="21"/>
              </w:rPr>
              <w:t>1.825</w:t>
            </w:r>
          </w:p>
        </w:tc>
        <w:tc>
          <w:tcPr>
            <w:tcW w:w="1104"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+1.8</w:t>
            </w:r>
          </w:p>
        </w:tc>
      </w:tr>
      <w:tr>
        <w:tblPrEx>
          <w:tblLayout w:type="fixed"/>
          <w:tblCellMar>
            <w:top w:w="0" w:type="dxa"/>
            <w:left w:w="108" w:type="dxa"/>
            <w:bottom w:w="0" w:type="dxa"/>
            <w:right w:w="108" w:type="dxa"/>
          </w:tblCellMar>
        </w:tblPrEx>
        <w:tc>
          <w:tcPr>
            <w:tcW w:w="1696" w:type="dxa"/>
            <w:vMerge w:val="continue"/>
            <w:tcBorders>
              <w:left w:val="single" w:color="auto" w:sz="4" w:space="0"/>
              <w:bottom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总氮</w:t>
            </w:r>
          </w:p>
        </w:tc>
        <w:tc>
          <w:tcPr>
            <w:tcW w:w="2180" w:type="dxa"/>
            <w:tcBorders>
              <w:top w:val="nil"/>
              <w:left w:val="nil"/>
              <w:bottom w:val="single" w:color="auto" w:sz="4" w:space="0"/>
              <w:right w:val="single" w:color="auto" w:sz="4" w:space="0"/>
            </w:tcBorders>
            <w:shd w:val="clear" w:color="auto" w:fill="auto"/>
          </w:tcPr>
          <w:p>
            <w:pPr>
              <w:widowControl/>
              <w:jc w:val="center"/>
              <w:textAlignment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54.75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widowControl/>
              <w:jc w:val="center"/>
              <w:textAlignment w:val="center"/>
              <w:rPr>
                <w:kern w:val="0"/>
                <w:szCs w:val="21"/>
              </w:rPr>
            </w:pPr>
            <w:r>
              <w:rPr>
                <w:kern w:val="0"/>
                <w:szCs w:val="21"/>
              </w:rPr>
              <w:t>54.75</w:t>
            </w:r>
          </w:p>
        </w:tc>
        <w:tc>
          <w:tcPr>
            <w:tcW w:w="1104"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+54.8</w:t>
            </w:r>
          </w:p>
        </w:tc>
      </w:tr>
      <w:tr>
        <w:tblPrEx>
          <w:tblLayout w:type="fixed"/>
          <w:tblCellMar>
            <w:top w:w="0" w:type="dxa"/>
            <w:left w:w="108" w:type="dxa"/>
            <w:bottom w:w="0" w:type="dxa"/>
            <w:right w:w="108" w:type="dxa"/>
          </w:tblCellMar>
        </w:tblPrEx>
        <w:trPr>
          <w:trHeight w:val="400" w:hRule="atLeast"/>
        </w:trPr>
        <w:tc>
          <w:tcPr>
            <w:tcW w:w="1696" w:type="dxa"/>
            <w:vMerge w:val="restart"/>
            <w:tcBorders>
              <w:top w:val="nil"/>
              <w:left w:val="single" w:color="auto" w:sz="4" w:space="0"/>
              <w:right w:val="single" w:color="auto" w:sz="4" w:space="0"/>
            </w:tcBorders>
            <w:shd w:val="clear" w:color="auto" w:fill="auto"/>
            <w:vAlign w:val="center"/>
          </w:tcPr>
          <w:p>
            <w:pPr>
              <w:widowControl/>
              <w:jc w:val="center"/>
              <w:rPr>
                <w:kern w:val="0"/>
                <w:szCs w:val="21"/>
              </w:rPr>
            </w:pPr>
            <w:r>
              <w:rPr>
                <w:kern w:val="0"/>
                <w:szCs w:val="21"/>
              </w:rPr>
              <w:t>固体废物</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生活垃圾</w:t>
            </w:r>
          </w:p>
        </w:tc>
        <w:tc>
          <w:tcPr>
            <w:tcW w:w="2180" w:type="dxa"/>
            <w:tcBorders>
              <w:top w:val="nil"/>
              <w:left w:val="nil"/>
              <w:bottom w:val="single" w:color="auto" w:sz="4" w:space="0"/>
              <w:right w:val="single" w:color="auto" w:sz="4" w:space="0"/>
            </w:tcBorders>
            <w:shd w:val="clear" w:color="auto" w:fill="auto"/>
          </w:tcPr>
          <w:p>
            <w:pPr>
              <w:ind w:right="192"/>
              <w:jc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2.2</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2.2</w:t>
            </w:r>
          </w:p>
        </w:tc>
        <w:tc>
          <w:tcPr>
            <w:tcW w:w="1104"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+2.2</w:t>
            </w:r>
          </w:p>
        </w:tc>
      </w:tr>
      <w:tr>
        <w:tblPrEx>
          <w:tblLayout w:type="fixed"/>
          <w:tblCellMar>
            <w:top w:w="0" w:type="dxa"/>
            <w:left w:w="108" w:type="dxa"/>
            <w:bottom w:w="0" w:type="dxa"/>
            <w:right w:w="108" w:type="dxa"/>
          </w:tblCellMar>
        </w:tblPrEx>
        <w:trPr>
          <w:trHeight w:val="400" w:hRule="atLeast"/>
        </w:trPr>
        <w:tc>
          <w:tcPr>
            <w:tcW w:w="1696" w:type="dxa"/>
            <w:vMerge w:val="continue"/>
            <w:tcBorders>
              <w:top w:val="nil"/>
              <w:left w:val="single" w:color="auto" w:sz="4" w:space="0"/>
              <w:right w:val="single" w:color="auto" w:sz="4" w:space="0"/>
            </w:tcBorders>
            <w:shd w:val="clear" w:color="auto" w:fill="auto"/>
            <w:vAlign w:val="center"/>
          </w:tcPr>
          <w:p>
            <w:pPr>
              <w:widowControl/>
              <w:jc w:val="center"/>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危险废物</w:t>
            </w:r>
          </w:p>
        </w:tc>
        <w:tc>
          <w:tcPr>
            <w:tcW w:w="2180" w:type="dxa"/>
            <w:tcBorders>
              <w:top w:val="nil"/>
              <w:left w:val="nil"/>
              <w:bottom w:val="single" w:color="auto" w:sz="4" w:space="0"/>
              <w:right w:val="single" w:color="auto" w:sz="4" w:space="0"/>
            </w:tcBorders>
            <w:shd w:val="clear" w:color="auto" w:fill="auto"/>
          </w:tcPr>
          <w:p>
            <w:pPr>
              <w:ind w:right="192"/>
              <w:jc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rFonts w:hint="eastAsia"/>
                <w:kern w:val="0"/>
                <w:szCs w:val="21"/>
              </w:rPr>
              <w:t>8.</w:t>
            </w:r>
            <w:r>
              <w:rPr>
                <w:kern w:val="0"/>
                <w:szCs w:val="21"/>
              </w:rPr>
              <w:t>15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rFonts w:hint="eastAsia"/>
                <w:kern w:val="0"/>
                <w:szCs w:val="21"/>
              </w:rPr>
              <w:t>8</w:t>
            </w:r>
            <w:r>
              <w:rPr>
                <w:kern w:val="0"/>
                <w:szCs w:val="21"/>
              </w:rPr>
              <w:t>.15</w:t>
            </w:r>
          </w:p>
        </w:tc>
        <w:tc>
          <w:tcPr>
            <w:tcW w:w="1104"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w:t>
            </w:r>
            <w:r>
              <w:rPr>
                <w:rFonts w:hint="eastAsia"/>
                <w:kern w:val="0"/>
                <w:szCs w:val="21"/>
              </w:rPr>
              <w:t>8.15</w:t>
            </w:r>
          </w:p>
        </w:tc>
      </w:tr>
      <w:tr>
        <w:tblPrEx>
          <w:tblLayout w:type="fixed"/>
          <w:tblCellMar>
            <w:top w:w="0" w:type="dxa"/>
            <w:left w:w="108" w:type="dxa"/>
            <w:bottom w:w="0" w:type="dxa"/>
            <w:right w:w="108" w:type="dxa"/>
          </w:tblCellMar>
        </w:tblPrEx>
        <w:trPr>
          <w:trHeight w:val="411" w:hRule="atLeast"/>
        </w:trPr>
        <w:tc>
          <w:tcPr>
            <w:tcW w:w="1696" w:type="dxa"/>
            <w:vMerge w:val="continue"/>
            <w:tcBorders>
              <w:left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格栅渣</w:t>
            </w:r>
          </w:p>
        </w:tc>
        <w:tc>
          <w:tcPr>
            <w:tcW w:w="2180" w:type="dxa"/>
            <w:tcBorders>
              <w:top w:val="nil"/>
              <w:left w:val="nil"/>
              <w:bottom w:val="single" w:color="auto" w:sz="4" w:space="0"/>
              <w:right w:val="single" w:color="auto" w:sz="4" w:space="0"/>
            </w:tcBorders>
            <w:shd w:val="clear" w:color="auto" w:fill="auto"/>
          </w:tcPr>
          <w:p>
            <w:pPr>
              <w:ind w:right="192"/>
              <w:jc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17.52</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17.52</w:t>
            </w:r>
          </w:p>
        </w:tc>
        <w:tc>
          <w:tcPr>
            <w:tcW w:w="1104"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+17.5</w:t>
            </w:r>
          </w:p>
        </w:tc>
      </w:tr>
      <w:tr>
        <w:tblPrEx>
          <w:tblLayout w:type="fixed"/>
          <w:tblCellMar>
            <w:top w:w="0" w:type="dxa"/>
            <w:left w:w="108" w:type="dxa"/>
            <w:bottom w:w="0" w:type="dxa"/>
            <w:right w:w="108" w:type="dxa"/>
          </w:tblCellMar>
        </w:tblPrEx>
        <w:trPr>
          <w:trHeight w:val="411" w:hRule="atLeast"/>
        </w:trPr>
        <w:tc>
          <w:tcPr>
            <w:tcW w:w="1696" w:type="dxa"/>
            <w:vMerge w:val="continue"/>
            <w:tcBorders>
              <w:left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废包装等</w:t>
            </w:r>
          </w:p>
        </w:tc>
        <w:tc>
          <w:tcPr>
            <w:tcW w:w="2180" w:type="dxa"/>
            <w:tcBorders>
              <w:top w:val="nil"/>
              <w:left w:val="nil"/>
              <w:bottom w:val="single" w:color="auto" w:sz="4" w:space="0"/>
              <w:right w:val="single" w:color="auto" w:sz="4" w:space="0"/>
            </w:tcBorders>
            <w:shd w:val="clear" w:color="auto" w:fill="auto"/>
          </w:tcPr>
          <w:p>
            <w:pPr>
              <w:ind w:right="192"/>
              <w:jc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rFonts w:hint="eastAsia"/>
                <w:kern w:val="0"/>
                <w:szCs w:val="21"/>
              </w:rPr>
              <w:t>5</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rFonts w:hint="eastAsia"/>
                <w:kern w:val="0"/>
                <w:szCs w:val="21"/>
              </w:rPr>
              <w:t>5</w:t>
            </w:r>
          </w:p>
        </w:tc>
        <w:tc>
          <w:tcPr>
            <w:tcW w:w="1104"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w:t>
            </w:r>
            <w:r>
              <w:rPr>
                <w:rFonts w:hint="eastAsia"/>
                <w:kern w:val="0"/>
                <w:szCs w:val="21"/>
              </w:rPr>
              <w:t>5</w:t>
            </w:r>
            <w:r>
              <w:rPr>
                <w:kern w:val="0"/>
                <w:szCs w:val="21"/>
              </w:rPr>
              <w:t>.0</w:t>
            </w:r>
          </w:p>
        </w:tc>
      </w:tr>
      <w:tr>
        <w:tblPrEx>
          <w:tblLayout w:type="fixed"/>
          <w:tblCellMar>
            <w:top w:w="0" w:type="dxa"/>
            <w:left w:w="108" w:type="dxa"/>
            <w:bottom w:w="0" w:type="dxa"/>
            <w:right w:w="108" w:type="dxa"/>
          </w:tblCellMar>
        </w:tblPrEx>
        <w:trPr>
          <w:trHeight w:val="411" w:hRule="atLeast"/>
        </w:trPr>
        <w:tc>
          <w:tcPr>
            <w:tcW w:w="1696" w:type="dxa"/>
            <w:vMerge w:val="continue"/>
            <w:tcBorders>
              <w:left w:val="single" w:color="auto" w:sz="4" w:space="0"/>
              <w:bottom w:val="single" w:color="auto" w:sz="4" w:space="0"/>
              <w:right w:val="single" w:color="auto" w:sz="4" w:space="0"/>
            </w:tcBorders>
            <w:vAlign w:val="center"/>
          </w:tcPr>
          <w:p>
            <w:pPr>
              <w:widowControl/>
              <w:rPr>
                <w:kern w:val="0"/>
                <w:szCs w:val="21"/>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污泥</w:t>
            </w:r>
          </w:p>
        </w:tc>
        <w:tc>
          <w:tcPr>
            <w:tcW w:w="2180" w:type="dxa"/>
            <w:tcBorders>
              <w:top w:val="nil"/>
              <w:left w:val="nil"/>
              <w:bottom w:val="single" w:color="auto" w:sz="4" w:space="0"/>
              <w:right w:val="single" w:color="auto" w:sz="4" w:space="0"/>
            </w:tcBorders>
            <w:shd w:val="clear" w:color="auto" w:fill="auto"/>
          </w:tcPr>
          <w:p>
            <w:pPr>
              <w:ind w:right="192"/>
              <w:jc w:val="center"/>
              <w:rPr>
                <w:kern w:val="0"/>
                <w:szCs w:val="21"/>
              </w:rPr>
            </w:pPr>
            <w:r>
              <w:rPr>
                <w:rFonts w:hint="eastAsia"/>
                <w:kern w:val="0"/>
                <w:szCs w:val="21"/>
              </w:rPr>
              <w:t>-</w:t>
            </w:r>
          </w:p>
        </w:tc>
        <w:tc>
          <w:tcPr>
            <w:tcW w:w="973"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4"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66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1241</w:t>
            </w:r>
          </w:p>
        </w:tc>
        <w:tc>
          <w:tcPr>
            <w:tcW w:w="1250" w:type="dxa"/>
            <w:tcBorders>
              <w:top w:val="nil"/>
              <w:left w:val="nil"/>
              <w:bottom w:val="single" w:color="auto" w:sz="4" w:space="0"/>
              <w:right w:val="single" w:color="auto" w:sz="4" w:space="0"/>
            </w:tcBorders>
            <w:shd w:val="clear" w:color="auto" w:fill="auto"/>
          </w:tcPr>
          <w:p>
            <w:pPr>
              <w:widowControl/>
              <w:jc w:val="center"/>
              <w:rPr>
                <w:kern w:val="0"/>
                <w:szCs w:val="21"/>
              </w:rPr>
            </w:pPr>
            <w:r>
              <w:rPr>
                <w:rFonts w:hint="eastAsia"/>
                <w:kern w:val="0"/>
                <w:szCs w:val="21"/>
              </w:rPr>
              <w:t>-</w:t>
            </w:r>
          </w:p>
        </w:tc>
        <w:tc>
          <w:tcPr>
            <w:tcW w:w="1757"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1241</w:t>
            </w:r>
          </w:p>
        </w:tc>
        <w:tc>
          <w:tcPr>
            <w:tcW w:w="1104" w:type="dxa"/>
            <w:tcBorders>
              <w:top w:val="nil"/>
              <w:left w:val="nil"/>
              <w:bottom w:val="single" w:color="auto" w:sz="4" w:space="0"/>
              <w:right w:val="single" w:color="auto" w:sz="4" w:space="0"/>
            </w:tcBorders>
            <w:shd w:val="clear" w:color="auto" w:fill="auto"/>
            <w:vAlign w:val="center"/>
          </w:tcPr>
          <w:p>
            <w:pPr>
              <w:ind w:right="192"/>
              <w:jc w:val="center"/>
              <w:rPr>
                <w:kern w:val="0"/>
                <w:szCs w:val="21"/>
              </w:rPr>
            </w:pPr>
            <w:r>
              <w:rPr>
                <w:kern w:val="0"/>
                <w:szCs w:val="21"/>
              </w:rPr>
              <w:t>+1241.0</w:t>
            </w:r>
          </w:p>
        </w:tc>
      </w:tr>
    </w:tbl>
    <w:p>
      <w:pPr>
        <w:pStyle w:val="72"/>
        <w:spacing w:before="249" w:beforeLines="80" w:after="24"/>
        <w:ind w:firstLine="480"/>
        <w:jc w:val="left"/>
        <w:rPr>
          <w:spacing w:val="-6"/>
          <w:kern w:val="21"/>
          <w:szCs w:val="21"/>
        </w:rPr>
      </w:pPr>
      <w:r>
        <w:rPr>
          <w:kern w:val="21"/>
          <w:szCs w:val="21"/>
        </w:rPr>
        <w:t>注：</w:t>
      </w:r>
      <w:r>
        <w:rPr>
          <w:spacing w:val="-16"/>
          <w:kern w:val="21"/>
          <w:szCs w:val="21"/>
        </w:rPr>
        <w:fldChar w:fldCharType="begin"/>
      </w:r>
      <w:r>
        <w:rPr>
          <w:spacing w:val="-16"/>
          <w:kern w:val="21"/>
          <w:szCs w:val="21"/>
        </w:rPr>
        <w:instrText xml:space="preserve"> = 6 \* GB3 \* MERGEFORMAT </w:instrText>
      </w:r>
      <w:r>
        <w:rPr>
          <w:spacing w:val="-16"/>
          <w:kern w:val="21"/>
          <w:szCs w:val="21"/>
        </w:rPr>
        <w:fldChar w:fldCharType="separate"/>
      </w:r>
      <w:r>
        <w:rPr>
          <w:rFonts w:hint="eastAsia"/>
          <w:szCs w:val="21"/>
        </w:rPr>
        <w:t>⑥</w:t>
      </w:r>
      <w:r>
        <w:rPr>
          <w:spacing w:val="-16"/>
          <w:kern w:val="21"/>
          <w:szCs w:val="21"/>
        </w:rPr>
        <w:fldChar w:fldCharType="end"/>
      </w:r>
      <w:r>
        <w:rPr>
          <w:spacing w:val="-16"/>
          <w:kern w:val="21"/>
          <w:szCs w:val="21"/>
        </w:rPr>
        <w:t>=</w:t>
      </w:r>
      <w:r>
        <w:rPr>
          <w:spacing w:val="-6"/>
          <w:kern w:val="21"/>
          <w:szCs w:val="21"/>
        </w:rPr>
        <w:fldChar w:fldCharType="begin"/>
      </w:r>
      <w:r>
        <w:rPr>
          <w:spacing w:val="-6"/>
          <w:kern w:val="21"/>
          <w:szCs w:val="21"/>
        </w:rPr>
        <w:instrText xml:space="preserve"> = 1 \* GB3 \* MERGEFORMAT </w:instrText>
      </w:r>
      <w:r>
        <w:rPr>
          <w:spacing w:val="-6"/>
          <w:kern w:val="21"/>
          <w:szCs w:val="21"/>
        </w:rPr>
        <w:fldChar w:fldCharType="separate"/>
      </w:r>
      <w:r>
        <w:rPr>
          <w:rFonts w:hint="eastAsia"/>
          <w:szCs w:val="21"/>
        </w:rPr>
        <w:t>①</w:t>
      </w:r>
      <w:r>
        <w:rPr>
          <w:spacing w:val="-6"/>
          <w:kern w:val="21"/>
          <w:szCs w:val="21"/>
        </w:rPr>
        <w:fldChar w:fldCharType="end"/>
      </w:r>
      <w:r>
        <w:rPr>
          <w:spacing w:val="-6"/>
          <w:kern w:val="21"/>
          <w:szCs w:val="21"/>
        </w:rPr>
        <w:t>+</w:t>
      </w:r>
      <w:r>
        <w:rPr>
          <w:spacing w:val="-6"/>
          <w:kern w:val="21"/>
          <w:szCs w:val="21"/>
        </w:rPr>
        <w:fldChar w:fldCharType="begin"/>
      </w:r>
      <w:r>
        <w:rPr>
          <w:spacing w:val="-6"/>
          <w:kern w:val="21"/>
          <w:szCs w:val="21"/>
        </w:rPr>
        <w:instrText xml:space="preserve"> = 3 \* GB3 \* MERGEFORMAT </w:instrText>
      </w:r>
      <w:r>
        <w:rPr>
          <w:spacing w:val="-6"/>
          <w:kern w:val="21"/>
          <w:szCs w:val="21"/>
        </w:rPr>
        <w:fldChar w:fldCharType="separate"/>
      </w:r>
      <w:r>
        <w:rPr>
          <w:rFonts w:hint="eastAsia"/>
          <w:szCs w:val="21"/>
        </w:rPr>
        <w:t>③</w:t>
      </w:r>
      <w:r>
        <w:rPr>
          <w:spacing w:val="-6"/>
          <w:kern w:val="21"/>
          <w:szCs w:val="21"/>
        </w:rPr>
        <w:fldChar w:fldCharType="end"/>
      </w:r>
      <w:r>
        <w:rPr>
          <w:spacing w:val="-6"/>
          <w:kern w:val="21"/>
          <w:szCs w:val="21"/>
        </w:rPr>
        <w:t>+</w:t>
      </w:r>
      <w:r>
        <w:rPr>
          <w:spacing w:val="-6"/>
          <w:kern w:val="21"/>
          <w:szCs w:val="21"/>
        </w:rPr>
        <w:fldChar w:fldCharType="begin"/>
      </w:r>
      <w:r>
        <w:rPr>
          <w:spacing w:val="-6"/>
          <w:kern w:val="21"/>
          <w:szCs w:val="21"/>
        </w:rPr>
        <w:instrText xml:space="preserve"> = 4 \* GB3 \* MERGEFORMAT </w:instrText>
      </w:r>
      <w:r>
        <w:rPr>
          <w:spacing w:val="-6"/>
          <w:kern w:val="21"/>
          <w:szCs w:val="21"/>
        </w:rPr>
        <w:fldChar w:fldCharType="separate"/>
      </w:r>
      <w:r>
        <w:rPr>
          <w:rFonts w:hint="eastAsia"/>
          <w:szCs w:val="21"/>
        </w:rPr>
        <w:t>④</w:t>
      </w:r>
      <w:r>
        <w:rPr>
          <w:spacing w:val="-6"/>
          <w:kern w:val="21"/>
          <w:szCs w:val="21"/>
        </w:rPr>
        <w:fldChar w:fldCharType="end"/>
      </w:r>
      <w:r>
        <w:rPr>
          <w:spacing w:val="-6"/>
          <w:kern w:val="21"/>
          <w:szCs w:val="21"/>
        </w:rPr>
        <w:t>-</w:t>
      </w:r>
      <w:r>
        <w:rPr>
          <w:spacing w:val="-16"/>
          <w:kern w:val="21"/>
          <w:szCs w:val="21"/>
        </w:rPr>
        <w:fldChar w:fldCharType="begin"/>
      </w:r>
      <w:r>
        <w:rPr>
          <w:spacing w:val="-16"/>
          <w:kern w:val="21"/>
          <w:szCs w:val="21"/>
        </w:rPr>
        <w:instrText xml:space="preserve"> = 5 \* GB3 \* MERGEFORMAT </w:instrText>
      </w:r>
      <w:r>
        <w:rPr>
          <w:spacing w:val="-16"/>
          <w:kern w:val="21"/>
          <w:szCs w:val="21"/>
        </w:rPr>
        <w:fldChar w:fldCharType="separate"/>
      </w:r>
      <w:r>
        <w:rPr>
          <w:rFonts w:hint="eastAsia"/>
          <w:szCs w:val="21"/>
        </w:rPr>
        <w:t>⑤</w:t>
      </w:r>
      <w:r>
        <w:rPr>
          <w:spacing w:val="-16"/>
          <w:kern w:val="21"/>
          <w:szCs w:val="21"/>
        </w:rPr>
        <w:fldChar w:fldCharType="end"/>
      </w:r>
      <w:r>
        <w:rPr>
          <w:spacing w:val="-16"/>
          <w:kern w:val="21"/>
          <w:szCs w:val="21"/>
        </w:rPr>
        <w:t>；</w:t>
      </w:r>
      <w:r>
        <w:rPr>
          <w:spacing w:val="-6"/>
          <w:kern w:val="21"/>
          <w:szCs w:val="21"/>
        </w:rPr>
        <w:fldChar w:fldCharType="begin"/>
      </w:r>
      <w:r>
        <w:rPr>
          <w:spacing w:val="-6"/>
          <w:kern w:val="21"/>
          <w:szCs w:val="21"/>
        </w:rPr>
        <w:instrText xml:space="preserve"> = 7 \* GB3 \* MERGEFORMAT </w:instrText>
      </w:r>
      <w:r>
        <w:rPr>
          <w:spacing w:val="-6"/>
          <w:kern w:val="21"/>
          <w:szCs w:val="21"/>
        </w:rPr>
        <w:fldChar w:fldCharType="separate"/>
      </w:r>
      <w:r>
        <w:rPr>
          <w:rFonts w:hint="eastAsia"/>
          <w:szCs w:val="21"/>
        </w:rPr>
        <w:t>⑦</w:t>
      </w:r>
      <w:r>
        <w:rPr>
          <w:spacing w:val="-6"/>
          <w:kern w:val="21"/>
          <w:szCs w:val="21"/>
        </w:rPr>
        <w:fldChar w:fldCharType="end"/>
      </w:r>
      <w:r>
        <w:rPr>
          <w:spacing w:val="-6"/>
          <w:kern w:val="21"/>
          <w:szCs w:val="21"/>
        </w:rPr>
        <w:t>=</w:t>
      </w:r>
      <w:r>
        <w:rPr>
          <w:spacing w:val="-16"/>
          <w:kern w:val="21"/>
          <w:szCs w:val="21"/>
        </w:rPr>
        <w:fldChar w:fldCharType="begin"/>
      </w:r>
      <w:r>
        <w:rPr>
          <w:spacing w:val="-16"/>
          <w:kern w:val="21"/>
          <w:szCs w:val="21"/>
        </w:rPr>
        <w:instrText xml:space="preserve"> = 6 \* GB3 \* MERGEFORMAT </w:instrText>
      </w:r>
      <w:r>
        <w:rPr>
          <w:spacing w:val="-16"/>
          <w:kern w:val="21"/>
          <w:szCs w:val="21"/>
        </w:rPr>
        <w:fldChar w:fldCharType="separate"/>
      </w:r>
      <w:r>
        <w:rPr>
          <w:rFonts w:hint="eastAsia"/>
          <w:szCs w:val="21"/>
        </w:rPr>
        <w:t>⑥</w:t>
      </w:r>
      <w:r>
        <w:rPr>
          <w:spacing w:val="-16"/>
          <w:kern w:val="21"/>
          <w:szCs w:val="21"/>
        </w:rPr>
        <w:fldChar w:fldCharType="end"/>
      </w:r>
      <w:r>
        <w:rPr>
          <w:spacing w:val="-16"/>
          <w:kern w:val="21"/>
          <w:szCs w:val="21"/>
        </w:rPr>
        <w:t>-</w:t>
      </w:r>
      <w:r>
        <w:rPr>
          <w:spacing w:val="-6"/>
          <w:kern w:val="21"/>
          <w:szCs w:val="21"/>
        </w:rPr>
        <w:fldChar w:fldCharType="begin"/>
      </w:r>
      <w:r>
        <w:rPr>
          <w:spacing w:val="-6"/>
          <w:kern w:val="21"/>
          <w:szCs w:val="21"/>
        </w:rPr>
        <w:instrText xml:space="preserve"> = 1 \* GB3 \* MERGEFORMAT </w:instrText>
      </w:r>
      <w:r>
        <w:rPr>
          <w:spacing w:val="-6"/>
          <w:kern w:val="21"/>
          <w:szCs w:val="21"/>
        </w:rPr>
        <w:fldChar w:fldCharType="separate"/>
      </w:r>
      <w:r>
        <w:rPr>
          <w:rFonts w:hint="eastAsia"/>
          <w:szCs w:val="21"/>
        </w:rPr>
        <w:t>①</w:t>
      </w:r>
      <w:r>
        <w:rPr>
          <w:spacing w:val="-6"/>
          <w:kern w:val="21"/>
          <w:szCs w:val="21"/>
        </w:rPr>
        <w:fldChar w:fldCharType="end"/>
      </w:r>
    </w:p>
    <w:p/>
    <w:p/>
    <w:p>
      <w:pPr>
        <w:sectPr>
          <w:pgSz w:w="16838" w:h="11906" w:orient="landscape"/>
          <w:pgMar w:top="1474" w:right="1701" w:bottom="1474" w:left="1418" w:header="851" w:footer="992" w:gutter="0"/>
          <w:cols w:space="425" w:num="1"/>
          <w:titlePg/>
          <w:docGrid w:type="lines" w:linePitch="312" w:charSpace="0"/>
        </w:sectPr>
      </w:pPr>
    </w:p>
    <w:p/>
    <w:p/>
    <w:p/>
    <w:p/>
    <w:p>
      <w:pPr>
        <w:jc w:val="center"/>
        <w:rPr>
          <w:b/>
          <w:bCs/>
          <w:sz w:val="56"/>
          <w:szCs w:val="56"/>
        </w:rPr>
      </w:pPr>
      <w:r>
        <w:rPr>
          <w:rFonts w:hint="eastAsia"/>
          <w:b/>
          <w:bCs/>
          <w:sz w:val="56"/>
          <w:szCs w:val="56"/>
        </w:rPr>
        <w:t>重庆奉节城市运营管理有限公司</w:t>
      </w:r>
    </w:p>
    <w:p>
      <w:pPr>
        <w:rPr>
          <w:b/>
          <w:bCs/>
          <w:sz w:val="56"/>
          <w:szCs w:val="56"/>
        </w:rPr>
      </w:pPr>
    </w:p>
    <w:p>
      <w:pPr>
        <w:jc w:val="center"/>
        <w:rPr>
          <w:b/>
          <w:bCs/>
          <w:sz w:val="56"/>
          <w:szCs w:val="56"/>
        </w:rPr>
      </w:pPr>
    </w:p>
    <w:p>
      <w:pPr>
        <w:jc w:val="center"/>
        <w:rPr>
          <w:b/>
          <w:bCs/>
          <w:sz w:val="56"/>
          <w:szCs w:val="56"/>
        </w:rPr>
      </w:pPr>
      <w:r>
        <w:rPr>
          <w:rFonts w:hint="eastAsia"/>
          <w:b/>
          <w:bCs/>
          <w:sz w:val="56"/>
          <w:szCs w:val="56"/>
        </w:rPr>
        <w:t>高铁生态城新兴产业集聚区</w:t>
      </w:r>
    </w:p>
    <w:p>
      <w:pPr>
        <w:jc w:val="center"/>
        <w:rPr>
          <w:b/>
          <w:bCs/>
          <w:sz w:val="56"/>
          <w:szCs w:val="56"/>
        </w:rPr>
      </w:pPr>
      <w:r>
        <w:rPr>
          <w:rFonts w:hint="eastAsia"/>
          <w:b/>
          <w:bCs/>
          <w:sz w:val="56"/>
          <w:szCs w:val="56"/>
        </w:rPr>
        <w:t>污水处理厂项目</w:t>
      </w:r>
    </w:p>
    <w:p>
      <w:pPr>
        <w:jc w:val="center"/>
        <w:rPr>
          <w:b/>
          <w:bCs/>
          <w:sz w:val="56"/>
          <w:szCs w:val="56"/>
        </w:rPr>
      </w:pPr>
    </w:p>
    <w:p>
      <w:pPr>
        <w:jc w:val="center"/>
        <w:rPr>
          <w:b/>
          <w:bCs/>
          <w:sz w:val="56"/>
          <w:szCs w:val="56"/>
        </w:rPr>
      </w:pPr>
    </w:p>
    <w:p/>
    <w:p>
      <w:pPr>
        <w:jc w:val="center"/>
        <w:rPr>
          <w:sz w:val="56"/>
          <w:szCs w:val="56"/>
        </w:rPr>
      </w:pPr>
      <w:r>
        <w:rPr>
          <w:rFonts w:hint="eastAsia"/>
          <w:sz w:val="56"/>
          <w:szCs w:val="56"/>
        </w:rPr>
        <w:t>环境影响—地表水专项评价</w:t>
      </w:r>
      <w:r>
        <w:rPr>
          <w:sz w:val="56"/>
          <w:szCs w:val="56"/>
        </w:rPr>
        <w:br w:type="page"/>
      </w:r>
    </w:p>
    <w:p>
      <w:pPr>
        <w:pStyle w:val="2"/>
        <w:numPr>
          <w:ilvl w:val="0"/>
          <w:numId w:val="20"/>
        </w:numPr>
        <w:ind w:left="0" w:firstLine="227"/>
      </w:pPr>
      <w:r>
        <w:rPr>
          <w:rFonts w:hint="eastAsia"/>
        </w:rPr>
        <w:t>总则</w:t>
      </w:r>
    </w:p>
    <w:p>
      <w:pPr>
        <w:pStyle w:val="3"/>
        <w:spacing w:before="156" w:after="156"/>
      </w:pPr>
      <w:r>
        <w:rPr>
          <w:rFonts w:hint="eastAsia"/>
        </w:rPr>
        <w:t>任务由来</w:t>
      </w:r>
    </w:p>
    <w:p>
      <w:pPr>
        <w:pStyle w:val="5"/>
        <w:ind w:firstLine="480"/>
      </w:pPr>
      <w:r>
        <w:rPr>
          <w:rFonts w:hint="eastAsia"/>
        </w:rPr>
        <w:t>根据《生态环境部办公厅关于印发〈建设项目环境影响报告表〉内容、格式及编制技术指南的通知》（环办环评〔2020〕33号）表1，本次工程为新建生活污水处理厂，处理规模10000m</w:t>
      </w:r>
      <w:r>
        <w:rPr>
          <w:vertAlign w:val="superscript"/>
        </w:rPr>
        <w:t>3</w:t>
      </w:r>
      <w:r>
        <w:t>/</w:t>
      </w:r>
      <w:r>
        <w:rPr>
          <w:rFonts w:hint="eastAsia"/>
        </w:rPr>
        <w:t>d，处理达标后尾水通排入朱衣河，属于新增废水直排的污水集中处理厂，故设置地表水专项评价。</w:t>
      </w:r>
    </w:p>
    <w:p>
      <w:pPr>
        <w:pStyle w:val="3"/>
        <w:spacing w:before="156" w:after="156"/>
      </w:pPr>
      <w:r>
        <w:rPr>
          <w:rFonts w:hint="eastAsia"/>
        </w:rPr>
        <w:t>基本任务</w:t>
      </w:r>
      <w:r>
        <w:rPr>
          <w:rFonts w:hint="eastAsia"/>
        </w:rPr>
        <w:tab/>
      </w:r>
    </w:p>
    <w:p>
      <w:pPr>
        <w:pStyle w:val="5"/>
        <w:ind w:firstLine="480"/>
      </w:pPr>
      <w:r>
        <w:rPr>
          <w:rFonts w:hint="eastAsia"/>
        </w:rPr>
        <w:t>在调查和分析评价范围地表水环境质量现状与水环境保护目标的基础上，预测和评价建设项目对地表水环境质量、水环境功能区、水功能区或水环境保护目标及水环境控制单元的影响范围与影响程度，提出相应的环境保护措施、环境管理要求与监测计划，明确给出地表水环境影响是否可接受的结论。</w:t>
      </w:r>
    </w:p>
    <w:p>
      <w:pPr>
        <w:pStyle w:val="3"/>
        <w:spacing w:before="156" w:after="156"/>
      </w:pPr>
      <w:r>
        <w:rPr>
          <w:rFonts w:hint="eastAsia"/>
        </w:rPr>
        <w:t>工作程序</w:t>
      </w:r>
    </w:p>
    <w:p>
      <w:pPr>
        <w:pStyle w:val="5"/>
        <w:ind w:firstLine="480"/>
      </w:pPr>
      <w:r>
        <w:rPr>
          <w:rFonts w:hint="eastAsia"/>
        </w:rPr>
        <w:t>地表水环境影响评价的工作程序见图1-1，一般分为三个阶段。</w:t>
      </w:r>
    </w:p>
    <w:p>
      <w:pPr>
        <w:pStyle w:val="5"/>
        <w:ind w:firstLine="480"/>
      </w:pPr>
      <w:r>
        <w:rPr>
          <w:rFonts w:hint="eastAsia"/>
        </w:rPr>
        <w:t>第一阶段，研究有关文件，进行工程方案和环境影响的初步分析，开展区域环境状况的初步调查,明确水环境功能区或水功能区管理要求，识别主要环境影响，确定评价类别。根据不同评价类别，进一步筛选评价因子，确定评价等级与评价范围，明确评价标准、评价重点和水环境保护目标。</w:t>
      </w:r>
    </w:p>
    <w:p>
      <w:pPr>
        <w:pStyle w:val="5"/>
        <w:ind w:firstLine="480"/>
      </w:pPr>
      <w:r>
        <w:rPr>
          <w:rFonts w:hint="eastAsia"/>
        </w:rPr>
        <w:t>第二阶段，根据评价类别、评价等级及评价范围等，开展与地表水环境影响评价相关的污染源、水环境质量现状、水文水资源与水环境保护目标调查与评价，必要时开展补充监测；选择适合的预测模型，开展地表水环境影响预测评价，分析与评价建设项目对地表水环境质量、水文要素及水环境保护目标的影响范围与程度，在此基础上核算建设项目的污染源排放量等。</w:t>
      </w:r>
    </w:p>
    <w:p>
      <w:pPr>
        <w:pStyle w:val="5"/>
        <w:ind w:firstLine="480"/>
      </w:pPr>
      <w:r>
        <w:rPr>
          <w:rFonts w:hint="eastAsia"/>
        </w:rPr>
        <w:t>第三阶段，根据建设项目地表水环境影响预测与评价的结果，制定地表水环境保护措施，开展地表水环境保护措施的有效性评价，编制地表水环境监测计划，给出建设项目污染物排放清单和地表水环境影响评价的结论，完成环境影响评价文件的编写。</w:t>
      </w:r>
    </w:p>
    <w:p>
      <w:pPr>
        <w:pStyle w:val="63"/>
        <w:keepNext/>
      </w:pPr>
      <w:r>
        <w:drawing>
          <wp:inline distT="0" distB="0" distL="0" distR="0">
            <wp:extent cx="4779645" cy="6212205"/>
            <wp:effectExtent l="0" t="0" r="1905" b="0"/>
            <wp:docPr id="1390530131" name="图片 139053013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30131" name="图片 1390530131" descr="图示&#10;&#10;描述已自动生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779645" cy="6212205"/>
                    </a:xfrm>
                    <a:prstGeom prst="rect">
                      <a:avLst/>
                    </a:prstGeom>
                    <a:noFill/>
                  </pic:spPr>
                </pic:pic>
              </a:graphicData>
            </a:graphic>
          </wp:inline>
        </w:drawing>
      </w:r>
    </w:p>
    <w:p>
      <w:pPr>
        <w:pStyle w:val="14"/>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t xml:space="preserve">   </w:t>
      </w:r>
      <w:r>
        <w:rPr>
          <w:rFonts w:hint="eastAsia"/>
        </w:rPr>
        <w:t>地表水环境影响评价工作程序框图</w:t>
      </w:r>
    </w:p>
    <w:p>
      <w:pPr>
        <w:pStyle w:val="3"/>
        <w:spacing w:before="156" w:after="156"/>
      </w:pPr>
      <w:r>
        <w:rPr>
          <w:rFonts w:hint="eastAsia"/>
        </w:rPr>
        <w:t>评价因子筛选</w:t>
      </w:r>
    </w:p>
    <w:p>
      <w:pPr>
        <w:pStyle w:val="5"/>
        <w:ind w:firstLine="480"/>
      </w:pPr>
      <w:r>
        <w:rPr>
          <w:rFonts w:hint="eastAsia"/>
        </w:rPr>
        <w:t>环境质量现状评价因子为</w:t>
      </w:r>
      <w:r>
        <w:t>溶解氧、高锰酸盐指数、COD、BOD</w:t>
      </w:r>
      <w:r>
        <w:rPr>
          <w:vertAlign w:val="subscript"/>
        </w:rPr>
        <w:t>5</w:t>
      </w:r>
      <w:r>
        <w:t>、氨氮、总磷、铜、锌、氟化物、硒、砷、汞、镉、六价铬、铅、氰化物、挥发酚、石油类、阴离子表面活性剂、硫化物、粪大肠菌群、电导率、镍、硫酸盐、氯化物、硝酸盐</w:t>
      </w:r>
      <w:r>
        <w:rPr>
          <w:rFonts w:hint="eastAsia"/>
        </w:rPr>
        <w:t>。</w:t>
      </w:r>
    </w:p>
    <w:p>
      <w:pPr>
        <w:pStyle w:val="5"/>
        <w:ind w:firstLine="480"/>
      </w:pPr>
      <w:r>
        <w:rPr>
          <w:rFonts w:hint="eastAsia"/>
        </w:rPr>
        <w:t>营运期预测和评价因子为COD、氨氮、总磷。</w:t>
      </w:r>
    </w:p>
    <w:p>
      <w:pPr>
        <w:pStyle w:val="3"/>
        <w:spacing w:before="156" w:after="156"/>
      </w:pPr>
      <w:r>
        <w:rPr>
          <w:rFonts w:hint="eastAsia"/>
        </w:rPr>
        <w:t>评价标准</w:t>
      </w:r>
    </w:p>
    <w:p>
      <w:pPr>
        <w:pStyle w:val="4"/>
        <w:spacing w:before="156" w:after="156"/>
        <w:ind w:firstLine="482"/>
      </w:pPr>
      <w:r>
        <w:rPr>
          <w:rFonts w:hint="eastAsia"/>
        </w:rPr>
        <w:t>环境质量标准</w:t>
      </w:r>
    </w:p>
    <w:p>
      <w:pPr>
        <w:pStyle w:val="5"/>
        <w:ind w:firstLine="480"/>
      </w:pPr>
      <w:r>
        <w:rPr>
          <w:rFonts w:hint="eastAsia"/>
        </w:rPr>
        <w:t>根据《重庆市人民政府批转重庆市地表水环境功能类别调整方案的通知》（渝府发〔2012〕4号）的规定，朱衣河全河段水域适用功能类别为</w:t>
      </w:r>
      <w:r>
        <w:rPr>
          <w:rFonts w:hint="eastAsia" w:ascii="宋体" w:hAnsi="宋体"/>
        </w:rPr>
        <w:t>Ⅲ</w:t>
      </w:r>
      <w:r>
        <w:rPr>
          <w:rFonts w:hint="eastAsia"/>
        </w:rPr>
        <w:t>类，项目评价江段位于该范围内，所以项目涉及朱衣河段地表水执行《地表水环境质量标准》（GB3838-2002）Ⅲ类水域标准，标准限值见</w:t>
      </w:r>
      <w:r>
        <w:fldChar w:fldCharType="begin"/>
      </w:r>
      <w:r>
        <w:instrText xml:space="preserve"> </w:instrText>
      </w:r>
      <w:r>
        <w:rPr>
          <w:rFonts w:hint="eastAsia"/>
        </w:rPr>
        <w:instrText xml:space="preserve">REF _Ref26189527 \h</w:instrText>
      </w:r>
      <w:r>
        <w:instrText xml:space="preserve">  \* MERGEFORMAT </w:instrText>
      </w:r>
      <w:r>
        <w:fldChar w:fldCharType="separate"/>
      </w:r>
      <w:r>
        <w:rPr>
          <w:rFonts w:hint="eastAsia"/>
        </w:rPr>
        <w:t xml:space="preserve">表 </w:t>
      </w:r>
      <w:r>
        <w:t>1.5</w:t>
      </w:r>
      <w:r>
        <w:noBreakHyphen/>
      </w:r>
      <w:r>
        <w:t>1</w:t>
      </w:r>
      <w:r>
        <w:fldChar w:fldCharType="end"/>
      </w:r>
      <w:r>
        <w:rPr>
          <w:rFonts w:hint="eastAsia"/>
        </w:rPr>
        <w:t>。</w:t>
      </w:r>
    </w:p>
    <w:p>
      <w:pPr>
        <w:pStyle w:val="14"/>
        <w:keepNext/>
      </w:pPr>
      <w:bookmarkStart w:id="99" w:name="_Ref26189527"/>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99"/>
      <w:r>
        <w:rPr>
          <w:rFonts w:hint="eastAsia"/>
        </w:rPr>
        <w:t xml:space="preserve">   地表水环境质量标准（摘录）  </w:t>
      </w:r>
      <w:r>
        <w:t>mg/L</w:t>
      </w:r>
    </w:p>
    <w:tbl>
      <w:tblPr>
        <w:tblStyle w:val="38"/>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2423"/>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73" w:type="dxa"/>
            <w:vAlign w:val="center"/>
          </w:tcPr>
          <w:p>
            <w:pPr>
              <w:pStyle w:val="63"/>
            </w:pPr>
            <w:r>
              <w:t>污染物名称</w:t>
            </w:r>
          </w:p>
        </w:tc>
        <w:tc>
          <w:tcPr>
            <w:tcW w:w="2423" w:type="dxa"/>
            <w:vAlign w:val="center"/>
          </w:tcPr>
          <w:p>
            <w:pPr>
              <w:pStyle w:val="63"/>
            </w:pPr>
            <w:r>
              <w:t>标准值</w:t>
            </w:r>
          </w:p>
        </w:tc>
        <w:tc>
          <w:tcPr>
            <w:tcW w:w="3976" w:type="dxa"/>
            <w:vAlign w:val="center"/>
          </w:tcPr>
          <w:p>
            <w:pPr>
              <w:pStyle w:val="63"/>
            </w:pPr>
            <w: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73" w:type="dxa"/>
            <w:vAlign w:val="center"/>
          </w:tcPr>
          <w:p>
            <w:pPr>
              <w:pStyle w:val="63"/>
            </w:pPr>
            <w:r>
              <w:t>pH</w:t>
            </w:r>
          </w:p>
        </w:tc>
        <w:tc>
          <w:tcPr>
            <w:tcW w:w="2423" w:type="dxa"/>
            <w:vAlign w:val="center"/>
          </w:tcPr>
          <w:p>
            <w:pPr>
              <w:pStyle w:val="63"/>
            </w:pPr>
            <w:r>
              <w:t>6～9</w:t>
            </w:r>
            <w:r>
              <w:rPr>
                <w:rFonts w:hint="eastAsia"/>
              </w:rPr>
              <w:t>（无量纲）</w:t>
            </w:r>
          </w:p>
        </w:tc>
        <w:tc>
          <w:tcPr>
            <w:tcW w:w="3976" w:type="dxa"/>
            <w:vMerge w:val="restart"/>
            <w:vAlign w:val="center"/>
          </w:tcPr>
          <w:p>
            <w:pPr>
              <w:pStyle w:val="63"/>
            </w:pPr>
            <w:r>
              <w:t>《地表水环境质量标准》</w:t>
            </w:r>
            <w:r>
              <w:rPr>
                <w:rFonts w:hint="eastAsia"/>
              </w:rPr>
              <w:t>（</w:t>
            </w:r>
            <w:r>
              <w:t>GB3838-2002</w:t>
            </w:r>
            <w:r>
              <w:rPr>
                <w:rFonts w:hint="eastAsia"/>
              </w:rPr>
              <w:t>）</w:t>
            </w:r>
            <w:r>
              <w:t>的</w:t>
            </w:r>
            <w:r>
              <w:rPr>
                <w:rFonts w:hint="eastAsia" w:ascii="宋体" w:hAnsi="宋体" w:cs="宋体"/>
              </w:rPr>
              <w:t>Ⅲ</w:t>
            </w:r>
            <w:r>
              <w:t>类水域标准中表1“地表水环境质量标准基本项目标准限值”。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73" w:type="dxa"/>
            <w:vAlign w:val="center"/>
          </w:tcPr>
          <w:p>
            <w:pPr>
              <w:pStyle w:val="63"/>
            </w:pPr>
            <w:r>
              <w:t>COD</w:t>
            </w:r>
          </w:p>
        </w:tc>
        <w:tc>
          <w:tcPr>
            <w:tcW w:w="2423" w:type="dxa"/>
            <w:vAlign w:val="center"/>
          </w:tcPr>
          <w:p>
            <w:pPr>
              <w:pStyle w:val="63"/>
            </w:pPr>
            <w:r>
              <w:t>20</w:t>
            </w:r>
          </w:p>
        </w:tc>
        <w:tc>
          <w:tcPr>
            <w:tcW w:w="3976"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73" w:type="dxa"/>
            <w:vAlign w:val="center"/>
          </w:tcPr>
          <w:p>
            <w:pPr>
              <w:pStyle w:val="63"/>
            </w:pPr>
            <w:r>
              <w:t>BOD</w:t>
            </w:r>
            <w:r>
              <w:rPr>
                <w:vertAlign w:val="subscript"/>
              </w:rPr>
              <w:t>5</w:t>
            </w:r>
          </w:p>
        </w:tc>
        <w:tc>
          <w:tcPr>
            <w:tcW w:w="2423" w:type="dxa"/>
            <w:vAlign w:val="center"/>
          </w:tcPr>
          <w:p>
            <w:pPr>
              <w:pStyle w:val="63"/>
            </w:pPr>
            <w:r>
              <w:t>4</w:t>
            </w:r>
          </w:p>
        </w:tc>
        <w:tc>
          <w:tcPr>
            <w:tcW w:w="3976"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73" w:type="dxa"/>
            <w:vAlign w:val="center"/>
          </w:tcPr>
          <w:p>
            <w:pPr>
              <w:pStyle w:val="63"/>
            </w:pPr>
            <w:r>
              <w:t>氨氮</w:t>
            </w:r>
          </w:p>
        </w:tc>
        <w:tc>
          <w:tcPr>
            <w:tcW w:w="2423" w:type="dxa"/>
            <w:vAlign w:val="center"/>
          </w:tcPr>
          <w:p>
            <w:pPr>
              <w:pStyle w:val="63"/>
            </w:pPr>
            <w:r>
              <w:rPr>
                <w:rFonts w:hint="eastAsia"/>
              </w:rPr>
              <w:t>1.0</w:t>
            </w:r>
          </w:p>
        </w:tc>
        <w:tc>
          <w:tcPr>
            <w:tcW w:w="3976"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73" w:type="dxa"/>
            <w:vAlign w:val="center"/>
          </w:tcPr>
          <w:p>
            <w:pPr>
              <w:pStyle w:val="63"/>
            </w:pPr>
            <w:r>
              <w:rPr>
                <w:rFonts w:hint="eastAsia"/>
              </w:rPr>
              <w:t>总磷（以P计）</w:t>
            </w:r>
          </w:p>
        </w:tc>
        <w:tc>
          <w:tcPr>
            <w:tcW w:w="2423" w:type="dxa"/>
            <w:vAlign w:val="center"/>
          </w:tcPr>
          <w:p>
            <w:pPr>
              <w:pStyle w:val="63"/>
            </w:pPr>
            <w:r>
              <w:rPr>
                <w:rFonts w:hint="eastAsia"/>
              </w:rPr>
              <w:t>0.2</w:t>
            </w:r>
          </w:p>
        </w:tc>
        <w:tc>
          <w:tcPr>
            <w:tcW w:w="3976"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73" w:type="dxa"/>
            <w:vAlign w:val="center"/>
          </w:tcPr>
          <w:p>
            <w:pPr>
              <w:pStyle w:val="63"/>
            </w:pPr>
            <w:r>
              <w:t>石油类</w:t>
            </w:r>
          </w:p>
        </w:tc>
        <w:tc>
          <w:tcPr>
            <w:tcW w:w="2423" w:type="dxa"/>
            <w:vAlign w:val="center"/>
          </w:tcPr>
          <w:p>
            <w:pPr>
              <w:pStyle w:val="63"/>
            </w:pPr>
            <w:r>
              <w:t>0.05</w:t>
            </w:r>
          </w:p>
        </w:tc>
        <w:tc>
          <w:tcPr>
            <w:tcW w:w="3976"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73" w:type="dxa"/>
            <w:vAlign w:val="center"/>
          </w:tcPr>
          <w:p>
            <w:pPr>
              <w:pStyle w:val="63"/>
            </w:pPr>
            <w:r>
              <w:rPr>
                <w:rFonts w:hint="eastAsia"/>
              </w:rPr>
              <w:t>阴离子表面活性剂</w:t>
            </w:r>
          </w:p>
        </w:tc>
        <w:tc>
          <w:tcPr>
            <w:tcW w:w="2423" w:type="dxa"/>
            <w:vAlign w:val="center"/>
          </w:tcPr>
          <w:p>
            <w:pPr>
              <w:pStyle w:val="63"/>
            </w:pPr>
            <w:r>
              <w:rPr>
                <w:rFonts w:hint="eastAsia"/>
              </w:rPr>
              <w:t>0.2</w:t>
            </w:r>
          </w:p>
        </w:tc>
        <w:tc>
          <w:tcPr>
            <w:tcW w:w="3976"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673" w:type="dxa"/>
            <w:vAlign w:val="center"/>
          </w:tcPr>
          <w:p>
            <w:pPr>
              <w:pStyle w:val="63"/>
            </w:pPr>
            <w:r>
              <w:rPr>
                <w:rFonts w:hint="eastAsia"/>
              </w:rPr>
              <w:t>挥发酚</w:t>
            </w:r>
          </w:p>
        </w:tc>
        <w:tc>
          <w:tcPr>
            <w:tcW w:w="2423" w:type="dxa"/>
            <w:vAlign w:val="center"/>
          </w:tcPr>
          <w:p>
            <w:pPr>
              <w:pStyle w:val="63"/>
            </w:pPr>
            <w:r>
              <w:rPr>
                <w:rFonts w:hint="eastAsia"/>
              </w:rPr>
              <w:t>0.005</w:t>
            </w:r>
          </w:p>
        </w:tc>
        <w:tc>
          <w:tcPr>
            <w:tcW w:w="3976" w:type="dxa"/>
            <w:vMerge w:val="continue"/>
            <w:vAlign w:val="center"/>
          </w:tcPr>
          <w:p>
            <w:pPr>
              <w:pStyle w:val="63"/>
            </w:pPr>
          </w:p>
        </w:tc>
      </w:tr>
    </w:tbl>
    <w:p>
      <w:pPr>
        <w:pStyle w:val="63"/>
      </w:pPr>
    </w:p>
    <w:p>
      <w:pPr>
        <w:pStyle w:val="4"/>
        <w:spacing w:before="156" w:after="156"/>
        <w:ind w:firstLine="482"/>
      </w:pPr>
      <w:r>
        <w:rPr>
          <w:rFonts w:hint="eastAsia"/>
        </w:rPr>
        <w:t>排放标准</w:t>
      </w:r>
    </w:p>
    <w:p>
      <w:pPr>
        <w:pStyle w:val="5"/>
        <w:ind w:firstLine="480"/>
      </w:pPr>
      <w:r>
        <w:rPr>
          <w:rFonts w:hint="eastAsia"/>
        </w:rPr>
        <w:t>根据项目方案设计和备案证，项目出水水质执行《城镇污水处理厂污染物排放标准》（GB18918-2002）一级A标准，尾水处理达标后排入朱衣河，具体标准值见</w:t>
      </w:r>
      <w:r>
        <w:fldChar w:fldCharType="begin"/>
      </w:r>
      <w:r>
        <w:instrText xml:space="preserve"> </w:instrText>
      </w:r>
      <w:r>
        <w:rPr>
          <w:rFonts w:hint="eastAsia"/>
        </w:rPr>
        <w:instrText xml:space="preserve">REF _Ref169018316 \h</w:instrText>
      </w:r>
      <w:r>
        <w:instrText xml:space="preserve"> </w:instrText>
      </w:r>
      <w:r>
        <w:fldChar w:fldCharType="separate"/>
      </w:r>
      <w:r>
        <w:rPr>
          <w:rFonts w:hint="eastAsia"/>
        </w:rPr>
        <w:t xml:space="preserve">表 </w:t>
      </w:r>
      <w:r>
        <w:t>3.3</w:t>
      </w:r>
      <w:r>
        <w:noBreakHyphen/>
      </w:r>
      <w:r>
        <w:t>3</w:t>
      </w:r>
      <w:r>
        <w:fldChar w:fldCharType="end"/>
      </w:r>
      <w:r>
        <w:rPr>
          <w:rFonts w:hint="eastAsia"/>
        </w:rPr>
        <w:t>。</w:t>
      </w:r>
    </w:p>
    <w:p>
      <w:pPr>
        <w:pStyle w:val="14"/>
        <w:keepNext/>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 xml:space="preserve">   《城镇污水处理厂污染物排放标准》一级A标准(摘录)  mg/L</w:t>
      </w:r>
    </w:p>
    <w:tbl>
      <w:tblPr>
        <w:tblStyle w:val="3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692"/>
        <w:gridCol w:w="340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rPr>
                <w:szCs w:val="21"/>
              </w:rPr>
            </w:pPr>
            <w:r>
              <w:t>序号</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基本控制项目</w:t>
            </w:r>
          </w:p>
        </w:tc>
        <w:tc>
          <w:tcPr>
            <w:tcW w:w="3404" w:type="dxa"/>
            <w:tcBorders>
              <w:top w:val="single" w:color="auto" w:sz="4" w:space="0"/>
              <w:left w:val="single" w:color="auto" w:sz="4" w:space="0"/>
              <w:bottom w:val="single" w:color="auto" w:sz="4" w:space="0"/>
              <w:right w:val="single" w:color="auto" w:sz="4" w:space="0"/>
            </w:tcBorders>
            <w:vAlign w:val="center"/>
          </w:tcPr>
          <w:p>
            <w:pPr>
              <w:pStyle w:val="63"/>
            </w:pPr>
            <w:r>
              <w:t>执行标准</w:t>
            </w: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1</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pH</w:t>
            </w:r>
          </w:p>
        </w:tc>
        <w:tc>
          <w:tcPr>
            <w:tcW w:w="3404" w:type="dxa"/>
            <w:vMerge w:val="restart"/>
            <w:tcBorders>
              <w:top w:val="nil"/>
              <w:left w:val="single" w:color="auto" w:sz="4" w:space="0"/>
              <w:bottom w:val="single" w:color="auto" w:sz="4" w:space="0"/>
              <w:right w:val="single" w:color="auto" w:sz="4" w:space="0"/>
            </w:tcBorders>
            <w:vAlign w:val="center"/>
          </w:tcPr>
          <w:p>
            <w:pPr>
              <w:pStyle w:val="63"/>
            </w:pPr>
            <w:r>
              <w:t>《城镇污水处理厂污染物排放标准》（GB18918-2002）一级A标准</w:t>
            </w: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2</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COD</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3</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BOD</w:t>
            </w:r>
            <w:r>
              <w:rPr>
                <w:vertAlign w:val="subscript"/>
              </w:rPr>
              <w:t>5</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4</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NH</w:t>
            </w:r>
            <w:r>
              <w:rPr>
                <w:vertAlign w:val="subscript"/>
              </w:rPr>
              <w:t>3</w:t>
            </w:r>
            <w:r>
              <w:t>-N</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5</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总磷</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6</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总氮</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7</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石油类</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8</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SS</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9</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阴离子表面活性剂</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10</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动植物油</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11</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色度（稀释倍数）</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46" w:type="dxa"/>
            <w:tcBorders>
              <w:top w:val="single" w:color="auto" w:sz="4" w:space="0"/>
              <w:left w:val="single" w:color="auto" w:sz="4" w:space="0"/>
              <w:bottom w:val="single" w:color="auto" w:sz="4" w:space="0"/>
              <w:right w:val="single" w:color="auto" w:sz="4" w:space="0"/>
            </w:tcBorders>
            <w:vAlign w:val="center"/>
          </w:tcPr>
          <w:p>
            <w:pPr>
              <w:pStyle w:val="63"/>
            </w:pPr>
            <w:r>
              <w:t>12</w:t>
            </w:r>
          </w:p>
        </w:tc>
        <w:tc>
          <w:tcPr>
            <w:tcW w:w="2692" w:type="dxa"/>
            <w:tcBorders>
              <w:top w:val="single" w:color="auto" w:sz="4" w:space="0"/>
              <w:left w:val="single" w:color="auto" w:sz="4" w:space="0"/>
              <w:bottom w:val="single" w:color="auto" w:sz="4" w:space="0"/>
              <w:right w:val="single" w:color="auto" w:sz="4" w:space="0"/>
            </w:tcBorders>
            <w:vAlign w:val="center"/>
          </w:tcPr>
          <w:p>
            <w:pPr>
              <w:pStyle w:val="63"/>
            </w:pPr>
            <w:r>
              <w:t>粪大肠菌群数（个/L）</w:t>
            </w:r>
          </w:p>
        </w:tc>
        <w:tc>
          <w:tcPr>
            <w:tcW w:w="3404" w:type="dxa"/>
            <w:vMerge w:val="continue"/>
            <w:tcBorders>
              <w:top w:val="nil"/>
              <w:left w:val="single" w:color="auto" w:sz="4" w:space="0"/>
              <w:bottom w:val="single" w:color="auto" w:sz="4" w:space="0"/>
              <w:right w:val="single" w:color="auto" w:sz="4" w:space="0"/>
            </w:tcBorders>
            <w:vAlign w:val="center"/>
          </w:tcPr>
          <w:p>
            <w:pPr>
              <w:pStyle w:val="63"/>
              <w:rPr>
                <w:szCs w:val="21"/>
              </w:rPr>
            </w:pPr>
          </w:p>
        </w:tc>
        <w:tc>
          <w:tcPr>
            <w:tcW w:w="2006" w:type="dxa"/>
            <w:tcBorders>
              <w:top w:val="single" w:color="auto" w:sz="4" w:space="0"/>
              <w:left w:val="single" w:color="auto" w:sz="4" w:space="0"/>
              <w:bottom w:val="single" w:color="auto" w:sz="4" w:space="0"/>
              <w:right w:val="single" w:color="auto" w:sz="4" w:space="0"/>
            </w:tcBorders>
            <w:vAlign w:val="center"/>
          </w:tcPr>
          <w:p>
            <w:pPr>
              <w:pStyle w:val="63"/>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948" w:type="dxa"/>
            <w:gridSpan w:val="4"/>
            <w:tcBorders>
              <w:top w:val="single" w:color="auto" w:sz="4" w:space="0"/>
              <w:left w:val="single" w:color="auto" w:sz="4" w:space="0"/>
              <w:bottom w:val="single" w:color="auto" w:sz="4" w:space="0"/>
              <w:right w:val="single" w:color="auto" w:sz="4" w:space="0"/>
            </w:tcBorders>
            <w:vAlign w:val="center"/>
          </w:tcPr>
          <w:p>
            <w:pPr>
              <w:pStyle w:val="64"/>
            </w:pPr>
            <w:r>
              <w:rPr>
                <w:rFonts w:hint="eastAsia"/>
              </w:rPr>
              <w:t>*备注：括号外数值为水温&gt;12℃时的控制指标，括号内数值为水温≤12℃时的控制指标。</w:t>
            </w:r>
          </w:p>
        </w:tc>
      </w:tr>
    </w:tbl>
    <w:p/>
    <w:p>
      <w:pPr>
        <w:pStyle w:val="3"/>
        <w:spacing w:before="156" w:after="156"/>
      </w:pPr>
      <w:r>
        <w:rPr>
          <w:rFonts w:hint="eastAsia"/>
        </w:rPr>
        <w:t>评价等级</w:t>
      </w:r>
    </w:p>
    <w:p>
      <w:pPr>
        <w:pStyle w:val="5"/>
        <w:ind w:firstLine="480"/>
        <w:rPr>
          <w:rFonts w:cs="Times New Roman"/>
        </w:rPr>
      </w:pPr>
      <w:r>
        <w:rPr>
          <w:rFonts w:cs="Times New Roman"/>
        </w:rPr>
        <w:t>根据《环境影响评价技术导则 地表水环境》（HJ 2.3-2018），地表水环境影响评价划分为水污染影响型、水文要素型以及两者兼有的复合型。</w:t>
      </w:r>
      <w:r>
        <w:rPr>
          <w:rFonts w:hint="eastAsia" w:cs="Times New Roman"/>
        </w:rPr>
        <w:t>本项目为污水处理厂，属于水污染影响型</w:t>
      </w:r>
      <w:r>
        <w:rPr>
          <w:rFonts w:hint="eastAsia"/>
        </w:rPr>
        <w:t>，根据废水排放方式和排放量划分等级。</w:t>
      </w:r>
    </w:p>
    <w:p>
      <w:pPr>
        <w:pStyle w:val="5"/>
        <w:ind w:firstLine="480"/>
        <w:rPr>
          <w:rFonts w:cs="Times New Roman"/>
        </w:rPr>
      </w:pPr>
      <w:r>
        <w:rPr>
          <w:rFonts w:hint="eastAsia" w:cs="Times New Roman"/>
        </w:rPr>
        <w:t>项目收集污水范围为</w:t>
      </w:r>
      <w:r>
        <w:rPr>
          <w:rFonts w:hint="eastAsia"/>
        </w:rPr>
        <w:t>高铁生态城新兴产业集聚区及集聚区外居民区，</w:t>
      </w:r>
      <w:r>
        <w:rPr>
          <w:rFonts w:hint="eastAsia" w:cs="Times New Roman"/>
        </w:rPr>
        <w:t>废水类型为入驻企业工业废水和居民生活污水。根据《高铁生态城新兴产业集聚区控制性详细规划编制》，主导产业为饮料制造、农副食品加工、眼镜及眼健康产品制造，根据《重庆市奉节县高铁生态城新兴产业集聚区控制性详细规划环境影响报告书》（在编）眼镜及眼健康产品制造工艺为</w:t>
      </w:r>
      <w:r>
        <w:rPr>
          <w:rFonts w:hint="eastAsia"/>
        </w:rPr>
        <w:t>镜圈生产、镜腿生产、组装、超声波洗架、喷漆、移印刻字、装片、包装等，不涉及表面处理，所以</w:t>
      </w:r>
      <w:r>
        <w:rPr>
          <w:rFonts w:hint="eastAsia" w:cs="Times New Roman"/>
        </w:rPr>
        <w:t>集聚区不涉及重金属排放，废水主要特征污染因子为CODcr、BOD</w:t>
      </w:r>
      <w:r>
        <w:rPr>
          <w:rFonts w:hint="eastAsia" w:cs="Times New Roman"/>
          <w:vertAlign w:val="subscript"/>
        </w:rPr>
        <w:t>5</w:t>
      </w:r>
      <w:r>
        <w:rPr>
          <w:rFonts w:hint="eastAsia" w:cs="Times New Roman"/>
        </w:rPr>
        <w:t>、SS、NH</w:t>
      </w:r>
      <w:r>
        <w:rPr>
          <w:rFonts w:hint="eastAsia" w:cs="Times New Roman"/>
          <w:vertAlign w:val="subscript"/>
        </w:rPr>
        <w:t>3</w:t>
      </w:r>
      <w:r>
        <w:rPr>
          <w:rFonts w:hint="eastAsia" w:cs="Times New Roman"/>
        </w:rPr>
        <w:t>-N、TN、TP、pH、动植物油、石油类，所以项目不涉及《污水综合排放标准》(GB 8978-1996)中第一类污染物。</w:t>
      </w:r>
    </w:p>
    <w:p>
      <w:pPr>
        <w:pStyle w:val="5"/>
        <w:ind w:firstLine="480"/>
        <w:rPr>
          <w:rFonts w:cs="Times New Roman"/>
          <w:szCs w:val="20"/>
        </w:rPr>
      </w:pPr>
      <w:r>
        <w:rPr>
          <w:rFonts w:hint="eastAsia" w:cs="Times New Roman"/>
          <w:szCs w:val="20"/>
        </w:rPr>
        <w:t>项目处理规模10</w:t>
      </w:r>
      <w:r>
        <w:rPr>
          <w:rFonts w:cs="Times New Roman"/>
          <w:szCs w:val="20"/>
        </w:rPr>
        <w:t>0</w:t>
      </w:r>
      <w:r>
        <w:rPr>
          <w:rFonts w:hint="eastAsia" w:cs="Times New Roman"/>
          <w:szCs w:val="20"/>
        </w:rPr>
        <w:t>0</w:t>
      </w:r>
      <w:r>
        <w:rPr>
          <w:rFonts w:cs="Times New Roman"/>
          <w:szCs w:val="20"/>
        </w:rPr>
        <w:t>0</w:t>
      </w:r>
      <w:r>
        <w:rPr>
          <w:rFonts w:hint="eastAsia" w:cs="Times New Roman"/>
          <w:szCs w:val="20"/>
        </w:rPr>
        <w:t>m</w:t>
      </w:r>
      <w:r>
        <w:rPr>
          <w:rFonts w:hint="eastAsia" w:cs="Times New Roman"/>
          <w:szCs w:val="20"/>
          <w:vertAlign w:val="superscript"/>
        </w:rPr>
        <w:t>3</w:t>
      </w:r>
      <w:r>
        <w:rPr>
          <w:rFonts w:cs="Times New Roman"/>
          <w:szCs w:val="20"/>
        </w:rPr>
        <w:t>/</w:t>
      </w:r>
      <w:r>
        <w:rPr>
          <w:rFonts w:hint="eastAsia" w:cs="Times New Roman"/>
          <w:szCs w:val="20"/>
        </w:rPr>
        <w:t>d，水污染当量数计算见</w:t>
      </w:r>
      <w:r>
        <w:rPr>
          <w:rFonts w:cs="Times New Roman"/>
          <w:szCs w:val="20"/>
        </w:rPr>
        <w:fldChar w:fldCharType="begin"/>
      </w:r>
      <w:r>
        <w:rPr>
          <w:rFonts w:cs="Times New Roman"/>
          <w:szCs w:val="20"/>
        </w:rPr>
        <w:instrText xml:space="preserve"> </w:instrText>
      </w:r>
      <w:r>
        <w:rPr>
          <w:rFonts w:hint="eastAsia" w:cs="Times New Roman"/>
          <w:szCs w:val="20"/>
        </w:rPr>
        <w:instrText xml:space="preserve">REF _Ref169528946 \h</w:instrText>
      </w:r>
      <w:r>
        <w:rPr>
          <w:rFonts w:cs="Times New Roman"/>
          <w:szCs w:val="20"/>
        </w:rPr>
        <w:instrText xml:space="preserve"> </w:instrText>
      </w:r>
      <w:r>
        <w:rPr>
          <w:rFonts w:cs="Times New Roman"/>
          <w:szCs w:val="20"/>
        </w:rPr>
        <w:fldChar w:fldCharType="separate"/>
      </w:r>
      <w:r>
        <w:rPr>
          <w:rFonts w:hint="eastAsia"/>
        </w:rPr>
        <w:t xml:space="preserve">表 </w:t>
      </w:r>
      <w:r>
        <w:t>1.6</w:t>
      </w:r>
      <w:r>
        <w:noBreakHyphen/>
      </w:r>
      <w:r>
        <w:t>1</w:t>
      </w:r>
      <w:r>
        <w:rPr>
          <w:rFonts w:cs="Times New Roman"/>
          <w:szCs w:val="20"/>
        </w:rPr>
        <w:fldChar w:fldCharType="end"/>
      </w:r>
      <w:r>
        <w:rPr>
          <w:rFonts w:hint="eastAsia" w:cs="Times New Roman"/>
          <w:szCs w:val="20"/>
        </w:rPr>
        <w:t>，根据下表可知，最大当量数污染物为</w:t>
      </w:r>
      <w:r>
        <w:rPr>
          <w:rFonts w:cs="Times New Roman"/>
          <w:szCs w:val="20"/>
        </w:rPr>
        <w:t>COD</w:t>
      </w:r>
      <w:r>
        <w:rPr>
          <w:rFonts w:hint="eastAsia" w:cs="Times New Roman"/>
          <w:szCs w:val="20"/>
        </w:rPr>
        <w:t>，数值为182500。</w:t>
      </w:r>
    </w:p>
    <w:p>
      <w:pPr>
        <w:pStyle w:val="14"/>
        <w:keepNext/>
      </w:pPr>
      <w:bookmarkStart w:id="100" w:name="_Ref169528946"/>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00"/>
      <w:r>
        <w:rPr>
          <w:rFonts w:hint="eastAsia"/>
        </w:rPr>
        <w:t xml:space="preserve">   项目水污染当量数计算表</w:t>
      </w:r>
    </w:p>
    <w:tbl>
      <w:tblPr>
        <w:tblStyle w:val="3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643"/>
        <w:gridCol w:w="1290"/>
        <w:gridCol w:w="2094"/>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25" w:type="dxa"/>
            <w:shd w:val="clear" w:color="auto" w:fill="auto"/>
            <w:noWrap/>
            <w:vAlign w:val="bottom"/>
          </w:tcPr>
          <w:p>
            <w:pPr>
              <w:pStyle w:val="63"/>
            </w:pPr>
            <w:r>
              <w:rPr>
                <w:rFonts w:hint="eastAsia"/>
              </w:rPr>
              <w:t>污染物</w:t>
            </w:r>
          </w:p>
        </w:tc>
        <w:tc>
          <w:tcPr>
            <w:tcW w:w="1643" w:type="dxa"/>
            <w:shd w:val="clear" w:color="auto" w:fill="auto"/>
            <w:noWrap/>
            <w:vAlign w:val="bottom"/>
          </w:tcPr>
          <w:p>
            <w:pPr>
              <w:pStyle w:val="63"/>
            </w:pPr>
            <w:r>
              <w:rPr>
                <w:rFonts w:hint="eastAsia"/>
              </w:rPr>
              <w:t>排放浓度mg/L</w:t>
            </w:r>
          </w:p>
        </w:tc>
        <w:tc>
          <w:tcPr>
            <w:tcW w:w="1290" w:type="dxa"/>
            <w:shd w:val="clear" w:color="auto" w:fill="auto"/>
            <w:noWrap/>
            <w:vAlign w:val="bottom"/>
          </w:tcPr>
          <w:p>
            <w:pPr>
              <w:pStyle w:val="63"/>
            </w:pPr>
            <w:r>
              <w:rPr>
                <w:rFonts w:hint="eastAsia"/>
              </w:rPr>
              <w:t>排放量kg/a</w:t>
            </w:r>
          </w:p>
        </w:tc>
        <w:tc>
          <w:tcPr>
            <w:tcW w:w="2094" w:type="dxa"/>
            <w:shd w:val="clear" w:color="auto" w:fill="auto"/>
            <w:noWrap/>
            <w:vAlign w:val="bottom"/>
          </w:tcPr>
          <w:p>
            <w:pPr>
              <w:pStyle w:val="63"/>
            </w:pPr>
            <w:r>
              <w:rPr>
                <w:rFonts w:hint="eastAsia"/>
              </w:rPr>
              <w:t>单量转换当量值/kg</w:t>
            </w:r>
          </w:p>
        </w:tc>
        <w:tc>
          <w:tcPr>
            <w:tcW w:w="1896" w:type="dxa"/>
            <w:shd w:val="clear" w:color="auto" w:fill="auto"/>
            <w:noWrap/>
            <w:vAlign w:val="bottom"/>
          </w:tcPr>
          <w:p>
            <w:pPr>
              <w:pStyle w:val="63"/>
            </w:pPr>
            <w:r>
              <w:rPr>
                <w:rFonts w:hint="eastAsia"/>
              </w:rPr>
              <w:t>单量数（量纲一）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25" w:type="dxa"/>
            <w:shd w:val="clear" w:color="auto" w:fill="auto"/>
            <w:noWrap/>
          </w:tcPr>
          <w:p>
            <w:pPr>
              <w:pStyle w:val="63"/>
            </w:pPr>
            <w:r>
              <w:t>COD</w:t>
            </w:r>
          </w:p>
        </w:tc>
        <w:tc>
          <w:tcPr>
            <w:tcW w:w="1643" w:type="dxa"/>
            <w:shd w:val="clear" w:color="auto" w:fill="auto"/>
            <w:noWrap/>
          </w:tcPr>
          <w:p>
            <w:pPr>
              <w:pStyle w:val="63"/>
            </w:pPr>
            <w:r>
              <w:t>50</w:t>
            </w:r>
          </w:p>
        </w:tc>
        <w:tc>
          <w:tcPr>
            <w:tcW w:w="1290" w:type="dxa"/>
            <w:shd w:val="clear" w:color="auto" w:fill="auto"/>
            <w:noWrap/>
          </w:tcPr>
          <w:p>
            <w:pPr>
              <w:pStyle w:val="63"/>
            </w:pPr>
            <w:r>
              <w:t>182500</w:t>
            </w:r>
          </w:p>
        </w:tc>
        <w:tc>
          <w:tcPr>
            <w:tcW w:w="2094" w:type="dxa"/>
            <w:shd w:val="clear" w:color="auto" w:fill="auto"/>
            <w:noWrap/>
          </w:tcPr>
          <w:p>
            <w:pPr>
              <w:pStyle w:val="63"/>
            </w:pPr>
            <w:r>
              <w:t>1</w:t>
            </w:r>
          </w:p>
        </w:tc>
        <w:tc>
          <w:tcPr>
            <w:tcW w:w="1896" w:type="dxa"/>
            <w:shd w:val="clear" w:color="auto" w:fill="auto"/>
            <w:noWrap/>
          </w:tcPr>
          <w:p>
            <w:pPr>
              <w:pStyle w:val="63"/>
            </w:pPr>
            <w:r>
              <w:t>182500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25" w:type="dxa"/>
            <w:shd w:val="clear" w:color="auto" w:fill="auto"/>
            <w:noWrap/>
          </w:tcPr>
          <w:p>
            <w:pPr>
              <w:pStyle w:val="63"/>
            </w:pPr>
            <w:r>
              <w:t>BOD</w:t>
            </w:r>
            <w:r>
              <w:rPr>
                <w:vertAlign w:val="subscript"/>
              </w:rPr>
              <w:t>5</w:t>
            </w:r>
          </w:p>
        </w:tc>
        <w:tc>
          <w:tcPr>
            <w:tcW w:w="1643" w:type="dxa"/>
            <w:shd w:val="clear" w:color="auto" w:fill="auto"/>
            <w:noWrap/>
          </w:tcPr>
          <w:p>
            <w:pPr>
              <w:pStyle w:val="63"/>
            </w:pPr>
            <w:r>
              <w:t>10</w:t>
            </w:r>
          </w:p>
        </w:tc>
        <w:tc>
          <w:tcPr>
            <w:tcW w:w="1290" w:type="dxa"/>
            <w:shd w:val="clear" w:color="auto" w:fill="auto"/>
            <w:noWrap/>
          </w:tcPr>
          <w:p>
            <w:pPr>
              <w:pStyle w:val="63"/>
            </w:pPr>
            <w:r>
              <w:t>36500</w:t>
            </w:r>
          </w:p>
        </w:tc>
        <w:tc>
          <w:tcPr>
            <w:tcW w:w="2094" w:type="dxa"/>
            <w:shd w:val="clear" w:color="auto" w:fill="auto"/>
            <w:noWrap/>
          </w:tcPr>
          <w:p>
            <w:pPr>
              <w:pStyle w:val="63"/>
            </w:pPr>
            <w:r>
              <w:t>0.5</w:t>
            </w:r>
          </w:p>
        </w:tc>
        <w:tc>
          <w:tcPr>
            <w:tcW w:w="1896" w:type="dxa"/>
            <w:shd w:val="clear" w:color="auto" w:fill="auto"/>
            <w:noWrap/>
          </w:tcPr>
          <w:p>
            <w:pPr>
              <w:pStyle w:val="63"/>
            </w:pPr>
            <w:r>
              <w:t>73000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25" w:type="dxa"/>
            <w:shd w:val="clear" w:color="auto" w:fill="auto"/>
            <w:noWrap/>
          </w:tcPr>
          <w:p>
            <w:pPr>
              <w:pStyle w:val="63"/>
            </w:pPr>
            <w:r>
              <w:rPr>
                <w:rFonts w:hint="eastAsia"/>
              </w:rPr>
              <w:t>石油类</w:t>
            </w:r>
          </w:p>
        </w:tc>
        <w:tc>
          <w:tcPr>
            <w:tcW w:w="1643" w:type="dxa"/>
            <w:shd w:val="clear" w:color="auto" w:fill="auto"/>
            <w:noWrap/>
          </w:tcPr>
          <w:p>
            <w:pPr>
              <w:pStyle w:val="63"/>
            </w:pPr>
            <w:r>
              <w:rPr>
                <w:rFonts w:hint="eastAsia"/>
              </w:rPr>
              <w:t>1</w:t>
            </w:r>
          </w:p>
        </w:tc>
        <w:tc>
          <w:tcPr>
            <w:tcW w:w="1290" w:type="dxa"/>
            <w:shd w:val="clear" w:color="auto" w:fill="auto"/>
            <w:noWrap/>
          </w:tcPr>
          <w:p>
            <w:pPr>
              <w:pStyle w:val="63"/>
            </w:pPr>
            <w:r>
              <w:rPr>
                <w:rFonts w:hint="eastAsia"/>
              </w:rPr>
              <w:t>3650</w:t>
            </w:r>
          </w:p>
        </w:tc>
        <w:tc>
          <w:tcPr>
            <w:tcW w:w="2094" w:type="dxa"/>
            <w:shd w:val="clear" w:color="auto" w:fill="auto"/>
            <w:noWrap/>
          </w:tcPr>
          <w:p>
            <w:pPr>
              <w:pStyle w:val="63"/>
            </w:pPr>
            <w:r>
              <w:rPr>
                <w:rFonts w:hint="eastAsia"/>
              </w:rPr>
              <w:t>0.1</w:t>
            </w:r>
          </w:p>
        </w:tc>
        <w:tc>
          <w:tcPr>
            <w:tcW w:w="1896" w:type="dxa"/>
            <w:shd w:val="clear" w:color="auto" w:fill="auto"/>
            <w:noWrap/>
          </w:tcPr>
          <w:p>
            <w:pPr>
              <w:pStyle w:val="63"/>
            </w:pPr>
            <w:r>
              <w:rPr>
                <w:rFonts w:hint="eastAsia"/>
              </w:rPr>
              <w:t>36500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25" w:type="dxa"/>
            <w:shd w:val="clear" w:color="auto" w:fill="auto"/>
            <w:noWrap/>
          </w:tcPr>
          <w:p>
            <w:pPr>
              <w:pStyle w:val="63"/>
            </w:pPr>
            <w:r>
              <w:rPr>
                <w:rFonts w:hint="eastAsia"/>
              </w:rPr>
              <w:t>动植物油</w:t>
            </w:r>
          </w:p>
        </w:tc>
        <w:tc>
          <w:tcPr>
            <w:tcW w:w="1643" w:type="dxa"/>
            <w:shd w:val="clear" w:color="auto" w:fill="auto"/>
            <w:noWrap/>
          </w:tcPr>
          <w:p>
            <w:pPr>
              <w:pStyle w:val="63"/>
            </w:pPr>
            <w:r>
              <w:rPr>
                <w:rFonts w:hint="eastAsia"/>
              </w:rPr>
              <w:t>1</w:t>
            </w:r>
          </w:p>
        </w:tc>
        <w:tc>
          <w:tcPr>
            <w:tcW w:w="1290" w:type="dxa"/>
            <w:shd w:val="clear" w:color="auto" w:fill="auto"/>
            <w:noWrap/>
          </w:tcPr>
          <w:p>
            <w:pPr>
              <w:pStyle w:val="63"/>
            </w:pPr>
            <w:r>
              <w:rPr>
                <w:rFonts w:hint="eastAsia"/>
              </w:rPr>
              <w:t>3650</w:t>
            </w:r>
          </w:p>
        </w:tc>
        <w:tc>
          <w:tcPr>
            <w:tcW w:w="2094" w:type="dxa"/>
            <w:shd w:val="clear" w:color="auto" w:fill="auto"/>
            <w:noWrap/>
          </w:tcPr>
          <w:p>
            <w:pPr>
              <w:pStyle w:val="63"/>
            </w:pPr>
            <w:r>
              <w:rPr>
                <w:rFonts w:hint="eastAsia"/>
              </w:rPr>
              <w:t>0.16</w:t>
            </w:r>
          </w:p>
        </w:tc>
        <w:tc>
          <w:tcPr>
            <w:tcW w:w="1896" w:type="dxa"/>
            <w:shd w:val="clear" w:color="auto" w:fill="auto"/>
            <w:noWrap/>
          </w:tcPr>
          <w:p>
            <w:pPr>
              <w:pStyle w:val="63"/>
            </w:pPr>
            <w:r>
              <w:rPr>
                <w:rFonts w:hint="eastAsia"/>
              </w:rPr>
              <w:t>22812.5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25" w:type="dxa"/>
            <w:shd w:val="clear" w:color="auto" w:fill="auto"/>
            <w:noWrap/>
          </w:tcPr>
          <w:p>
            <w:pPr>
              <w:pStyle w:val="63"/>
            </w:pPr>
            <w:r>
              <w:rPr>
                <w:rFonts w:hint="eastAsia"/>
              </w:rPr>
              <w:t>氨氮</w:t>
            </w:r>
          </w:p>
        </w:tc>
        <w:tc>
          <w:tcPr>
            <w:tcW w:w="1643" w:type="dxa"/>
            <w:shd w:val="clear" w:color="auto" w:fill="auto"/>
            <w:noWrap/>
          </w:tcPr>
          <w:p>
            <w:pPr>
              <w:pStyle w:val="63"/>
            </w:pPr>
            <w:r>
              <w:rPr>
                <w:rFonts w:hint="eastAsia"/>
              </w:rPr>
              <w:t>5</w:t>
            </w:r>
          </w:p>
        </w:tc>
        <w:tc>
          <w:tcPr>
            <w:tcW w:w="1290" w:type="dxa"/>
            <w:shd w:val="clear" w:color="auto" w:fill="auto"/>
            <w:noWrap/>
          </w:tcPr>
          <w:p>
            <w:pPr>
              <w:pStyle w:val="63"/>
            </w:pPr>
            <w:r>
              <w:rPr>
                <w:rFonts w:hint="eastAsia"/>
              </w:rPr>
              <w:t>18250</w:t>
            </w:r>
          </w:p>
        </w:tc>
        <w:tc>
          <w:tcPr>
            <w:tcW w:w="2094" w:type="dxa"/>
            <w:shd w:val="clear" w:color="auto" w:fill="auto"/>
            <w:noWrap/>
          </w:tcPr>
          <w:p>
            <w:pPr>
              <w:pStyle w:val="63"/>
            </w:pPr>
            <w:r>
              <w:rPr>
                <w:rFonts w:hint="eastAsia"/>
              </w:rPr>
              <w:t>0.8</w:t>
            </w:r>
          </w:p>
        </w:tc>
        <w:tc>
          <w:tcPr>
            <w:tcW w:w="1896" w:type="dxa"/>
            <w:shd w:val="clear" w:color="auto" w:fill="auto"/>
            <w:noWrap/>
          </w:tcPr>
          <w:p>
            <w:pPr>
              <w:pStyle w:val="63"/>
            </w:pPr>
            <w:r>
              <w:rPr>
                <w:rFonts w:hint="eastAsia"/>
              </w:rPr>
              <w:t>22812.5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25" w:type="dxa"/>
            <w:shd w:val="clear" w:color="auto" w:fill="auto"/>
            <w:noWrap/>
          </w:tcPr>
          <w:p>
            <w:pPr>
              <w:pStyle w:val="63"/>
            </w:pPr>
            <w:r>
              <w:t>SS</w:t>
            </w:r>
          </w:p>
        </w:tc>
        <w:tc>
          <w:tcPr>
            <w:tcW w:w="1643" w:type="dxa"/>
            <w:shd w:val="clear" w:color="auto" w:fill="auto"/>
            <w:noWrap/>
          </w:tcPr>
          <w:p>
            <w:pPr>
              <w:pStyle w:val="63"/>
            </w:pPr>
            <w:r>
              <w:t>10</w:t>
            </w:r>
          </w:p>
        </w:tc>
        <w:tc>
          <w:tcPr>
            <w:tcW w:w="1290" w:type="dxa"/>
            <w:shd w:val="clear" w:color="auto" w:fill="auto"/>
            <w:noWrap/>
          </w:tcPr>
          <w:p>
            <w:pPr>
              <w:pStyle w:val="63"/>
            </w:pPr>
            <w:r>
              <w:t>36500</w:t>
            </w:r>
          </w:p>
        </w:tc>
        <w:tc>
          <w:tcPr>
            <w:tcW w:w="2094" w:type="dxa"/>
            <w:shd w:val="clear" w:color="auto" w:fill="auto"/>
            <w:noWrap/>
          </w:tcPr>
          <w:p>
            <w:pPr>
              <w:pStyle w:val="63"/>
            </w:pPr>
            <w:r>
              <w:t>4</w:t>
            </w:r>
          </w:p>
        </w:tc>
        <w:tc>
          <w:tcPr>
            <w:tcW w:w="1896" w:type="dxa"/>
            <w:shd w:val="clear" w:color="auto" w:fill="auto"/>
            <w:noWrap/>
          </w:tcPr>
          <w:p>
            <w:pPr>
              <w:pStyle w:val="63"/>
            </w:pPr>
            <w:r>
              <w:t>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025" w:type="dxa"/>
            <w:shd w:val="clear" w:color="auto" w:fill="auto"/>
            <w:noWrap/>
          </w:tcPr>
          <w:p>
            <w:pPr>
              <w:pStyle w:val="63"/>
            </w:pPr>
            <w:r>
              <w:rPr>
                <w:rFonts w:hint="eastAsia"/>
              </w:rPr>
              <w:t>阴离子表面活性剂</w:t>
            </w:r>
          </w:p>
        </w:tc>
        <w:tc>
          <w:tcPr>
            <w:tcW w:w="1643" w:type="dxa"/>
            <w:shd w:val="clear" w:color="auto" w:fill="auto"/>
            <w:noWrap/>
          </w:tcPr>
          <w:p>
            <w:pPr>
              <w:pStyle w:val="63"/>
            </w:pPr>
            <w:r>
              <w:rPr>
                <w:rFonts w:hint="eastAsia"/>
              </w:rPr>
              <w:t>0.5</w:t>
            </w:r>
          </w:p>
        </w:tc>
        <w:tc>
          <w:tcPr>
            <w:tcW w:w="1290" w:type="dxa"/>
            <w:shd w:val="clear" w:color="auto" w:fill="auto"/>
            <w:noWrap/>
          </w:tcPr>
          <w:p>
            <w:pPr>
              <w:pStyle w:val="63"/>
            </w:pPr>
            <w:r>
              <w:rPr>
                <w:rFonts w:hint="eastAsia"/>
              </w:rPr>
              <w:t>1825</w:t>
            </w:r>
          </w:p>
        </w:tc>
        <w:tc>
          <w:tcPr>
            <w:tcW w:w="2094" w:type="dxa"/>
            <w:shd w:val="clear" w:color="auto" w:fill="auto"/>
            <w:noWrap/>
          </w:tcPr>
          <w:p>
            <w:pPr>
              <w:pStyle w:val="63"/>
            </w:pPr>
            <w:r>
              <w:rPr>
                <w:rFonts w:hint="eastAsia"/>
              </w:rPr>
              <w:t>0.2</w:t>
            </w:r>
          </w:p>
        </w:tc>
        <w:tc>
          <w:tcPr>
            <w:tcW w:w="1896" w:type="dxa"/>
            <w:shd w:val="clear" w:color="auto" w:fill="auto"/>
            <w:noWrap/>
          </w:tcPr>
          <w:p>
            <w:pPr>
              <w:pStyle w:val="63"/>
            </w:pPr>
            <w:r>
              <w:rPr>
                <w:rFonts w:hint="eastAsia"/>
              </w:rPr>
              <w:t>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025" w:type="dxa"/>
            <w:shd w:val="clear" w:color="auto" w:fill="auto"/>
            <w:noWrap/>
          </w:tcPr>
          <w:p>
            <w:pPr>
              <w:pStyle w:val="63"/>
            </w:pPr>
            <w:r>
              <w:rPr>
                <w:rFonts w:hint="eastAsia"/>
              </w:rPr>
              <w:t>总磷</w:t>
            </w:r>
          </w:p>
        </w:tc>
        <w:tc>
          <w:tcPr>
            <w:tcW w:w="1643" w:type="dxa"/>
            <w:shd w:val="clear" w:color="auto" w:fill="auto"/>
            <w:noWrap/>
          </w:tcPr>
          <w:p>
            <w:pPr>
              <w:pStyle w:val="63"/>
            </w:pPr>
            <w:r>
              <w:rPr>
                <w:rFonts w:hint="eastAsia"/>
              </w:rPr>
              <w:t>0.5</w:t>
            </w:r>
          </w:p>
        </w:tc>
        <w:tc>
          <w:tcPr>
            <w:tcW w:w="1290" w:type="dxa"/>
            <w:shd w:val="clear" w:color="auto" w:fill="auto"/>
            <w:noWrap/>
          </w:tcPr>
          <w:p>
            <w:pPr>
              <w:pStyle w:val="63"/>
            </w:pPr>
            <w:r>
              <w:rPr>
                <w:rFonts w:hint="eastAsia"/>
              </w:rPr>
              <w:t>1825</w:t>
            </w:r>
          </w:p>
        </w:tc>
        <w:tc>
          <w:tcPr>
            <w:tcW w:w="2094" w:type="dxa"/>
            <w:shd w:val="clear" w:color="auto" w:fill="auto"/>
            <w:noWrap/>
          </w:tcPr>
          <w:p>
            <w:pPr>
              <w:pStyle w:val="63"/>
            </w:pPr>
            <w:r>
              <w:rPr>
                <w:rFonts w:hint="eastAsia"/>
              </w:rPr>
              <w:t>0.25</w:t>
            </w:r>
          </w:p>
        </w:tc>
        <w:tc>
          <w:tcPr>
            <w:tcW w:w="1896" w:type="dxa"/>
            <w:shd w:val="clear" w:color="auto" w:fill="auto"/>
            <w:noWrap/>
          </w:tcPr>
          <w:p>
            <w:pPr>
              <w:pStyle w:val="63"/>
            </w:pPr>
            <w:r>
              <w:rPr>
                <w:rFonts w:hint="eastAsia"/>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948" w:type="dxa"/>
            <w:gridSpan w:val="5"/>
            <w:shd w:val="clear" w:color="auto" w:fill="auto"/>
            <w:noWrap/>
            <w:vAlign w:val="bottom"/>
          </w:tcPr>
          <w:p>
            <w:pPr>
              <w:pStyle w:val="64"/>
            </w:pPr>
            <w:r>
              <w:rPr>
                <w:rFonts w:hint="eastAsia"/>
              </w:rPr>
              <w:t>注：水污染物当量数等于该污染物的年排放量除以该污染物的污染当量值；</w:t>
            </w:r>
          </w:p>
        </w:tc>
      </w:tr>
    </w:tbl>
    <w:p/>
    <w:p>
      <w:pPr>
        <w:pStyle w:val="5"/>
        <w:ind w:firstLine="480"/>
      </w:pPr>
      <w:r>
        <w:rPr>
          <w:rFonts w:hint="eastAsia"/>
        </w:rPr>
        <w:t>水污染影响型建设项目评价等级判定表见</w:t>
      </w:r>
      <w:r>
        <w:fldChar w:fldCharType="begin"/>
      </w:r>
      <w:r>
        <w:instrText xml:space="preserve"> </w:instrText>
      </w:r>
      <w:r>
        <w:rPr>
          <w:rFonts w:hint="eastAsia"/>
        </w:rPr>
        <w:instrText xml:space="preserve">REF _Ref143183439 \h</w:instrText>
      </w:r>
      <w:r>
        <w:instrText xml:space="preserve"> </w:instrText>
      </w:r>
      <w:r>
        <w:fldChar w:fldCharType="separate"/>
      </w:r>
      <w:r>
        <w:rPr>
          <w:rFonts w:hint="eastAsia"/>
        </w:rPr>
        <w:t xml:space="preserve">表 </w:t>
      </w:r>
      <w:r>
        <w:t>1.6</w:t>
      </w:r>
      <w:r>
        <w:noBreakHyphen/>
      </w:r>
      <w:r>
        <w:t>2</w:t>
      </w:r>
      <w:r>
        <w:fldChar w:fldCharType="end"/>
      </w:r>
      <w:r>
        <w:rPr>
          <w:rFonts w:hint="eastAsia"/>
        </w:rPr>
        <w:t>。工程排放方式为直接排放，废水排放量Q为10000m</w:t>
      </w:r>
      <w:r>
        <w:rPr>
          <w:rFonts w:hint="eastAsia"/>
          <w:vertAlign w:val="superscript"/>
        </w:rPr>
        <w:t>3</w:t>
      </w:r>
      <w:r>
        <w:t>/</w:t>
      </w:r>
      <w:r>
        <w:rPr>
          <w:rFonts w:hint="eastAsia"/>
        </w:rPr>
        <w:t>d（大于等于2</w:t>
      </w:r>
      <w:r>
        <w:t>00</w:t>
      </w:r>
      <w:r>
        <w:rPr>
          <w:rFonts w:hint="eastAsia"/>
        </w:rPr>
        <w:t xml:space="preserve"> m</w:t>
      </w:r>
      <w:r>
        <w:rPr>
          <w:rFonts w:hint="eastAsia"/>
          <w:vertAlign w:val="superscript"/>
        </w:rPr>
        <w:t>3</w:t>
      </w:r>
      <w:r>
        <w:t>/</w:t>
      </w:r>
      <w:r>
        <w:rPr>
          <w:rFonts w:hint="eastAsia"/>
        </w:rPr>
        <w:t>d，小于2</w:t>
      </w:r>
      <w:r>
        <w:t>0000</w:t>
      </w:r>
      <w:r>
        <w:rPr>
          <w:rFonts w:hint="eastAsia"/>
        </w:rPr>
        <w:t xml:space="preserve"> m</w:t>
      </w:r>
      <w:r>
        <w:rPr>
          <w:rFonts w:hint="eastAsia"/>
          <w:vertAlign w:val="superscript"/>
        </w:rPr>
        <w:t>3</w:t>
      </w:r>
      <w:r>
        <w:t>/</w:t>
      </w:r>
      <w:r>
        <w:rPr>
          <w:rFonts w:hint="eastAsia"/>
        </w:rPr>
        <w:t>d），当量数W为182500（大于6000，小于600000），类别属于其他，评价等级二级。</w:t>
      </w:r>
    </w:p>
    <w:p>
      <w:pPr>
        <w:pStyle w:val="5"/>
        <w:ind w:firstLine="480"/>
      </w:pPr>
      <w:r>
        <w:rPr>
          <w:rFonts w:hint="eastAsia"/>
        </w:rPr>
        <w:t>项目为新建项目，其他情况识别如下：</w:t>
      </w:r>
    </w:p>
    <w:p>
      <w:pPr>
        <w:pStyle w:val="5"/>
        <w:ind w:firstLine="480"/>
      </w:pPr>
      <w:r>
        <w:rPr>
          <w:rFonts w:hint="eastAsia"/>
        </w:rPr>
        <w:t>（1）项目不涉及排放</w:t>
      </w:r>
      <w:r>
        <w:rPr>
          <w:lang w:val="zh-CN"/>
        </w:rPr>
        <w:t>第一类污染物</w:t>
      </w:r>
      <w:r>
        <w:rPr>
          <w:rFonts w:hint="eastAsia"/>
          <w:lang w:val="zh-CN"/>
        </w:rPr>
        <w:t>，</w:t>
      </w:r>
      <w:r>
        <w:rPr>
          <w:rFonts w:hint="eastAsia"/>
        </w:rPr>
        <w:t>受纳水体为朱衣河，根据现状监测可知朱衣河受纳污染因子为达标，所以不涉及评价等级调整；</w:t>
      </w:r>
    </w:p>
    <w:p>
      <w:pPr>
        <w:pStyle w:val="5"/>
        <w:ind w:firstLine="480"/>
      </w:pPr>
      <w:r>
        <w:rPr>
          <w:rFonts w:hint="eastAsia"/>
        </w:rPr>
        <w:t>（2）项目排水下游涉及鱼类三场，属于直接排放受纳水体影响范围涉及饮用水源保护区、饮用水取水口、重点保护与珍稀水生生物的栖息地、重要水生生物的自然产卵场等保护目标时，所以评价等级不低于二级；</w:t>
      </w:r>
    </w:p>
    <w:p>
      <w:pPr>
        <w:pStyle w:val="5"/>
        <w:ind w:firstLine="480"/>
      </w:pPr>
      <w:r>
        <w:rPr>
          <w:rFonts w:hint="eastAsia"/>
        </w:rPr>
        <w:t>（3）项目不涉及排放温排水，排水不会导致受纳水体水温变化超过水环境质量标准要求，不涉及评价等级调整。</w:t>
      </w:r>
    </w:p>
    <w:p>
      <w:pPr>
        <w:pStyle w:val="5"/>
        <w:ind w:firstLine="480"/>
      </w:pPr>
      <w:r>
        <w:rPr>
          <w:rFonts w:hint="eastAsia"/>
        </w:rPr>
        <w:t>综上，根据排放方式、</w:t>
      </w:r>
      <w:r>
        <w:rPr>
          <w:lang w:val="zh-CN"/>
        </w:rPr>
        <w:t>废水排放量</w:t>
      </w:r>
      <w:r>
        <w:rPr>
          <w:rFonts w:hint="eastAsia"/>
          <w:lang w:val="zh-CN"/>
        </w:rPr>
        <w:t>、</w:t>
      </w:r>
      <w:r>
        <w:rPr>
          <w:lang w:val="zh-CN"/>
        </w:rPr>
        <w:t>水污染物当量数</w:t>
      </w:r>
      <w:r>
        <w:rPr>
          <w:rFonts w:hint="eastAsia"/>
          <w:lang w:val="zh-CN"/>
        </w:rPr>
        <w:t>和其他要求，</w:t>
      </w:r>
      <w:r>
        <w:rPr>
          <w:rFonts w:hint="eastAsia"/>
        </w:rPr>
        <w:t>项目地表水评价等级为二级。</w:t>
      </w:r>
    </w:p>
    <w:p>
      <w:pPr>
        <w:pStyle w:val="14"/>
        <w:keepNext/>
      </w:pPr>
      <w:bookmarkStart w:id="101" w:name="_Ref143183439"/>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101"/>
      <w:r>
        <w:t xml:space="preserve">   </w:t>
      </w:r>
      <w:r>
        <w:rPr>
          <w:rFonts w:hint="eastAsia"/>
        </w:rPr>
        <w:t>水污染影响型建设项目评价等级判定表</w:t>
      </w:r>
    </w:p>
    <w:tbl>
      <w:tblPr>
        <w:tblStyle w:val="38"/>
        <w:tblW w:w="89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2410"/>
        <w:gridCol w:w="54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131" w:type="dxa"/>
            <w:vMerge w:val="restart"/>
            <w:shd w:val="clear" w:color="auto" w:fill="auto"/>
            <w:vAlign w:val="center"/>
          </w:tcPr>
          <w:p>
            <w:pPr>
              <w:pStyle w:val="63"/>
              <w:rPr>
                <w:lang w:val="zh-CN"/>
              </w:rPr>
            </w:pPr>
            <w:r>
              <w:rPr>
                <w:rFonts w:hint="eastAsia"/>
                <w:lang w:val="zh-CN"/>
              </w:rPr>
              <w:t>评价等级</w:t>
            </w:r>
          </w:p>
        </w:tc>
        <w:tc>
          <w:tcPr>
            <w:tcW w:w="7821" w:type="dxa"/>
            <w:gridSpan w:val="2"/>
            <w:shd w:val="clear" w:color="auto" w:fill="auto"/>
            <w:vAlign w:val="center"/>
          </w:tcPr>
          <w:p>
            <w:pPr>
              <w:pStyle w:val="63"/>
              <w:rPr>
                <w:lang w:val="zh-CN"/>
              </w:rPr>
            </w:pPr>
            <w:r>
              <w:rPr>
                <w:rFonts w:hint="eastAsia"/>
                <w:lang w:val="zh-CN"/>
              </w:rPr>
              <w:t>判定依据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1131" w:type="dxa"/>
            <w:vMerge w:val="continue"/>
            <w:shd w:val="clear" w:color="auto" w:fill="auto"/>
            <w:vAlign w:val="center"/>
          </w:tcPr>
          <w:p>
            <w:pPr>
              <w:pStyle w:val="63"/>
              <w:rPr>
                <w:lang w:val="zh-CN"/>
              </w:rPr>
            </w:pPr>
          </w:p>
        </w:tc>
        <w:tc>
          <w:tcPr>
            <w:tcW w:w="2410" w:type="dxa"/>
            <w:shd w:val="clear" w:color="auto" w:fill="auto"/>
            <w:vAlign w:val="center"/>
          </w:tcPr>
          <w:p>
            <w:pPr>
              <w:pStyle w:val="63"/>
              <w:rPr>
                <w:lang w:val="zh-CN"/>
              </w:rPr>
            </w:pPr>
            <w:r>
              <w:rPr>
                <w:rFonts w:hint="eastAsia"/>
                <w:lang w:val="zh-CN"/>
              </w:rPr>
              <w:t>排放方式</w:t>
            </w:r>
          </w:p>
        </w:tc>
        <w:tc>
          <w:tcPr>
            <w:tcW w:w="5411" w:type="dxa"/>
            <w:shd w:val="clear" w:color="auto" w:fill="auto"/>
            <w:vAlign w:val="center"/>
          </w:tcPr>
          <w:p>
            <w:pPr>
              <w:pStyle w:val="63"/>
              <w:rPr>
                <w:lang w:val="zh-CN"/>
              </w:rPr>
            </w:pPr>
            <w:r>
              <w:rPr>
                <w:lang w:val="zh-CN"/>
              </w:rPr>
              <w:t>废水排放量</w:t>
            </w:r>
            <w:r>
              <w:rPr>
                <w:i/>
                <w:lang w:val="zh-CN"/>
              </w:rPr>
              <w:t>Q</w:t>
            </w:r>
            <w:r>
              <w:rPr>
                <w:lang w:val="zh-CN"/>
              </w:rPr>
              <w:t>/（m</w:t>
            </w:r>
            <w:r>
              <w:rPr>
                <w:vertAlign w:val="superscript"/>
                <w:lang w:val="zh-CN"/>
              </w:rPr>
              <w:t>3</w:t>
            </w:r>
            <w:r>
              <w:rPr>
                <w:lang w:val="zh-CN"/>
              </w:rPr>
              <w:t>/d）；水污染物当量数</w:t>
            </w:r>
            <w:r>
              <w:rPr>
                <w:i/>
                <w:lang w:val="zh-CN"/>
              </w:rPr>
              <w:t>W</w:t>
            </w:r>
            <w:r>
              <w:rPr>
                <w:lang w:val="zh-CN"/>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1131" w:type="dxa"/>
            <w:shd w:val="clear" w:color="auto" w:fill="auto"/>
            <w:vAlign w:val="center"/>
          </w:tcPr>
          <w:p>
            <w:pPr>
              <w:pStyle w:val="63"/>
              <w:rPr>
                <w:lang w:val="zh-CN"/>
              </w:rPr>
            </w:pPr>
            <w:r>
              <w:rPr>
                <w:rFonts w:hint="eastAsia"/>
                <w:lang w:val="zh-CN"/>
              </w:rPr>
              <w:t>一级</w:t>
            </w:r>
          </w:p>
        </w:tc>
        <w:tc>
          <w:tcPr>
            <w:tcW w:w="2410" w:type="dxa"/>
            <w:shd w:val="clear" w:color="auto" w:fill="auto"/>
            <w:vAlign w:val="center"/>
          </w:tcPr>
          <w:p>
            <w:pPr>
              <w:pStyle w:val="63"/>
              <w:rPr>
                <w:lang w:val="zh-CN"/>
              </w:rPr>
            </w:pPr>
            <w:r>
              <w:rPr>
                <w:rFonts w:hint="eastAsia"/>
                <w:lang w:val="zh-CN"/>
              </w:rPr>
              <w:t>直接排放</w:t>
            </w:r>
          </w:p>
        </w:tc>
        <w:tc>
          <w:tcPr>
            <w:tcW w:w="5411" w:type="dxa"/>
            <w:shd w:val="clear" w:color="auto" w:fill="auto"/>
            <w:vAlign w:val="center"/>
          </w:tcPr>
          <w:p>
            <w:pPr>
              <w:pStyle w:val="63"/>
              <w:rPr>
                <w:lang w:val="zh-CN"/>
              </w:rPr>
            </w:pPr>
            <w:r>
              <w:rPr>
                <w:lang w:val="zh-CN"/>
              </w:rPr>
              <w:t>Q≥20000或W≥600000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1131" w:type="dxa"/>
            <w:shd w:val="clear" w:color="auto" w:fill="auto"/>
            <w:vAlign w:val="center"/>
          </w:tcPr>
          <w:p>
            <w:pPr>
              <w:pStyle w:val="63"/>
              <w:rPr>
                <w:b/>
                <w:bCs/>
                <w:lang w:val="zh-CN"/>
              </w:rPr>
            </w:pPr>
            <w:r>
              <w:rPr>
                <w:rFonts w:hint="eastAsia"/>
                <w:b/>
                <w:bCs/>
                <w:lang w:val="zh-CN"/>
              </w:rPr>
              <w:t>二级</w:t>
            </w:r>
          </w:p>
        </w:tc>
        <w:tc>
          <w:tcPr>
            <w:tcW w:w="2410" w:type="dxa"/>
            <w:shd w:val="clear" w:color="auto" w:fill="auto"/>
            <w:vAlign w:val="center"/>
          </w:tcPr>
          <w:p>
            <w:pPr>
              <w:pStyle w:val="63"/>
              <w:rPr>
                <w:b/>
                <w:bCs/>
                <w:lang w:val="zh-CN"/>
              </w:rPr>
            </w:pPr>
            <w:r>
              <w:rPr>
                <w:rFonts w:hint="eastAsia"/>
                <w:b/>
                <w:bCs/>
                <w:lang w:val="zh-CN"/>
              </w:rPr>
              <w:t>直接排放</w:t>
            </w:r>
          </w:p>
        </w:tc>
        <w:tc>
          <w:tcPr>
            <w:tcW w:w="5411" w:type="dxa"/>
            <w:shd w:val="clear" w:color="auto" w:fill="auto"/>
            <w:vAlign w:val="center"/>
          </w:tcPr>
          <w:p>
            <w:pPr>
              <w:pStyle w:val="63"/>
              <w:rPr>
                <w:b/>
                <w:bCs/>
                <w:lang w:val="zh-CN"/>
              </w:rPr>
            </w:pPr>
            <w:r>
              <w:rPr>
                <w:b/>
                <w:bCs/>
                <w:lang w:val="zh-CN"/>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1131" w:type="dxa"/>
            <w:shd w:val="clear" w:color="auto" w:fill="auto"/>
            <w:vAlign w:val="center"/>
          </w:tcPr>
          <w:p>
            <w:pPr>
              <w:pStyle w:val="63"/>
              <w:rPr>
                <w:lang w:val="zh-CN"/>
              </w:rPr>
            </w:pPr>
            <w:r>
              <w:rPr>
                <w:rFonts w:hint="eastAsia"/>
                <w:lang w:val="zh-CN"/>
              </w:rPr>
              <w:t>三级A</w:t>
            </w:r>
          </w:p>
        </w:tc>
        <w:tc>
          <w:tcPr>
            <w:tcW w:w="2410" w:type="dxa"/>
            <w:shd w:val="clear" w:color="auto" w:fill="auto"/>
            <w:vAlign w:val="center"/>
          </w:tcPr>
          <w:p>
            <w:pPr>
              <w:pStyle w:val="63"/>
              <w:rPr>
                <w:lang w:val="zh-CN"/>
              </w:rPr>
            </w:pPr>
            <w:r>
              <w:rPr>
                <w:rFonts w:hint="eastAsia"/>
                <w:lang w:val="zh-CN"/>
              </w:rPr>
              <w:t>直接排放</w:t>
            </w:r>
          </w:p>
        </w:tc>
        <w:tc>
          <w:tcPr>
            <w:tcW w:w="5411" w:type="dxa"/>
            <w:shd w:val="clear" w:color="auto" w:fill="auto"/>
            <w:vAlign w:val="center"/>
          </w:tcPr>
          <w:p>
            <w:pPr>
              <w:pStyle w:val="63"/>
              <w:rPr>
                <w:lang w:val="zh-CN"/>
              </w:rPr>
            </w:pPr>
            <w:r>
              <w:rPr>
                <w:lang w:val="zh-CN"/>
              </w:rPr>
              <w:t>Q＜200且W＜6000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1131" w:type="dxa"/>
            <w:shd w:val="clear" w:color="auto" w:fill="auto"/>
            <w:vAlign w:val="center"/>
          </w:tcPr>
          <w:p>
            <w:pPr>
              <w:pStyle w:val="63"/>
              <w:rPr>
                <w:lang w:val="zh-CN"/>
              </w:rPr>
            </w:pPr>
            <w:r>
              <w:rPr>
                <w:rFonts w:hint="eastAsia"/>
                <w:lang w:val="zh-CN"/>
              </w:rPr>
              <w:t>三级B</w:t>
            </w:r>
          </w:p>
        </w:tc>
        <w:tc>
          <w:tcPr>
            <w:tcW w:w="2410" w:type="dxa"/>
            <w:shd w:val="clear" w:color="auto" w:fill="auto"/>
            <w:vAlign w:val="center"/>
          </w:tcPr>
          <w:p>
            <w:pPr>
              <w:pStyle w:val="63"/>
              <w:rPr>
                <w:lang w:val="zh-CN"/>
              </w:rPr>
            </w:pPr>
            <w:r>
              <w:rPr>
                <w:rFonts w:hint="eastAsia"/>
                <w:lang w:val="zh-CN"/>
              </w:rPr>
              <w:t>间接排放</w:t>
            </w:r>
          </w:p>
        </w:tc>
        <w:tc>
          <w:tcPr>
            <w:tcW w:w="5411" w:type="dxa"/>
            <w:shd w:val="clear" w:color="auto" w:fill="auto"/>
            <w:vAlign w:val="center"/>
          </w:tcPr>
          <w:p>
            <w:pPr>
              <w:pStyle w:val="63"/>
              <w:rPr>
                <w:lang w:val="zh-CN"/>
              </w:rPr>
            </w:pPr>
            <w:r>
              <w:rPr>
                <w:rFonts w:hint="eastAsia"/>
                <w:lang w:val="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trPr>
        <w:tc>
          <w:tcPr>
            <w:tcW w:w="8952" w:type="dxa"/>
            <w:gridSpan w:val="3"/>
            <w:shd w:val="clear" w:color="auto" w:fill="auto"/>
            <w:vAlign w:val="center"/>
          </w:tcPr>
          <w:p>
            <w:pPr>
              <w:pStyle w:val="64"/>
              <w:rPr>
                <w:lang w:val="zh-CN"/>
              </w:rPr>
            </w:pPr>
            <w:r>
              <w:rPr>
                <w:lang w:val="zh-CN"/>
              </w:rPr>
              <w:t>注1：水污染物当量数等于该污染物的年排放量除以该污染物的污染当量值，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64"/>
              <w:rPr>
                <w:lang w:val="zh-CN"/>
              </w:rPr>
            </w:pPr>
            <w:r>
              <w:rPr>
                <w:lang w:val="zh-CN"/>
              </w:rPr>
              <w:t>注2：废水排放量按照行业排放标准中规定的废水种类统计，没有相关行业排放标准要求的通过工程分析合理确定，应统计含热量大的冷却水的排放量，可不统计间接冷却水、循环水以及其他含污染物极少的清净下水的排放量。</w:t>
            </w:r>
          </w:p>
          <w:p>
            <w:pPr>
              <w:pStyle w:val="64"/>
              <w:rPr>
                <w:lang w:val="zh-CN"/>
              </w:rPr>
            </w:pPr>
            <w:r>
              <w:rPr>
                <w:lang w:val="zh-CN"/>
              </w:rPr>
              <w:t>注3：厂区存在堆积物（露天堆放的原料、燃料、废渣等以及垃圾堆放场）、降尘污染的，应将初期雨污水纳入废水排放量，相应的主要污染物纳入水污染当量计算。</w:t>
            </w:r>
          </w:p>
          <w:p>
            <w:pPr>
              <w:pStyle w:val="64"/>
              <w:rPr>
                <w:lang w:val="zh-CN"/>
              </w:rPr>
            </w:pPr>
            <w:r>
              <w:rPr>
                <w:lang w:val="zh-CN"/>
              </w:rPr>
              <w:t>注4：建设项目直接排放第一类污染物的，其评价等级为一级；建设项目直接排放的污染物为受纳水体超标因子的，评价等级不低于二级。</w:t>
            </w:r>
          </w:p>
          <w:p>
            <w:pPr>
              <w:pStyle w:val="64"/>
              <w:rPr>
                <w:lang w:val="zh-CN"/>
              </w:rPr>
            </w:pPr>
            <w:r>
              <w:rPr>
                <w:lang w:val="zh-CN"/>
              </w:rPr>
              <w:t>注5：直接排放受纳水体影响范围涉及饮用水源保护区、饮用水取水口、重点保护与珍稀水生生物的栖息地、重要水生生物的自然产卵场等保护目标时，评价等级不低于二级。</w:t>
            </w:r>
          </w:p>
          <w:p>
            <w:pPr>
              <w:pStyle w:val="64"/>
              <w:rPr>
                <w:lang w:val="zh-CN"/>
              </w:rPr>
            </w:pPr>
            <w:r>
              <w:rPr>
                <w:lang w:val="zh-CN"/>
              </w:rPr>
              <w:t>注6：建设项目向河流、湖库排放温排水引起受纳水体水温变化超过水环境质量标准要求，且评价范围有水温敏感目标时，评价等级为一级。</w:t>
            </w:r>
          </w:p>
          <w:p>
            <w:pPr>
              <w:pStyle w:val="64"/>
              <w:rPr>
                <w:lang w:val="zh-CN"/>
              </w:rPr>
            </w:pPr>
            <w:r>
              <w:rPr>
                <w:lang w:val="zh-CN"/>
              </w:rPr>
              <w:t>注7：建设项目利用海水作为调节温度介质，排水量≥500万m</w:t>
            </w:r>
            <w:r>
              <w:rPr>
                <w:vertAlign w:val="superscript"/>
                <w:lang w:val="zh-CN"/>
              </w:rPr>
              <w:t>3</w:t>
            </w:r>
            <w:r>
              <w:rPr>
                <w:lang w:val="zh-CN"/>
              </w:rPr>
              <w:t>/d，评价等级为一级；排水量＜500万m</w:t>
            </w:r>
            <w:r>
              <w:rPr>
                <w:vertAlign w:val="superscript"/>
                <w:lang w:val="zh-CN"/>
              </w:rPr>
              <w:t>3</w:t>
            </w:r>
            <w:r>
              <w:rPr>
                <w:lang w:val="zh-CN"/>
              </w:rPr>
              <w:t>/d，评价等级为二级。</w:t>
            </w:r>
          </w:p>
          <w:p>
            <w:pPr>
              <w:pStyle w:val="64"/>
              <w:rPr>
                <w:lang w:val="zh-CN"/>
              </w:rPr>
            </w:pPr>
            <w:r>
              <w:rPr>
                <w:lang w:val="zh-CN"/>
              </w:rPr>
              <w:t>注8：仅涉及清净下水排放的，如其排放水质满足受纳水体水环境质量标准要求的，评价等级为三级A。</w:t>
            </w:r>
          </w:p>
          <w:p>
            <w:pPr>
              <w:pStyle w:val="64"/>
              <w:rPr>
                <w:lang w:val="zh-CN"/>
              </w:rPr>
            </w:pPr>
            <w:r>
              <w:rPr>
                <w:lang w:val="zh-CN"/>
              </w:rPr>
              <w:t>注9：依托现有排放口，且对外环境未新增排放污染物的直接排放建设项目，评价等级参照间接排放，定为三级B。</w:t>
            </w:r>
          </w:p>
          <w:p>
            <w:pPr>
              <w:pStyle w:val="64"/>
              <w:rPr>
                <w:lang w:val="zh-CN"/>
              </w:rPr>
            </w:pPr>
            <w:r>
              <w:rPr>
                <w:lang w:val="zh-CN"/>
              </w:rPr>
              <w:t>注10：建设项目生产工艺中有废水产生，但作为回水利用，不排放到外环境的，按三级B评价。</w:t>
            </w:r>
          </w:p>
        </w:tc>
      </w:tr>
    </w:tbl>
    <w:p>
      <w:pPr>
        <w:rPr>
          <w:rFonts w:cs="Times New Roman"/>
        </w:rPr>
      </w:pPr>
    </w:p>
    <w:p>
      <w:pPr>
        <w:pStyle w:val="3"/>
        <w:spacing w:before="156" w:after="156"/>
      </w:pPr>
      <w:r>
        <w:rPr>
          <w:rFonts w:hint="eastAsia"/>
        </w:rPr>
        <w:t>评价范围和评价时段</w:t>
      </w:r>
    </w:p>
    <w:p>
      <w:pPr>
        <w:pStyle w:val="5"/>
        <w:ind w:firstLine="480"/>
      </w:pPr>
      <w:r>
        <w:rPr>
          <w:rFonts w:hint="eastAsia"/>
        </w:rPr>
        <w:t>根据H</w:t>
      </w:r>
      <w:r>
        <w:t>J2.3-2018 C.1.1</w:t>
      </w:r>
      <w:r>
        <w:rPr>
          <w:rFonts w:hint="eastAsia"/>
        </w:rPr>
        <w:t>水污染影响型建设项目在拟建排放口上游应布置对照断面（宜在500m 以内），根据受纳水域水环境质量控制管理要求设定控制断面。根据项目主要污染物迁移转化状况和地表水对照断面、控制断面与消减断面等关心断面的要求，对照断面设置在排污口上游5</w:t>
      </w:r>
      <w:r>
        <w:t>00</w:t>
      </w:r>
      <w:r>
        <w:rPr>
          <w:rFonts w:hint="eastAsia"/>
        </w:rPr>
        <w:t>m、控制断面排污口下游2</w:t>
      </w:r>
      <w:r>
        <w:t>000</w:t>
      </w:r>
      <w:r>
        <w:rPr>
          <w:rFonts w:hint="eastAsia"/>
        </w:rPr>
        <w:t>m，消减断面排污口下游10</w:t>
      </w:r>
      <w:r>
        <w:t>000</w:t>
      </w:r>
      <w:r>
        <w:rPr>
          <w:rFonts w:hint="eastAsia"/>
        </w:rPr>
        <w:t>m，所以地表水评价范围为排污口上游5</w:t>
      </w:r>
      <w:r>
        <w:t>00</w:t>
      </w:r>
      <w:r>
        <w:rPr>
          <w:rFonts w:hint="eastAsia"/>
        </w:rPr>
        <w:t>m、排放口下游10km(即朱衣河与长江交汇口)。</w:t>
      </w:r>
    </w:p>
    <w:p>
      <w:pPr>
        <w:pStyle w:val="5"/>
        <w:ind w:left="210" w:leftChars="100" w:firstLine="480"/>
      </w:pPr>
      <w:r>
        <w:rPr>
          <w:rFonts w:hint="eastAsia"/>
        </w:rPr>
        <w:t>评价时段为施工期和营运期。</w:t>
      </w:r>
    </w:p>
    <w:p>
      <w:pPr>
        <w:pStyle w:val="3"/>
        <w:spacing w:before="156" w:after="156"/>
      </w:pPr>
      <w:r>
        <w:rPr>
          <w:rFonts w:hint="eastAsia"/>
        </w:rPr>
        <w:t>水环境保护目标</w:t>
      </w:r>
    </w:p>
    <w:p>
      <w:pPr>
        <w:pStyle w:val="5"/>
        <w:ind w:firstLine="480"/>
      </w:pPr>
      <w:r>
        <w:rPr>
          <w:rFonts w:hint="eastAsia"/>
        </w:rPr>
        <w:t>项目评价江段不涉及饮用水源保护区，地表水保护目标主要为朱衣河，保护对象为朱衣河水质，水质目标为《地表水环境质量标准》（GB3838-2002）Ⅲ类水域标准。</w:t>
      </w:r>
    </w:p>
    <w:p>
      <w:pPr>
        <w:pStyle w:val="14"/>
        <w:keepNext/>
      </w:pPr>
      <w:r>
        <w:t xml:space="preserve">表 </w:t>
      </w:r>
      <w:r>
        <w:fldChar w:fldCharType="begin"/>
      </w:r>
      <w:r>
        <w:instrText xml:space="preserve"> STYLEREF 2 \s </w:instrText>
      </w:r>
      <w:r>
        <w:fldChar w:fldCharType="separate"/>
      </w:r>
      <w:r>
        <w:t>1.8</w:t>
      </w:r>
      <w:r>
        <w:fldChar w:fldCharType="end"/>
      </w:r>
      <w:r>
        <w:noBreakHyphen/>
      </w:r>
      <w:r>
        <w:fldChar w:fldCharType="begin"/>
      </w:r>
      <w:r>
        <w:instrText xml:space="preserve"> SEQ 表 \* ARABIC \s 2 </w:instrText>
      </w:r>
      <w:r>
        <w:fldChar w:fldCharType="separate"/>
      </w:r>
      <w:r>
        <w:t>1</w:t>
      </w:r>
      <w:r>
        <w:fldChar w:fldCharType="end"/>
      </w:r>
      <w:r>
        <w:rPr>
          <w:rFonts w:hint="eastAsia"/>
        </w:rPr>
        <w:t xml:space="preserve">   地表水环境敏感目标</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9"/>
        <w:gridCol w:w="1560"/>
        <w:gridCol w:w="3335"/>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63"/>
            </w:pPr>
            <w:r>
              <w:rPr>
                <w:rFonts w:hint="eastAsia"/>
              </w:rPr>
              <w:t>序号</w:t>
            </w:r>
          </w:p>
        </w:tc>
        <w:tc>
          <w:tcPr>
            <w:tcW w:w="1559" w:type="dxa"/>
            <w:vAlign w:val="center"/>
          </w:tcPr>
          <w:p>
            <w:pPr>
              <w:pStyle w:val="63"/>
            </w:pPr>
            <w:r>
              <w:rPr>
                <w:rFonts w:hint="eastAsia"/>
              </w:rPr>
              <w:t>环境敏感目标</w:t>
            </w:r>
          </w:p>
        </w:tc>
        <w:tc>
          <w:tcPr>
            <w:tcW w:w="1560" w:type="dxa"/>
            <w:vAlign w:val="center"/>
          </w:tcPr>
          <w:p>
            <w:pPr>
              <w:pStyle w:val="63"/>
            </w:pPr>
            <w:r>
              <w:rPr>
                <w:rFonts w:hint="eastAsia"/>
              </w:rPr>
              <w:t>环境功能区划</w:t>
            </w:r>
          </w:p>
        </w:tc>
        <w:tc>
          <w:tcPr>
            <w:tcW w:w="3335" w:type="dxa"/>
            <w:vAlign w:val="center"/>
          </w:tcPr>
          <w:p>
            <w:pPr>
              <w:pStyle w:val="63"/>
            </w:pPr>
            <w:r>
              <w:rPr>
                <w:rFonts w:hint="eastAsia"/>
              </w:rPr>
              <w:t>位置关系</w:t>
            </w:r>
          </w:p>
        </w:tc>
        <w:tc>
          <w:tcPr>
            <w:tcW w:w="1790"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pStyle w:val="63"/>
            </w:pPr>
            <w:r>
              <w:rPr>
                <w:rFonts w:hint="eastAsia"/>
              </w:rPr>
              <w:t>1</w:t>
            </w:r>
          </w:p>
        </w:tc>
        <w:tc>
          <w:tcPr>
            <w:tcW w:w="1559" w:type="dxa"/>
            <w:vAlign w:val="center"/>
          </w:tcPr>
          <w:p>
            <w:pPr>
              <w:pStyle w:val="63"/>
            </w:pPr>
            <w:r>
              <w:rPr>
                <w:rFonts w:hint="eastAsia"/>
              </w:rPr>
              <w:t>朱衣河</w:t>
            </w:r>
          </w:p>
        </w:tc>
        <w:tc>
          <w:tcPr>
            <w:tcW w:w="1560" w:type="dxa"/>
            <w:vAlign w:val="center"/>
          </w:tcPr>
          <w:p>
            <w:pPr>
              <w:pStyle w:val="63"/>
            </w:pPr>
            <w:r>
              <w:rPr>
                <w:rFonts w:hint="eastAsia"/>
              </w:rPr>
              <w:t>Ⅲ类</w:t>
            </w:r>
          </w:p>
        </w:tc>
        <w:tc>
          <w:tcPr>
            <w:tcW w:w="3335" w:type="dxa"/>
            <w:vAlign w:val="center"/>
          </w:tcPr>
          <w:p>
            <w:pPr>
              <w:pStyle w:val="63"/>
            </w:pPr>
            <w:r>
              <w:rPr>
                <w:rFonts w:hint="eastAsia"/>
              </w:rPr>
              <w:t>项目东北侧，从排口至汇入长江河口约10</w:t>
            </w:r>
            <w:r>
              <w:t>km</w:t>
            </w:r>
          </w:p>
        </w:tc>
        <w:tc>
          <w:tcPr>
            <w:tcW w:w="1790" w:type="dxa"/>
            <w:vAlign w:val="center"/>
          </w:tcPr>
          <w:p>
            <w:pPr>
              <w:pStyle w:val="63"/>
            </w:pPr>
            <w:r>
              <w:rPr>
                <w:rFonts w:hint="eastAsia"/>
              </w:rPr>
              <w:t>尾水受纳水体</w:t>
            </w:r>
          </w:p>
        </w:tc>
      </w:tr>
    </w:tbl>
    <w:p>
      <w:pPr>
        <w:pStyle w:val="63"/>
      </w:pPr>
    </w:p>
    <w:p>
      <w:pPr>
        <w:pStyle w:val="5"/>
        <w:ind w:firstLine="480"/>
      </w:pPr>
      <w:r>
        <w:rPr>
          <w:rFonts w:hint="eastAsia"/>
        </w:rPr>
        <w:t>项目生态保护目标见</w:t>
      </w:r>
      <w:r>
        <w:fldChar w:fldCharType="begin"/>
      </w:r>
      <w:r>
        <w:instrText xml:space="preserve"> </w:instrText>
      </w:r>
      <w:r>
        <w:rPr>
          <w:rFonts w:hint="eastAsia"/>
        </w:rPr>
        <w:instrText xml:space="preserve">REF _Ref170830235 \h</w:instrText>
      </w:r>
      <w:r>
        <w:instrText xml:space="preserve"> </w:instrText>
      </w:r>
      <w:r>
        <w:fldChar w:fldCharType="separate"/>
      </w:r>
      <w:r>
        <w:t>表 3.2</w:t>
      </w:r>
      <w:r>
        <w:noBreakHyphen/>
      </w:r>
      <w:r>
        <w:t>3</w:t>
      </w:r>
      <w:r>
        <w:fldChar w:fldCharType="end"/>
      </w:r>
      <w:r>
        <w:rPr>
          <w:rFonts w:hint="eastAsia"/>
        </w:rPr>
        <w:t>。</w:t>
      </w:r>
    </w:p>
    <w:p>
      <w:pPr>
        <w:pStyle w:val="14"/>
        <w:keepNext/>
      </w:pPr>
      <w:r>
        <w:t xml:space="preserve">表 </w:t>
      </w:r>
      <w:r>
        <w:fldChar w:fldCharType="begin"/>
      </w:r>
      <w:r>
        <w:instrText xml:space="preserve"> STYLEREF 2 \s </w:instrText>
      </w:r>
      <w:r>
        <w:fldChar w:fldCharType="separate"/>
      </w:r>
      <w:r>
        <w:t>1.8</w:t>
      </w:r>
      <w:r>
        <w:fldChar w:fldCharType="end"/>
      </w:r>
      <w:r>
        <w:noBreakHyphen/>
      </w:r>
      <w:r>
        <w:fldChar w:fldCharType="begin"/>
      </w:r>
      <w:r>
        <w:instrText xml:space="preserve"> SEQ 表 \* ARABIC \s 2 </w:instrText>
      </w:r>
      <w:r>
        <w:fldChar w:fldCharType="separate"/>
      </w:r>
      <w:r>
        <w:t>2</w:t>
      </w:r>
      <w:r>
        <w:fldChar w:fldCharType="end"/>
      </w:r>
      <w:r>
        <w:rPr>
          <w:rFonts w:hint="eastAsia"/>
        </w:rPr>
        <w:t xml:space="preserve">   生态保护目标</w:t>
      </w:r>
    </w:p>
    <w:tbl>
      <w:tblPr>
        <w:tblStyle w:val="39"/>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566"/>
        <w:gridCol w:w="4394"/>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Align w:val="center"/>
          </w:tcPr>
          <w:p>
            <w:pPr>
              <w:pStyle w:val="63"/>
            </w:pPr>
            <w:r>
              <w:rPr>
                <w:rFonts w:hint="eastAsia"/>
              </w:rPr>
              <w:t>类型</w:t>
            </w:r>
          </w:p>
        </w:tc>
        <w:tc>
          <w:tcPr>
            <w:tcW w:w="1566" w:type="dxa"/>
            <w:vAlign w:val="center"/>
          </w:tcPr>
          <w:p>
            <w:pPr>
              <w:pStyle w:val="63"/>
            </w:pPr>
            <w:r>
              <w:rPr>
                <w:rFonts w:hint="eastAsia"/>
              </w:rPr>
              <w:t>生态保护目标</w:t>
            </w:r>
          </w:p>
        </w:tc>
        <w:tc>
          <w:tcPr>
            <w:tcW w:w="4394" w:type="dxa"/>
            <w:vAlign w:val="center"/>
          </w:tcPr>
          <w:p>
            <w:pPr>
              <w:pStyle w:val="63"/>
            </w:pPr>
            <w:r>
              <w:rPr>
                <w:rFonts w:hint="eastAsia"/>
              </w:rPr>
              <w:t>保护对象</w:t>
            </w:r>
          </w:p>
        </w:tc>
        <w:tc>
          <w:tcPr>
            <w:tcW w:w="1927" w:type="dxa"/>
            <w:vAlign w:val="center"/>
          </w:tcPr>
          <w:p>
            <w:pPr>
              <w:pStyle w:val="63"/>
            </w:pPr>
            <w:r>
              <w:rPr>
                <w:rFonts w:hint="eastAsia"/>
              </w:rPr>
              <w:t>相对位置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Align w:val="center"/>
          </w:tcPr>
          <w:p>
            <w:pPr>
              <w:pStyle w:val="63"/>
            </w:pPr>
            <w:r>
              <w:rPr>
                <w:rFonts w:hint="eastAsia"/>
              </w:rPr>
              <w:t>鱼类</w:t>
            </w:r>
          </w:p>
        </w:tc>
        <w:tc>
          <w:tcPr>
            <w:tcW w:w="1566" w:type="dxa"/>
            <w:vAlign w:val="center"/>
          </w:tcPr>
          <w:p>
            <w:pPr>
              <w:pStyle w:val="63"/>
            </w:pPr>
            <w:r>
              <w:rPr>
                <w:rFonts w:hint="eastAsia"/>
              </w:rPr>
              <w:t>鱼类</w:t>
            </w:r>
          </w:p>
        </w:tc>
        <w:tc>
          <w:tcPr>
            <w:tcW w:w="4394" w:type="dxa"/>
            <w:vAlign w:val="center"/>
          </w:tcPr>
          <w:p>
            <w:pPr>
              <w:pStyle w:val="63"/>
            </w:pPr>
            <w:r>
              <w:rPr>
                <w:rFonts w:hint="eastAsia"/>
              </w:rPr>
              <w:t>白条鱼、黄颡鱼、鲤鱼、鲫鱼等</w:t>
            </w:r>
          </w:p>
        </w:tc>
        <w:tc>
          <w:tcPr>
            <w:tcW w:w="1927" w:type="dxa"/>
            <w:vAlign w:val="center"/>
          </w:tcPr>
          <w:p>
            <w:pPr>
              <w:pStyle w:val="63"/>
            </w:pPr>
            <w:r>
              <w:rPr>
                <w:rFonts w:hint="eastAsia"/>
              </w:rPr>
              <w:t>排口下游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Align w:val="center"/>
          </w:tcPr>
          <w:p>
            <w:pPr>
              <w:pStyle w:val="63"/>
            </w:pPr>
            <w:r>
              <w:rPr>
                <w:rFonts w:hint="eastAsia"/>
              </w:rPr>
              <w:t>产卵场</w:t>
            </w:r>
          </w:p>
        </w:tc>
        <w:tc>
          <w:tcPr>
            <w:tcW w:w="1566" w:type="dxa"/>
            <w:vAlign w:val="center"/>
          </w:tcPr>
          <w:p>
            <w:pPr>
              <w:pStyle w:val="63"/>
            </w:pPr>
            <w:r>
              <w:rPr>
                <w:rFonts w:hint="eastAsia"/>
              </w:rPr>
              <w:t>冒峰村产卵场</w:t>
            </w:r>
          </w:p>
        </w:tc>
        <w:tc>
          <w:tcPr>
            <w:tcW w:w="4394" w:type="dxa"/>
            <w:vAlign w:val="center"/>
          </w:tcPr>
          <w:p>
            <w:pPr>
              <w:pStyle w:val="63"/>
            </w:pPr>
            <w:r>
              <w:t>产粘性卵的产卵场，产卵种类主要为草鱼、鲤鱼、鲢鱼、翘嘴红鲌</w:t>
            </w:r>
            <w:r>
              <w:rPr>
                <w:rFonts w:hint="eastAsia"/>
              </w:rPr>
              <w:t>，</w:t>
            </w:r>
            <w:r>
              <w:t>产卵场面积约2hm</w:t>
            </w:r>
            <w:r>
              <w:rPr>
                <w:vertAlign w:val="superscript"/>
              </w:rPr>
              <w:t>2</w:t>
            </w:r>
          </w:p>
        </w:tc>
        <w:tc>
          <w:tcPr>
            <w:tcW w:w="1927" w:type="dxa"/>
            <w:vAlign w:val="center"/>
          </w:tcPr>
          <w:p>
            <w:pPr>
              <w:pStyle w:val="63"/>
            </w:pPr>
            <w:r>
              <w:rPr>
                <w:rFonts w:hint="eastAsia"/>
              </w:rPr>
              <w:t>排口下游5.0km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Align w:val="center"/>
          </w:tcPr>
          <w:p>
            <w:pPr>
              <w:pStyle w:val="63"/>
            </w:pPr>
            <w:r>
              <w:rPr>
                <w:rFonts w:hint="eastAsia"/>
              </w:rPr>
              <w:t>索饵场</w:t>
            </w:r>
          </w:p>
        </w:tc>
        <w:tc>
          <w:tcPr>
            <w:tcW w:w="1566" w:type="dxa"/>
            <w:vAlign w:val="center"/>
          </w:tcPr>
          <w:p>
            <w:pPr>
              <w:pStyle w:val="63"/>
            </w:pPr>
            <w:r>
              <w:rPr>
                <w:rFonts w:hint="eastAsia"/>
              </w:rPr>
              <w:t>索饵场朱衣河河口区域河段</w:t>
            </w:r>
          </w:p>
        </w:tc>
        <w:tc>
          <w:tcPr>
            <w:tcW w:w="4394" w:type="dxa"/>
            <w:vAlign w:val="center"/>
          </w:tcPr>
          <w:p>
            <w:pPr>
              <w:pStyle w:val="63"/>
            </w:pPr>
            <w:r>
              <w:rPr>
                <w:rFonts w:hint="eastAsia"/>
              </w:rPr>
              <w:t>白条鱼、黄颡鱼、鲤鱼、鲫鱼等</w:t>
            </w:r>
          </w:p>
        </w:tc>
        <w:tc>
          <w:tcPr>
            <w:tcW w:w="1927" w:type="dxa"/>
            <w:vAlign w:val="center"/>
          </w:tcPr>
          <w:p>
            <w:pPr>
              <w:pStyle w:val="63"/>
            </w:pPr>
            <w:r>
              <w:rPr>
                <w:rFonts w:hint="eastAsia"/>
              </w:rPr>
              <w:t>朱衣河河口区域河段，下游10km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Align w:val="center"/>
          </w:tcPr>
          <w:p>
            <w:pPr>
              <w:pStyle w:val="63"/>
            </w:pPr>
            <w:r>
              <w:rPr>
                <w:rFonts w:hint="eastAsia"/>
              </w:rPr>
              <w:t>越冬场</w:t>
            </w:r>
          </w:p>
        </w:tc>
        <w:tc>
          <w:tcPr>
            <w:tcW w:w="1566" w:type="dxa"/>
            <w:vAlign w:val="center"/>
          </w:tcPr>
          <w:p>
            <w:pPr>
              <w:pStyle w:val="63"/>
            </w:pPr>
            <w:r>
              <w:rPr>
                <w:rFonts w:hint="eastAsia"/>
              </w:rPr>
              <w:t>越冬场</w:t>
            </w:r>
          </w:p>
        </w:tc>
        <w:tc>
          <w:tcPr>
            <w:tcW w:w="4394" w:type="dxa"/>
            <w:vAlign w:val="center"/>
          </w:tcPr>
          <w:p>
            <w:pPr>
              <w:pStyle w:val="63"/>
            </w:pPr>
            <w:r>
              <w:rPr>
                <w:rFonts w:hint="eastAsia"/>
              </w:rPr>
              <w:t>鱼类</w:t>
            </w:r>
          </w:p>
        </w:tc>
        <w:tc>
          <w:tcPr>
            <w:tcW w:w="1927" w:type="dxa"/>
            <w:vAlign w:val="center"/>
          </w:tcPr>
          <w:p>
            <w:pPr>
              <w:pStyle w:val="63"/>
            </w:pPr>
            <w:r>
              <w:rPr>
                <w:rFonts w:hint="eastAsia"/>
              </w:rPr>
              <w:t>排口下游5.0km至河口10km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Align w:val="center"/>
          </w:tcPr>
          <w:p>
            <w:pPr>
              <w:pStyle w:val="63"/>
            </w:pPr>
            <w:r>
              <w:rPr>
                <w:rFonts w:hint="eastAsia"/>
              </w:rPr>
              <w:t>洄游水道</w:t>
            </w:r>
          </w:p>
        </w:tc>
        <w:tc>
          <w:tcPr>
            <w:tcW w:w="1566" w:type="dxa"/>
            <w:vAlign w:val="center"/>
          </w:tcPr>
          <w:p>
            <w:pPr>
              <w:pStyle w:val="63"/>
            </w:pPr>
            <w:r>
              <w:rPr>
                <w:rFonts w:hint="eastAsia"/>
              </w:rPr>
              <w:t>鱼类</w:t>
            </w:r>
          </w:p>
        </w:tc>
        <w:tc>
          <w:tcPr>
            <w:tcW w:w="4394" w:type="dxa"/>
            <w:vAlign w:val="center"/>
          </w:tcPr>
          <w:p>
            <w:pPr>
              <w:pStyle w:val="63"/>
            </w:pPr>
            <w:r>
              <w:rPr>
                <w:rFonts w:hint="eastAsia"/>
              </w:rPr>
              <w:t>鱼类</w:t>
            </w:r>
          </w:p>
        </w:tc>
        <w:tc>
          <w:tcPr>
            <w:tcW w:w="1927"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72" w:type="dxa"/>
            <w:gridSpan w:val="4"/>
            <w:vAlign w:val="center"/>
          </w:tcPr>
          <w:p>
            <w:pPr>
              <w:pStyle w:val="64"/>
            </w:pPr>
            <w:r>
              <w:rPr>
                <w:rFonts w:hint="eastAsia"/>
              </w:rPr>
              <w:t>注：项目位置为位置零点。</w:t>
            </w:r>
          </w:p>
        </w:tc>
      </w:tr>
    </w:tbl>
    <w:p>
      <w:pPr>
        <w:pStyle w:val="5"/>
        <w:ind w:firstLine="480"/>
      </w:pPr>
    </w:p>
    <w:p>
      <w:pPr>
        <w:pStyle w:val="2"/>
      </w:pPr>
      <w:r>
        <w:rPr>
          <w:rFonts w:hint="eastAsia"/>
        </w:rPr>
        <w:t>工程分析</w:t>
      </w:r>
    </w:p>
    <w:p>
      <w:pPr>
        <w:pStyle w:val="3"/>
        <w:spacing w:before="156" w:after="156"/>
      </w:pPr>
      <w:r>
        <w:rPr>
          <w:rFonts w:hint="eastAsia"/>
        </w:rPr>
        <w:t>污水量核算</w:t>
      </w:r>
    </w:p>
    <w:p>
      <w:pPr>
        <w:pStyle w:val="5"/>
        <w:ind w:firstLine="480"/>
      </w:pPr>
      <w:r>
        <w:rPr>
          <w:rFonts w:hint="eastAsia"/>
        </w:rPr>
        <w:t>项目营运期废水以污水处理厂收集污水为主，同时产生生活污水（W1）、脱水污泥废水（W2）、滤池反冲洗水（W3）、化验室器皿清洗废水（W4）、地面清洗废水（W5）。</w:t>
      </w:r>
    </w:p>
    <w:p>
      <w:pPr>
        <w:pStyle w:val="5"/>
        <w:numPr>
          <w:ilvl w:val="0"/>
          <w:numId w:val="21"/>
        </w:numPr>
        <w:ind w:firstLineChars="0"/>
      </w:pPr>
      <w:r>
        <w:rPr>
          <w:rFonts w:hint="eastAsia"/>
        </w:rPr>
        <w:t>生活污水W1</w:t>
      </w:r>
    </w:p>
    <w:p>
      <w:pPr>
        <w:pStyle w:val="5"/>
        <w:ind w:firstLine="480"/>
      </w:pPr>
      <w:r>
        <w:rPr>
          <w:rFonts w:hint="eastAsia"/>
        </w:rPr>
        <w:t>项目劳动定员12人，生活用水按100L/人·d计，日用水量1.2m</w:t>
      </w:r>
      <w:r>
        <w:rPr>
          <w:rFonts w:hint="eastAsia"/>
          <w:vertAlign w:val="superscript"/>
        </w:rPr>
        <w:t>3</w:t>
      </w:r>
      <w:r>
        <w:rPr>
          <w:rFonts w:hint="eastAsia"/>
        </w:rPr>
        <w:t>/d，年用水438m</w:t>
      </w:r>
      <w:r>
        <w:rPr>
          <w:rFonts w:hint="eastAsia"/>
          <w:vertAlign w:val="superscript"/>
        </w:rPr>
        <w:t>3</w:t>
      </w:r>
      <w:r>
        <w:rPr>
          <w:rFonts w:hint="eastAsia"/>
        </w:rPr>
        <w:t>/a，污水产生系数0.9计，日污水产生量1.08m</w:t>
      </w:r>
      <w:r>
        <w:rPr>
          <w:rFonts w:hint="eastAsia"/>
          <w:vertAlign w:val="superscript"/>
        </w:rPr>
        <w:t>3</w:t>
      </w:r>
      <w:r>
        <w:rPr>
          <w:rFonts w:hint="eastAsia"/>
        </w:rPr>
        <w:t>/d，年污水产生量394.2 m</w:t>
      </w:r>
      <w:r>
        <w:rPr>
          <w:rFonts w:hint="eastAsia"/>
          <w:vertAlign w:val="superscript"/>
        </w:rPr>
        <w:t>3</w:t>
      </w:r>
      <w:r>
        <w:rPr>
          <w:rFonts w:hint="eastAsia"/>
        </w:rPr>
        <w:t>/a，污染物为COD、氨氮、总磷等，管道导入厂区污水处理系统处理。</w:t>
      </w:r>
    </w:p>
    <w:p>
      <w:pPr>
        <w:pStyle w:val="5"/>
        <w:numPr>
          <w:ilvl w:val="0"/>
          <w:numId w:val="21"/>
        </w:numPr>
        <w:ind w:firstLineChars="0"/>
      </w:pPr>
      <w:r>
        <w:rPr>
          <w:rFonts w:hint="eastAsia"/>
        </w:rPr>
        <w:t>脱水污泥废水W2</w:t>
      </w:r>
    </w:p>
    <w:p>
      <w:pPr>
        <w:pStyle w:val="5"/>
        <w:ind w:firstLine="480"/>
      </w:pPr>
      <w:r>
        <w:rPr>
          <w:rFonts w:hint="eastAsia"/>
        </w:rPr>
        <w:t>污泥脱水过程中产生，日均产生量20m</w:t>
      </w:r>
      <w:r>
        <w:rPr>
          <w:rFonts w:hint="eastAsia"/>
          <w:vertAlign w:val="superscript"/>
        </w:rPr>
        <w:t>3</w:t>
      </w:r>
      <w:r>
        <w:rPr>
          <w:rFonts w:hint="eastAsia"/>
        </w:rPr>
        <w:t>/d，污染物为COD、氨氮、总磷等，管道导入厂区污水处理系统处理。</w:t>
      </w:r>
    </w:p>
    <w:p>
      <w:pPr>
        <w:pStyle w:val="5"/>
        <w:numPr>
          <w:ilvl w:val="0"/>
          <w:numId w:val="21"/>
        </w:numPr>
        <w:ind w:firstLineChars="0"/>
      </w:pPr>
      <w:r>
        <w:rPr>
          <w:rFonts w:hint="eastAsia"/>
        </w:rPr>
        <w:t>滤池反冲洗水W3</w:t>
      </w:r>
    </w:p>
    <w:p>
      <w:pPr>
        <w:pStyle w:val="5"/>
        <w:ind w:firstLine="480"/>
      </w:pPr>
      <w:r>
        <w:t>滤池需要定期反冲洗，</w:t>
      </w:r>
      <w:r>
        <w:rPr>
          <w:rFonts w:hint="eastAsia"/>
        </w:rPr>
        <w:t>水冲洗强度4</w:t>
      </w:r>
      <w:r>
        <w:t>L</w:t>
      </w:r>
      <w:r>
        <w:rPr>
          <w:rFonts w:hint="eastAsia"/>
        </w:rPr>
        <w:t>/</w:t>
      </w:r>
      <w:r>
        <w:t>m</w:t>
      </w:r>
      <w:r>
        <w:rPr>
          <w:rFonts w:hint="eastAsia"/>
          <w:vertAlign w:val="superscript"/>
        </w:rPr>
        <w:t>2</w:t>
      </w:r>
      <w:r>
        <w:t>·s，</w:t>
      </w:r>
      <w:r>
        <w:rPr>
          <w:rFonts w:hint="eastAsia"/>
        </w:rPr>
        <w:t>历时4</w:t>
      </w:r>
      <w:r>
        <w:t>min，</w:t>
      </w:r>
      <w:r>
        <w:rPr>
          <w:rFonts w:hint="eastAsia"/>
        </w:rPr>
        <w:t>滤池面积166</w:t>
      </w:r>
      <w:r>
        <w:t>m</w:t>
      </w:r>
      <w:r>
        <w:rPr>
          <w:rFonts w:hint="eastAsia"/>
        </w:rPr>
        <w:t>2</w:t>
      </w:r>
      <w:r>
        <w:t>，单次耗水量</w:t>
      </w:r>
      <w:r>
        <w:rPr>
          <w:rFonts w:hint="eastAsia"/>
        </w:rPr>
        <w:t>160m</w:t>
      </w:r>
      <w:r>
        <w:rPr>
          <w:rFonts w:hint="eastAsia"/>
          <w:vertAlign w:val="superscript"/>
        </w:rPr>
        <w:t>3</w:t>
      </w:r>
      <w:r>
        <w:rPr>
          <w:rFonts w:hint="eastAsia"/>
        </w:rPr>
        <w:t>/次，冲洗周期2次/月，冲洗水为市政供水，年用水量3840 m</w:t>
      </w:r>
      <w:r>
        <w:rPr>
          <w:rFonts w:hint="eastAsia"/>
          <w:vertAlign w:val="superscript"/>
        </w:rPr>
        <w:t>3</w:t>
      </w:r>
      <w:r>
        <w:rPr>
          <w:rFonts w:hint="eastAsia"/>
        </w:rPr>
        <w:t>/a，日均10.6m</w:t>
      </w:r>
      <w:r>
        <w:rPr>
          <w:rFonts w:hint="eastAsia"/>
          <w:vertAlign w:val="superscript"/>
        </w:rPr>
        <w:t>3</w:t>
      </w:r>
      <w:r>
        <w:rPr>
          <w:rFonts w:hint="eastAsia"/>
        </w:rPr>
        <w:t>/d，污水产生系数按1计，则年污水量3840 m</w:t>
      </w:r>
      <w:r>
        <w:rPr>
          <w:rFonts w:hint="eastAsia"/>
          <w:vertAlign w:val="superscript"/>
        </w:rPr>
        <w:t>3</w:t>
      </w:r>
      <w:r>
        <w:rPr>
          <w:rFonts w:hint="eastAsia"/>
        </w:rPr>
        <w:t>/a，日均10.6m</w:t>
      </w:r>
      <w:r>
        <w:rPr>
          <w:rFonts w:hint="eastAsia"/>
          <w:vertAlign w:val="superscript"/>
        </w:rPr>
        <w:t>3</w:t>
      </w:r>
      <w:r>
        <w:rPr>
          <w:rFonts w:hint="eastAsia"/>
        </w:rPr>
        <w:t>/d，污染物为COD、氨氮、总磷等，管道导入厂区污水处理系统处理。</w:t>
      </w:r>
    </w:p>
    <w:p>
      <w:pPr>
        <w:pStyle w:val="5"/>
        <w:numPr>
          <w:ilvl w:val="0"/>
          <w:numId w:val="21"/>
        </w:numPr>
        <w:ind w:firstLineChars="0"/>
      </w:pPr>
      <w:r>
        <w:rPr>
          <w:rFonts w:hint="eastAsia"/>
        </w:rPr>
        <w:t>化验室器皿清洁废水W4</w:t>
      </w:r>
    </w:p>
    <w:p>
      <w:pPr>
        <w:pStyle w:val="5"/>
        <w:ind w:firstLine="480"/>
      </w:pPr>
      <w:r>
        <w:rPr>
          <w:rFonts w:hint="eastAsia"/>
        </w:rPr>
        <w:t>器皿首次清洗水作为危废处置，化验室器皿年清洗水约50m</w:t>
      </w:r>
      <w:r>
        <w:rPr>
          <w:rFonts w:hint="eastAsia"/>
          <w:vertAlign w:val="superscript"/>
        </w:rPr>
        <w:t>3</w:t>
      </w:r>
      <w:r>
        <w:rPr>
          <w:rFonts w:hint="eastAsia"/>
        </w:rPr>
        <w:t>/a，日均0.14m</w:t>
      </w:r>
      <w:r>
        <w:rPr>
          <w:rFonts w:hint="eastAsia"/>
          <w:vertAlign w:val="superscript"/>
        </w:rPr>
        <w:t>3</w:t>
      </w:r>
      <w:r>
        <w:rPr>
          <w:rFonts w:hint="eastAsia"/>
        </w:rPr>
        <w:t>/d，污水产生系数0.9，污水产生量45 m</w:t>
      </w:r>
      <w:r>
        <w:rPr>
          <w:rFonts w:hint="eastAsia"/>
          <w:vertAlign w:val="superscript"/>
        </w:rPr>
        <w:t>3</w:t>
      </w:r>
      <w:r>
        <w:rPr>
          <w:rFonts w:hint="eastAsia"/>
        </w:rPr>
        <w:t>/a，日均0.13m</w:t>
      </w:r>
      <w:r>
        <w:rPr>
          <w:rFonts w:hint="eastAsia"/>
          <w:vertAlign w:val="superscript"/>
        </w:rPr>
        <w:t>3</w:t>
      </w:r>
      <w:r>
        <w:rPr>
          <w:rFonts w:hint="eastAsia"/>
        </w:rPr>
        <w:t>/d，污染物为COD、氨氮、总磷等，管道导入厂区污水处理系统处理。</w:t>
      </w:r>
    </w:p>
    <w:p>
      <w:pPr>
        <w:pStyle w:val="5"/>
        <w:numPr>
          <w:ilvl w:val="0"/>
          <w:numId w:val="21"/>
        </w:numPr>
        <w:ind w:firstLineChars="0"/>
      </w:pPr>
      <w:r>
        <w:rPr>
          <w:rFonts w:hint="eastAsia"/>
        </w:rPr>
        <w:t>地面清洗废水</w:t>
      </w:r>
      <w:r>
        <w:t>W5</w:t>
      </w:r>
    </w:p>
    <w:p>
      <w:pPr>
        <w:pStyle w:val="5"/>
        <w:ind w:firstLine="480"/>
      </w:pPr>
      <w:r>
        <w:t>地面清洗</w:t>
      </w:r>
      <w:r>
        <w:rPr>
          <w:rFonts w:hint="eastAsia"/>
        </w:rPr>
        <w:t>用水1.88m</w:t>
      </w:r>
      <w:r>
        <w:rPr>
          <w:rFonts w:hint="eastAsia"/>
          <w:vertAlign w:val="superscript"/>
        </w:rPr>
        <w:t>3</w:t>
      </w:r>
      <w:r>
        <w:rPr>
          <w:rFonts w:hint="eastAsia"/>
        </w:rPr>
        <w:t>/d，年用水685m</w:t>
      </w:r>
      <w:r>
        <w:rPr>
          <w:rFonts w:hint="eastAsia"/>
          <w:vertAlign w:val="superscript"/>
        </w:rPr>
        <w:t>3</w:t>
      </w:r>
      <w:r>
        <w:rPr>
          <w:rFonts w:hint="eastAsia"/>
        </w:rPr>
        <w:t>/a，污水产生系数按0.8计，</w:t>
      </w:r>
      <w:r>
        <w:t>废水日排放量1.</w:t>
      </w:r>
      <w:r>
        <w:rPr>
          <w:rFonts w:hint="eastAsia"/>
        </w:rPr>
        <w:t>5</w:t>
      </w:r>
      <w:r>
        <w:t>m</w:t>
      </w:r>
      <w:r>
        <w:rPr>
          <w:vertAlign w:val="superscript"/>
        </w:rPr>
        <w:t>3</w:t>
      </w:r>
      <w:r>
        <w:t>/d，年排水量</w:t>
      </w:r>
      <w:r>
        <w:rPr>
          <w:rFonts w:hint="eastAsia"/>
        </w:rPr>
        <w:t>548</w:t>
      </w:r>
      <w:r>
        <w:t>m</w:t>
      </w:r>
      <w:r>
        <w:rPr>
          <w:vertAlign w:val="superscript"/>
        </w:rPr>
        <w:t>3</w:t>
      </w:r>
      <w:r>
        <w:t>/a，主要污染物浓度SS 350mg/L</w:t>
      </w:r>
      <w:r>
        <w:rPr>
          <w:rFonts w:hint="eastAsia"/>
        </w:rPr>
        <w:t>, 管道导入厂区污水处理系统处理。</w:t>
      </w:r>
    </w:p>
    <w:p>
      <w:pPr>
        <w:pStyle w:val="5"/>
        <w:ind w:firstLine="480"/>
      </w:pPr>
      <w:r>
        <w:rPr>
          <w:rFonts w:hint="eastAsia"/>
        </w:rPr>
        <w:t>项目污水处理厂处理规模10000m</w:t>
      </w:r>
      <w:r>
        <w:rPr>
          <w:rFonts w:hint="eastAsia"/>
          <w:vertAlign w:val="superscript"/>
        </w:rPr>
        <w:t>3</w:t>
      </w:r>
      <w:r>
        <w:rPr>
          <w:rFonts w:hint="eastAsia"/>
        </w:rPr>
        <w:t>/d，废水污染物排放情况见</w:t>
      </w:r>
      <w:r>
        <w:fldChar w:fldCharType="begin"/>
      </w:r>
      <w:r>
        <w:instrText xml:space="preserve"> </w:instrText>
      </w:r>
      <w:r>
        <w:rPr>
          <w:rFonts w:hint="eastAsia"/>
        </w:rPr>
        <w:instrText xml:space="preserve">REF _Ref169794498 \h</w:instrText>
      </w:r>
      <w:r>
        <w:instrText xml:space="preserve"> </w:instrText>
      </w:r>
      <w:r>
        <w:fldChar w:fldCharType="separate"/>
      </w:r>
      <w:r>
        <w:t>表 2.1</w:t>
      </w:r>
      <w:r>
        <w:noBreakHyphen/>
      </w:r>
      <w:r>
        <w:t>1</w:t>
      </w:r>
      <w:r>
        <w:fldChar w:fldCharType="end"/>
      </w:r>
      <w:r>
        <w:rPr>
          <w:rFonts w:hint="eastAsia"/>
        </w:rPr>
        <w:t>。</w:t>
      </w:r>
    </w:p>
    <w:p>
      <w:pPr>
        <w:pStyle w:val="14"/>
        <w:keepNext/>
      </w:pPr>
      <w:bookmarkStart w:id="102" w:name="_Ref169794498"/>
      <w:r>
        <w:t xml:space="preserve">表 </w:t>
      </w:r>
      <w:r>
        <w:fldChar w:fldCharType="begin"/>
      </w:r>
      <w:r>
        <w:instrText xml:space="preserve"> STYLEREF 2 \s </w:instrText>
      </w:r>
      <w:r>
        <w:fldChar w:fldCharType="separate"/>
      </w:r>
      <w:r>
        <w:t>2.1</w:t>
      </w:r>
      <w:r>
        <w:fldChar w:fldCharType="end"/>
      </w:r>
      <w:r>
        <w:noBreakHyphen/>
      </w:r>
      <w:r>
        <w:fldChar w:fldCharType="begin"/>
      </w:r>
      <w:r>
        <w:instrText xml:space="preserve"> SEQ 表 \* ARABIC \s 2 </w:instrText>
      </w:r>
      <w:r>
        <w:fldChar w:fldCharType="separate"/>
      </w:r>
      <w:r>
        <w:t>1</w:t>
      </w:r>
      <w:r>
        <w:fldChar w:fldCharType="end"/>
      </w:r>
      <w:bookmarkEnd w:id="102"/>
      <w:r>
        <w:rPr>
          <w:rFonts w:hint="eastAsia"/>
        </w:rPr>
        <w:t xml:space="preserve">   废水污染物排放情况</w:t>
      </w:r>
    </w:p>
    <w:tbl>
      <w:tblPr>
        <w:tblStyle w:val="39"/>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850"/>
        <w:gridCol w:w="1174"/>
        <w:gridCol w:w="1013"/>
        <w:gridCol w:w="1014"/>
        <w:gridCol w:w="1014"/>
        <w:gridCol w:w="888"/>
        <w:gridCol w:w="992"/>
        <w:gridCol w:w="709"/>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1" w:type="dxa"/>
            <w:vAlign w:val="center"/>
          </w:tcPr>
          <w:p>
            <w:pPr>
              <w:pStyle w:val="63"/>
            </w:pPr>
            <w:r>
              <w:rPr>
                <w:rFonts w:hint="eastAsia"/>
              </w:rPr>
              <w:t>类型</w:t>
            </w:r>
          </w:p>
        </w:tc>
        <w:tc>
          <w:tcPr>
            <w:tcW w:w="850" w:type="dxa"/>
            <w:noWrap/>
            <w:vAlign w:val="center"/>
          </w:tcPr>
          <w:p>
            <w:pPr>
              <w:pStyle w:val="63"/>
              <w:rPr>
                <w:rFonts w:cs="宋体"/>
              </w:rPr>
            </w:pPr>
            <w:r>
              <w:rPr>
                <w:rFonts w:hint="eastAsia"/>
              </w:rPr>
              <w:t>污染物</w:t>
            </w:r>
          </w:p>
        </w:tc>
        <w:tc>
          <w:tcPr>
            <w:tcW w:w="1174" w:type="dxa"/>
            <w:noWrap/>
            <w:vAlign w:val="center"/>
          </w:tcPr>
          <w:p>
            <w:pPr>
              <w:pStyle w:val="63"/>
            </w:pPr>
            <w:r>
              <w:rPr>
                <w:rFonts w:hint="eastAsia"/>
              </w:rPr>
              <w:t>进水浓度</w:t>
            </w:r>
          </w:p>
          <w:p>
            <w:pPr>
              <w:pStyle w:val="63"/>
            </w:pPr>
            <w:r>
              <w:rPr>
                <w:rFonts w:hint="eastAsia"/>
              </w:rPr>
              <w:t>mg/L</w:t>
            </w:r>
          </w:p>
        </w:tc>
        <w:tc>
          <w:tcPr>
            <w:tcW w:w="1013" w:type="dxa"/>
            <w:noWrap/>
            <w:vAlign w:val="center"/>
          </w:tcPr>
          <w:p>
            <w:pPr>
              <w:pStyle w:val="63"/>
            </w:pPr>
            <w:r>
              <w:rPr>
                <w:rFonts w:hint="eastAsia"/>
              </w:rPr>
              <w:t>产生量t/a</w:t>
            </w:r>
          </w:p>
        </w:tc>
        <w:tc>
          <w:tcPr>
            <w:tcW w:w="1014" w:type="dxa"/>
            <w:noWrap/>
            <w:vAlign w:val="center"/>
          </w:tcPr>
          <w:p>
            <w:pPr>
              <w:pStyle w:val="63"/>
            </w:pPr>
            <w:r>
              <w:rPr>
                <w:rFonts w:hint="eastAsia"/>
              </w:rPr>
              <w:t>排放浓度mg/L</w:t>
            </w:r>
          </w:p>
        </w:tc>
        <w:tc>
          <w:tcPr>
            <w:tcW w:w="1014" w:type="dxa"/>
            <w:noWrap/>
            <w:vAlign w:val="center"/>
          </w:tcPr>
          <w:p>
            <w:pPr>
              <w:pStyle w:val="63"/>
            </w:pPr>
            <w:r>
              <w:rPr>
                <w:rFonts w:hint="eastAsia"/>
              </w:rPr>
              <w:t>排放量t/a</w:t>
            </w:r>
          </w:p>
        </w:tc>
        <w:tc>
          <w:tcPr>
            <w:tcW w:w="888" w:type="dxa"/>
            <w:noWrap/>
            <w:vAlign w:val="center"/>
          </w:tcPr>
          <w:p>
            <w:pPr>
              <w:pStyle w:val="63"/>
            </w:pPr>
            <w:r>
              <w:rPr>
                <w:rFonts w:hint="eastAsia"/>
              </w:rPr>
              <w:t>去除效率</w:t>
            </w:r>
          </w:p>
        </w:tc>
        <w:tc>
          <w:tcPr>
            <w:tcW w:w="992" w:type="dxa"/>
            <w:noWrap/>
            <w:vAlign w:val="center"/>
          </w:tcPr>
          <w:p>
            <w:pPr>
              <w:pStyle w:val="63"/>
            </w:pPr>
            <w:r>
              <w:rPr>
                <w:rFonts w:hint="eastAsia"/>
              </w:rPr>
              <w:t>削减量t/a</w:t>
            </w:r>
          </w:p>
        </w:tc>
        <w:tc>
          <w:tcPr>
            <w:tcW w:w="709" w:type="dxa"/>
            <w:noWrap/>
            <w:vAlign w:val="center"/>
          </w:tcPr>
          <w:p>
            <w:pPr>
              <w:pStyle w:val="63"/>
            </w:pPr>
            <w:r>
              <w:rPr>
                <w:rFonts w:hint="eastAsia"/>
              </w:rPr>
              <w:t>排放去向</w:t>
            </w:r>
          </w:p>
        </w:tc>
        <w:tc>
          <w:tcPr>
            <w:tcW w:w="873" w:type="dxa"/>
            <w:vAlign w:val="center"/>
          </w:tcPr>
          <w:p>
            <w:pPr>
              <w:pStyle w:val="63"/>
            </w:pPr>
            <w:r>
              <w:rPr>
                <w:rFonts w:hint="eastAsia"/>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1" w:type="dxa"/>
            <w:vMerge w:val="restart"/>
            <w:vAlign w:val="center"/>
          </w:tcPr>
          <w:p>
            <w:pPr>
              <w:pStyle w:val="63"/>
            </w:pPr>
            <w:r>
              <w:rPr>
                <w:rFonts w:hint="eastAsia"/>
              </w:rPr>
              <w:t>废水</w:t>
            </w:r>
          </w:p>
        </w:tc>
        <w:tc>
          <w:tcPr>
            <w:tcW w:w="850" w:type="dxa"/>
            <w:noWrap/>
            <w:vAlign w:val="center"/>
          </w:tcPr>
          <w:p>
            <w:pPr>
              <w:pStyle w:val="63"/>
            </w:pPr>
            <w:r>
              <w:rPr>
                <w:rFonts w:hint="eastAsia"/>
              </w:rPr>
              <w:t>COD</w:t>
            </w:r>
          </w:p>
        </w:tc>
        <w:tc>
          <w:tcPr>
            <w:tcW w:w="1174" w:type="dxa"/>
            <w:noWrap/>
            <w:vAlign w:val="center"/>
          </w:tcPr>
          <w:p>
            <w:pPr>
              <w:pStyle w:val="63"/>
            </w:pPr>
            <w:r>
              <w:t>500</w:t>
            </w:r>
          </w:p>
        </w:tc>
        <w:tc>
          <w:tcPr>
            <w:tcW w:w="1013" w:type="dxa"/>
            <w:noWrap/>
            <w:vAlign w:val="center"/>
          </w:tcPr>
          <w:p>
            <w:pPr>
              <w:pStyle w:val="63"/>
            </w:pPr>
            <w:r>
              <w:t>1825</w:t>
            </w:r>
          </w:p>
        </w:tc>
        <w:tc>
          <w:tcPr>
            <w:tcW w:w="1014" w:type="dxa"/>
            <w:noWrap/>
            <w:vAlign w:val="center"/>
          </w:tcPr>
          <w:p>
            <w:pPr>
              <w:pStyle w:val="63"/>
            </w:pPr>
            <w:r>
              <w:t>50</w:t>
            </w:r>
          </w:p>
        </w:tc>
        <w:tc>
          <w:tcPr>
            <w:tcW w:w="1014" w:type="dxa"/>
            <w:noWrap/>
            <w:vAlign w:val="center"/>
          </w:tcPr>
          <w:p>
            <w:pPr>
              <w:pStyle w:val="63"/>
            </w:pPr>
            <w:r>
              <w:t>182.5</w:t>
            </w:r>
          </w:p>
        </w:tc>
        <w:tc>
          <w:tcPr>
            <w:tcW w:w="888" w:type="dxa"/>
            <w:noWrap/>
            <w:vAlign w:val="center"/>
          </w:tcPr>
          <w:p>
            <w:pPr>
              <w:pStyle w:val="63"/>
            </w:pPr>
            <w:r>
              <w:t>90%</w:t>
            </w:r>
          </w:p>
        </w:tc>
        <w:tc>
          <w:tcPr>
            <w:tcW w:w="992" w:type="dxa"/>
            <w:noWrap/>
            <w:vAlign w:val="center"/>
          </w:tcPr>
          <w:p>
            <w:pPr>
              <w:pStyle w:val="63"/>
            </w:pPr>
            <w:r>
              <w:t>1642.5</w:t>
            </w:r>
          </w:p>
        </w:tc>
        <w:tc>
          <w:tcPr>
            <w:tcW w:w="709" w:type="dxa"/>
            <w:vMerge w:val="restart"/>
            <w:noWrap/>
            <w:vAlign w:val="center"/>
          </w:tcPr>
          <w:p>
            <w:pPr>
              <w:pStyle w:val="63"/>
            </w:pPr>
            <w:r>
              <w:rPr>
                <w:rFonts w:hint="eastAsia"/>
              </w:rPr>
              <w:t>朱衣河</w:t>
            </w:r>
          </w:p>
        </w:tc>
        <w:tc>
          <w:tcPr>
            <w:tcW w:w="873" w:type="dxa"/>
            <w:vMerge w:val="restart"/>
            <w:vAlign w:val="center"/>
          </w:tcPr>
          <w:p>
            <w:pPr>
              <w:pStyle w:val="63"/>
            </w:pPr>
            <w:r>
              <w:rPr>
                <w:rFonts w:hint="eastAsia"/>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1" w:type="dxa"/>
            <w:vMerge w:val="continue"/>
            <w:vAlign w:val="center"/>
          </w:tcPr>
          <w:p>
            <w:pPr>
              <w:pStyle w:val="63"/>
            </w:pPr>
          </w:p>
        </w:tc>
        <w:tc>
          <w:tcPr>
            <w:tcW w:w="850" w:type="dxa"/>
            <w:noWrap/>
            <w:vAlign w:val="center"/>
          </w:tcPr>
          <w:p>
            <w:pPr>
              <w:pStyle w:val="63"/>
              <w:rPr>
                <w:rFonts w:cs="宋体"/>
              </w:rPr>
            </w:pPr>
            <w:r>
              <w:rPr>
                <w:rFonts w:hint="eastAsia"/>
              </w:rPr>
              <w:t>BOD</w:t>
            </w:r>
            <w:r>
              <w:rPr>
                <w:rFonts w:hint="eastAsia"/>
                <w:vertAlign w:val="subscript"/>
              </w:rPr>
              <w:t>5</w:t>
            </w:r>
          </w:p>
        </w:tc>
        <w:tc>
          <w:tcPr>
            <w:tcW w:w="1174" w:type="dxa"/>
            <w:noWrap/>
            <w:vAlign w:val="center"/>
          </w:tcPr>
          <w:p>
            <w:pPr>
              <w:pStyle w:val="63"/>
            </w:pPr>
            <w:r>
              <w:t>300</w:t>
            </w:r>
          </w:p>
        </w:tc>
        <w:tc>
          <w:tcPr>
            <w:tcW w:w="1013" w:type="dxa"/>
            <w:noWrap/>
            <w:vAlign w:val="center"/>
          </w:tcPr>
          <w:p>
            <w:pPr>
              <w:pStyle w:val="63"/>
            </w:pPr>
            <w:r>
              <w:t>1095</w:t>
            </w:r>
          </w:p>
        </w:tc>
        <w:tc>
          <w:tcPr>
            <w:tcW w:w="1014" w:type="dxa"/>
            <w:noWrap/>
            <w:vAlign w:val="center"/>
          </w:tcPr>
          <w:p>
            <w:pPr>
              <w:pStyle w:val="63"/>
            </w:pPr>
            <w:r>
              <w:t>10</w:t>
            </w:r>
          </w:p>
        </w:tc>
        <w:tc>
          <w:tcPr>
            <w:tcW w:w="1014" w:type="dxa"/>
            <w:noWrap/>
            <w:vAlign w:val="center"/>
          </w:tcPr>
          <w:p>
            <w:pPr>
              <w:pStyle w:val="63"/>
            </w:pPr>
            <w:r>
              <w:t>36.5</w:t>
            </w:r>
          </w:p>
        </w:tc>
        <w:tc>
          <w:tcPr>
            <w:tcW w:w="888" w:type="dxa"/>
            <w:noWrap/>
            <w:vAlign w:val="center"/>
          </w:tcPr>
          <w:p>
            <w:pPr>
              <w:pStyle w:val="63"/>
            </w:pPr>
            <w:r>
              <w:t>97%</w:t>
            </w:r>
          </w:p>
        </w:tc>
        <w:tc>
          <w:tcPr>
            <w:tcW w:w="992" w:type="dxa"/>
            <w:noWrap/>
            <w:vAlign w:val="center"/>
          </w:tcPr>
          <w:p>
            <w:pPr>
              <w:pStyle w:val="63"/>
            </w:pPr>
            <w:r>
              <w:t>1058.5</w:t>
            </w:r>
          </w:p>
        </w:tc>
        <w:tc>
          <w:tcPr>
            <w:tcW w:w="709" w:type="dxa"/>
            <w:vMerge w:val="continue"/>
            <w:noWrap/>
            <w:vAlign w:val="center"/>
          </w:tcPr>
          <w:p>
            <w:pPr>
              <w:pStyle w:val="63"/>
            </w:pPr>
          </w:p>
        </w:tc>
        <w:tc>
          <w:tcPr>
            <w:tcW w:w="873"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1" w:type="dxa"/>
            <w:vMerge w:val="continue"/>
            <w:vAlign w:val="center"/>
          </w:tcPr>
          <w:p>
            <w:pPr>
              <w:pStyle w:val="63"/>
            </w:pPr>
          </w:p>
        </w:tc>
        <w:tc>
          <w:tcPr>
            <w:tcW w:w="850" w:type="dxa"/>
            <w:noWrap/>
            <w:vAlign w:val="center"/>
          </w:tcPr>
          <w:p>
            <w:pPr>
              <w:pStyle w:val="63"/>
              <w:rPr>
                <w:rFonts w:cs="宋体"/>
              </w:rPr>
            </w:pPr>
            <w:r>
              <w:rPr>
                <w:rFonts w:hint="eastAsia"/>
              </w:rPr>
              <w:t>石油类</w:t>
            </w:r>
          </w:p>
        </w:tc>
        <w:tc>
          <w:tcPr>
            <w:tcW w:w="1174" w:type="dxa"/>
            <w:noWrap/>
            <w:vAlign w:val="center"/>
          </w:tcPr>
          <w:p>
            <w:pPr>
              <w:pStyle w:val="63"/>
            </w:pPr>
            <w:r>
              <w:t>20</w:t>
            </w:r>
          </w:p>
        </w:tc>
        <w:tc>
          <w:tcPr>
            <w:tcW w:w="1013" w:type="dxa"/>
            <w:noWrap/>
            <w:vAlign w:val="center"/>
          </w:tcPr>
          <w:p>
            <w:pPr>
              <w:pStyle w:val="63"/>
            </w:pPr>
            <w:r>
              <w:t>73</w:t>
            </w:r>
          </w:p>
        </w:tc>
        <w:tc>
          <w:tcPr>
            <w:tcW w:w="1014" w:type="dxa"/>
            <w:noWrap/>
            <w:vAlign w:val="center"/>
          </w:tcPr>
          <w:p>
            <w:pPr>
              <w:pStyle w:val="63"/>
            </w:pPr>
            <w:r>
              <w:t>1</w:t>
            </w:r>
          </w:p>
        </w:tc>
        <w:tc>
          <w:tcPr>
            <w:tcW w:w="1014" w:type="dxa"/>
            <w:noWrap/>
            <w:vAlign w:val="center"/>
          </w:tcPr>
          <w:p>
            <w:pPr>
              <w:pStyle w:val="63"/>
            </w:pPr>
            <w:r>
              <w:t>3.65</w:t>
            </w:r>
          </w:p>
        </w:tc>
        <w:tc>
          <w:tcPr>
            <w:tcW w:w="888" w:type="dxa"/>
            <w:noWrap/>
            <w:vAlign w:val="center"/>
          </w:tcPr>
          <w:p>
            <w:pPr>
              <w:pStyle w:val="63"/>
            </w:pPr>
            <w:r>
              <w:t>95%</w:t>
            </w:r>
          </w:p>
        </w:tc>
        <w:tc>
          <w:tcPr>
            <w:tcW w:w="992" w:type="dxa"/>
            <w:noWrap/>
            <w:vAlign w:val="center"/>
          </w:tcPr>
          <w:p>
            <w:pPr>
              <w:pStyle w:val="63"/>
            </w:pPr>
            <w:r>
              <w:t>69.35</w:t>
            </w:r>
          </w:p>
        </w:tc>
        <w:tc>
          <w:tcPr>
            <w:tcW w:w="709" w:type="dxa"/>
            <w:vMerge w:val="continue"/>
            <w:noWrap/>
            <w:vAlign w:val="center"/>
          </w:tcPr>
          <w:p>
            <w:pPr>
              <w:pStyle w:val="63"/>
            </w:pPr>
          </w:p>
        </w:tc>
        <w:tc>
          <w:tcPr>
            <w:tcW w:w="873"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1" w:type="dxa"/>
            <w:vMerge w:val="continue"/>
            <w:vAlign w:val="center"/>
          </w:tcPr>
          <w:p>
            <w:pPr>
              <w:pStyle w:val="63"/>
            </w:pPr>
          </w:p>
        </w:tc>
        <w:tc>
          <w:tcPr>
            <w:tcW w:w="850" w:type="dxa"/>
            <w:noWrap/>
            <w:vAlign w:val="center"/>
          </w:tcPr>
          <w:p>
            <w:pPr>
              <w:pStyle w:val="63"/>
            </w:pPr>
            <w:r>
              <w:rPr>
                <w:rFonts w:hint="eastAsia"/>
              </w:rPr>
              <w:t>动植物油</w:t>
            </w:r>
          </w:p>
        </w:tc>
        <w:tc>
          <w:tcPr>
            <w:tcW w:w="1174" w:type="dxa"/>
            <w:noWrap/>
            <w:vAlign w:val="center"/>
          </w:tcPr>
          <w:p>
            <w:pPr>
              <w:pStyle w:val="63"/>
            </w:pPr>
            <w:r>
              <w:t>100</w:t>
            </w:r>
          </w:p>
        </w:tc>
        <w:tc>
          <w:tcPr>
            <w:tcW w:w="1013" w:type="dxa"/>
            <w:noWrap/>
            <w:vAlign w:val="center"/>
          </w:tcPr>
          <w:p>
            <w:pPr>
              <w:pStyle w:val="63"/>
            </w:pPr>
            <w:r>
              <w:t>365</w:t>
            </w:r>
          </w:p>
        </w:tc>
        <w:tc>
          <w:tcPr>
            <w:tcW w:w="1014" w:type="dxa"/>
            <w:noWrap/>
            <w:vAlign w:val="center"/>
          </w:tcPr>
          <w:p>
            <w:pPr>
              <w:pStyle w:val="63"/>
            </w:pPr>
            <w:r>
              <w:t>1</w:t>
            </w:r>
          </w:p>
        </w:tc>
        <w:tc>
          <w:tcPr>
            <w:tcW w:w="1014" w:type="dxa"/>
            <w:noWrap/>
            <w:vAlign w:val="center"/>
          </w:tcPr>
          <w:p>
            <w:pPr>
              <w:pStyle w:val="63"/>
            </w:pPr>
            <w:r>
              <w:t>3.65</w:t>
            </w:r>
          </w:p>
        </w:tc>
        <w:tc>
          <w:tcPr>
            <w:tcW w:w="888" w:type="dxa"/>
            <w:noWrap/>
            <w:vAlign w:val="center"/>
          </w:tcPr>
          <w:p>
            <w:pPr>
              <w:pStyle w:val="63"/>
            </w:pPr>
            <w:r>
              <w:t>99%</w:t>
            </w:r>
          </w:p>
        </w:tc>
        <w:tc>
          <w:tcPr>
            <w:tcW w:w="992" w:type="dxa"/>
            <w:noWrap/>
            <w:vAlign w:val="center"/>
          </w:tcPr>
          <w:p>
            <w:pPr>
              <w:pStyle w:val="63"/>
            </w:pPr>
            <w:r>
              <w:t>361.35</w:t>
            </w:r>
          </w:p>
        </w:tc>
        <w:tc>
          <w:tcPr>
            <w:tcW w:w="709" w:type="dxa"/>
            <w:vMerge w:val="continue"/>
            <w:noWrap/>
            <w:vAlign w:val="center"/>
          </w:tcPr>
          <w:p>
            <w:pPr>
              <w:pStyle w:val="63"/>
            </w:pPr>
          </w:p>
        </w:tc>
        <w:tc>
          <w:tcPr>
            <w:tcW w:w="873"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1" w:type="dxa"/>
            <w:vMerge w:val="continue"/>
            <w:vAlign w:val="center"/>
          </w:tcPr>
          <w:p>
            <w:pPr>
              <w:pStyle w:val="63"/>
            </w:pPr>
          </w:p>
        </w:tc>
        <w:tc>
          <w:tcPr>
            <w:tcW w:w="850" w:type="dxa"/>
            <w:noWrap/>
            <w:vAlign w:val="center"/>
          </w:tcPr>
          <w:p>
            <w:pPr>
              <w:pStyle w:val="63"/>
              <w:rPr>
                <w:rFonts w:cs="宋体"/>
              </w:rPr>
            </w:pPr>
            <w:r>
              <w:rPr>
                <w:rFonts w:hint="eastAsia"/>
              </w:rPr>
              <w:t>氨氮</w:t>
            </w:r>
          </w:p>
        </w:tc>
        <w:tc>
          <w:tcPr>
            <w:tcW w:w="1174" w:type="dxa"/>
            <w:noWrap/>
            <w:vAlign w:val="center"/>
          </w:tcPr>
          <w:p>
            <w:pPr>
              <w:pStyle w:val="63"/>
            </w:pPr>
            <w:r>
              <w:rPr>
                <w:rFonts w:hint="eastAsia"/>
              </w:rPr>
              <w:t>30</w:t>
            </w:r>
          </w:p>
        </w:tc>
        <w:tc>
          <w:tcPr>
            <w:tcW w:w="1013" w:type="dxa"/>
            <w:noWrap/>
            <w:vAlign w:val="center"/>
          </w:tcPr>
          <w:p>
            <w:pPr>
              <w:pStyle w:val="63"/>
            </w:pPr>
            <w:r>
              <w:t>109.5</w:t>
            </w:r>
          </w:p>
        </w:tc>
        <w:tc>
          <w:tcPr>
            <w:tcW w:w="1014" w:type="dxa"/>
            <w:noWrap/>
            <w:vAlign w:val="center"/>
          </w:tcPr>
          <w:p>
            <w:pPr>
              <w:pStyle w:val="63"/>
            </w:pPr>
            <w:r>
              <w:t>5</w:t>
            </w:r>
          </w:p>
        </w:tc>
        <w:tc>
          <w:tcPr>
            <w:tcW w:w="1014" w:type="dxa"/>
            <w:noWrap/>
            <w:vAlign w:val="center"/>
          </w:tcPr>
          <w:p>
            <w:pPr>
              <w:pStyle w:val="63"/>
            </w:pPr>
            <w:r>
              <w:t>18.25</w:t>
            </w:r>
          </w:p>
        </w:tc>
        <w:tc>
          <w:tcPr>
            <w:tcW w:w="888" w:type="dxa"/>
            <w:noWrap/>
            <w:vAlign w:val="center"/>
          </w:tcPr>
          <w:p>
            <w:pPr>
              <w:pStyle w:val="63"/>
            </w:pPr>
            <w:r>
              <w:t>83%</w:t>
            </w:r>
          </w:p>
        </w:tc>
        <w:tc>
          <w:tcPr>
            <w:tcW w:w="992" w:type="dxa"/>
            <w:noWrap/>
            <w:vAlign w:val="center"/>
          </w:tcPr>
          <w:p>
            <w:pPr>
              <w:pStyle w:val="63"/>
            </w:pPr>
            <w:r>
              <w:t>91.25</w:t>
            </w:r>
          </w:p>
        </w:tc>
        <w:tc>
          <w:tcPr>
            <w:tcW w:w="709" w:type="dxa"/>
            <w:vMerge w:val="continue"/>
            <w:noWrap/>
            <w:vAlign w:val="center"/>
          </w:tcPr>
          <w:p>
            <w:pPr>
              <w:pStyle w:val="63"/>
            </w:pPr>
          </w:p>
        </w:tc>
        <w:tc>
          <w:tcPr>
            <w:tcW w:w="873"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1" w:type="dxa"/>
            <w:vMerge w:val="continue"/>
            <w:vAlign w:val="center"/>
          </w:tcPr>
          <w:p>
            <w:pPr>
              <w:pStyle w:val="63"/>
            </w:pPr>
          </w:p>
        </w:tc>
        <w:tc>
          <w:tcPr>
            <w:tcW w:w="850" w:type="dxa"/>
            <w:noWrap/>
            <w:vAlign w:val="center"/>
          </w:tcPr>
          <w:p>
            <w:pPr>
              <w:pStyle w:val="63"/>
              <w:rPr>
                <w:rFonts w:cs="宋体"/>
              </w:rPr>
            </w:pPr>
            <w:r>
              <w:rPr>
                <w:rFonts w:hint="eastAsia"/>
              </w:rPr>
              <w:t>SS</w:t>
            </w:r>
          </w:p>
        </w:tc>
        <w:tc>
          <w:tcPr>
            <w:tcW w:w="1174" w:type="dxa"/>
            <w:noWrap/>
            <w:vAlign w:val="center"/>
          </w:tcPr>
          <w:p>
            <w:pPr>
              <w:pStyle w:val="63"/>
            </w:pPr>
            <w:r>
              <w:t>400</w:t>
            </w:r>
          </w:p>
        </w:tc>
        <w:tc>
          <w:tcPr>
            <w:tcW w:w="1013" w:type="dxa"/>
            <w:noWrap/>
            <w:vAlign w:val="center"/>
          </w:tcPr>
          <w:p>
            <w:pPr>
              <w:pStyle w:val="63"/>
            </w:pPr>
            <w:r>
              <w:t>1460</w:t>
            </w:r>
          </w:p>
        </w:tc>
        <w:tc>
          <w:tcPr>
            <w:tcW w:w="1014" w:type="dxa"/>
            <w:noWrap/>
            <w:vAlign w:val="center"/>
          </w:tcPr>
          <w:p>
            <w:pPr>
              <w:pStyle w:val="63"/>
            </w:pPr>
            <w:r>
              <w:t>10</w:t>
            </w:r>
          </w:p>
        </w:tc>
        <w:tc>
          <w:tcPr>
            <w:tcW w:w="1014" w:type="dxa"/>
            <w:noWrap/>
            <w:vAlign w:val="center"/>
          </w:tcPr>
          <w:p>
            <w:pPr>
              <w:pStyle w:val="63"/>
            </w:pPr>
            <w:r>
              <w:t>36.5</w:t>
            </w:r>
          </w:p>
        </w:tc>
        <w:tc>
          <w:tcPr>
            <w:tcW w:w="888" w:type="dxa"/>
            <w:noWrap/>
            <w:vAlign w:val="center"/>
          </w:tcPr>
          <w:p>
            <w:pPr>
              <w:pStyle w:val="63"/>
            </w:pPr>
            <w:r>
              <w:t>98%</w:t>
            </w:r>
          </w:p>
        </w:tc>
        <w:tc>
          <w:tcPr>
            <w:tcW w:w="992" w:type="dxa"/>
            <w:noWrap/>
            <w:vAlign w:val="center"/>
          </w:tcPr>
          <w:p>
            <w:pPr>
              <w:pStyle w:val="63"/>
            </w:pPr>
            <w:r>
              <w:t>1423.5</w:t>
            </w:r>
          </w:p>
        </w:tc>
        <w:tc>
          <w:tcPr>
            <w:tcW w:w="709" w:type="dxa"/>
            <w:vMerge w:val="continue"/>
            <w:noWrap/>
            <w:vAlign w:val="center"/>
          </w:tcPr>
          <w:p>
            <w:pPr>
              <w:pStyle w:val="63"/>
            </w:pPr>
          </w:p>
        </w:tc>
        <w:tc>
          <w:tcPr>
            <w:tcW w:w="873"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1" w:type="dxa"/>
            <w:vMerge w:val="continue"/>
            <w:vAlign w:val="center"/>
          </w:tcPr>
          <w:p>
            <w:pPr>
              <w:pStyle w:val="63"/>
            </w:pPr>
          </w:p>
        </w:tc>
        <w:tc>
          <w:tcPr>
            <w:tcW w:w="850" w:type="dxa"/>
            <w:noWrap/>
            <w:vAlign w:val="center"/>
          </w:tcPr>
          <w:p>
            <w:pPr>
              <w:pStyle w:val="63"/>
              <w:rPr>
                <w:rFonts w:cs="宋体"/>
              </w:rPr>
            </w:pPr>
            <w:r>
              <w:rPr>
                <w:rFonts w:hint="eastAsia"/>
              </w:rPr>
              <w:t>总磷</w:t>
            </w:r>
          </w:p>
        </w:tc>
        <w:tc>
          <w:tcPr>
            <w:tcW w:w="1174" w:type="dxa"/>
            <w:noWrap/>
            <w:vAlign w:val="center"/>
          </w:tcPr>
          <w:p>
            <w:pPr>
              <w:pStyle w:val="63"/>
            </w:pPr>
            <w:r>
              <w:t>3</w:t>
            </w:r>
          </w:p>
        </w:tc>
        <w:tc>
          <w:tcPr>
            <w:tcW w:w="1013" w:type="dxa"/>
            <w:noWrap/>
            <w:vAlign w:val="center"/>
          </w:tcPr>
          <w:p>
            <w:pPr>
              <w:pStyle w:val="63"/>
            </w:pPr>
            <w:r>
              <w:t>10.95</w:t>
            </w:r>
          </w:p>
        </w:tc>
        <w:tc>
          <w:tcPr>
            <w:tcW w:w="1014" w:type="dxa"/>
            <w:noWrap/>
            <w:vAlign w:val="center"/>
          </w:tcPr>
          <w:p>
            <w:pPr>
              <w:pStyle w:val="63"/>
            </w:pPr>
            <w:r>
              <w:t>0.5</w:t>
            </w:r>
          </w:p>
        </w:tc>
        <w:tc>
          <w:tcPr>
            <w:tcW w:w="1014" w:type="dxa"/>
            <w:noWrap/>
            <w:vAlign w:val="center"/>
          </w:tcPr>
          <w:p>
            <w:pPr>
              <w:pStyle w:val="63"/>
            </w:pPr>
            <w:r>
              <w:t>1.825</w:t>
            </w:r>
          </w:p>
        </w:tc>
        <w:tc>
          <w:tcPr>
            <w:tcW w:w="888" w:type="dxa"/>
            <w:noWrap/>
            <w:vAlign w:val="center"/>
          </w:tcPr>
          <w:p>
            <w:pPr>
              <w:pStyle w:val="63"/>
            </w:pPr>
            <w:r>
              <w:t>83%</w:t>
            </w:r>
          </w:p>
        </w:tc>
        <w:tc>
          <w:tcPr>
            <w:tcW w:w="992" w:type="dxa"/>
            <w:noWrap/>
            <w:vAlign w:val="center"/>
          </w:tcPr>
          <w:p>
            <w:pPr>
              <w:pStyle w:val="63"/>
            </w:pPr>
            <w:r>
              <w:t>9.125</w:t>
            </w:r>
          </w:p>
        </w:tc>
        <w:tc>
          <w:tcPr>
            <w:tcW w:w="709" w:type="dxa"/>
            <w:vMerge w:val="continue"/>
            <w:noWrap/>
            <w:vAlign w:val="center"/>
          </w:tcPr>
          <w:p>
            <w:pPr>
              <w:pStyle w:val="63"/>
            </w:pPr>
          </w:p>
        </w:tc>
        <w:tc>
          <w:tcPr>
            <w:tcW w:w="873"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421" w:type="dxa"/>
            <w:vMerge w:val="continue"/>
            <w:vAlign w:val="center"/>
          </w:tcPr>
          <w:p>
            <w:pPr>
              <w:pStyle w:val="63"/>
            </w:pPr>
          </w:p>
        </w:tc>
        <w:tc>
          <w:tcPr>
            <w:tcW w:w="850" w:type="dxa"/>
            <w:noWrap/>
            <w:vAlign w:val="center"/>
          </w:tcPr>
          <w:p>
            <w:pPr>
              <w:pStyle w:val="63"/>
              <w:rPr>
                <w:rFonts w:cs="宋体"/>
              </w:rPr>
            </w:pPr>
            <w:r>
              <w:rPr>
                <w:rFonts w:hint="eastAsia"/>
              </w:rPr>
              <w:t>总氮</w:t>
            </w:r>
          </w:p>
        </w:tc>
        <w:tc>
          <w:tcPr>
            <w:tcW w:w="1174" w:type="dxa"/>
            <w:noWrap/>
            <w:vAlign w:val="center"/>
          </w:tcPr>
          <w:p>
            <w:pPr>
              <w:pStyle w:val="63"/>
            </w:pPr>
            <w:r>
              <w:t>45</w:t>
            </w:r>
          </w:p>
        </w:tc>
        <w:tc>
          <w:tcPr>
            <w:tcW w:w="1013" w:type="dxa"/>
            <w:noWrap/>
            <w:vAlign w:val="center"/>
          </w:tcPr>
          <w:p>
            <w:pPr>
              <w:pStyle w:val="63"/>
            </w:pPr>
            <w:r>
              <w:t>164.25</w:t>
            </w:r>
          </w:p>
        </w:tc>
        <w:tc>
          <w:tcPr>
            <w:tcW w:w="1014" w:type="dxa"/>
            <w:noWrap/>
            <w:vAlign w:val="center"/>
          </w:tcPr>
          <w:p>
            <w:pPr>
              <w:pStyle w:val="63"/>
            </w:pPr>
            <w:r>
              <w:t>15</w:t>
            </w:r>
          </w:p>
        </w:tc>
        <w:tc>
          <w:tcPr>
            <w:tcW w:w="1014" w:type="dxa"/>
            <w:noWrap/>
            <w:vAlign w:val="center"/>
          </w:tcPr>
          <w:p>
            <w:pPr>
              <w:pStyle w:val="63"/>
            </w:pPr>
            <w:r>
              <w:t>54.75</w:t>
            </w:r>
          </w:p>
        </w:tc>
        <w:tc>
          <w:tcPr>
            <w:tcW w:w="888" w:type="dxa"/>
            <w:noWrap/>
            <w:vAlign w:val="center"/>
          </w:tcPr>
          <w:p>
            <w:pPr>
              <w:pStyle w:val="63"/>
            </w:pPr>
            <w:r>
              <w:t>67%</w:t>
            </w:r>
          </w:p>
        </w:tc>
        <w:tc>
          <w:tcPr>
            <w:tcW w:w="992" w:type="dxa"/>
            <w:noWrap/>
            <w:vAlign w:val="center"/>
          </w:tcPr>
          <w:p>
            <w:pPr>
              <w:pStyle w:val="63"/>
            </w:pPr>
            <w:r>
              <w:t>109.5</w:t>
            </w:r>
          </w:p>
        </w:tc>
        <w:tc>
          <w:tcPr>
            <w:tcW w:w="709" w:type="dxa"/>
            <w:vMerge w:val="continue"/>
            <w:noWrap/>
            <w:vAlign w:val="center"/>
          </w:tcPr>
          <w:p>
            <w:pPr>
              <w:pStyle w:val="63"/>
            </w:pPr>
          </w:p>
        </w:tc>
        <w:tc>
          <w:tcPr>
            <w:tcW w:w="873" w:type="dxa"/>
            <w:vMerge w:val="continue"/>
            <w:vAlign w:val="center"/>
          </w:tcPr>
          <w:p>
            <w:pPr>
              <w:pStyle w:val="63"/>
            </w:pPr>
          </w:p>
        </w:tc>
      </w:tr>
    </w:tbl>
    <w:p/>
    <w:p>
      <w:pPr>
        <w:pStyle w:val="5"/>
        <w:ind w:firstLine="480"/>
      </w:pPr>
      <w:r>
        <w:rPr>
          <w:rFonts w:hint="eastAsia"/>
        </w:rPr>
        <w:t>污水处理厂非正常排放主要有以下几种情况：</w:t>
      </w:r>
      <w:r>
        <w:t>A、设备设施事故或故障，由于人为操作失误或某处理单元故障导致污水直接排放；B、工艺处理原因，由于参数条件达不到设计指标要求，导致超标排放。</w:t>
      </w:r>
      <w:r>
        <w:rPr>
          <w:rFonts w:hint="eastAsia"/>
        </w:rPr>
        <w:t>本评价主要考虑污水处理厂处理效率为</w:t>
      </w:r>
      <w:r>
        <w:t>0的情况</w:t>
      </w:r>
      <w:r>
        <w:rPr>
          <w:rFonts w:hint="eastAsia"/>
        </w:rPr>
        <w:t>，浓度按进水浓度考虑，持续时间按3h考虑，非正常情况废水排放浓度见</w:t>
      </w:r>
      <w:r>
        <w:fldChar w:fldCharType="begin"/>
      </w:r>
      <w:r>
        <w:instrText xml:space="preserve"> </w:instrText>
      </w:r>
      <w:r>
        <w:rPr>
          <w:rFonts w:hint="eastAsia"/>
        </w:rPr>
        <w:instrText xml:space="preserve">REF _Ref169794498 \h</w:instrText>
      </w:r>
      <w:r>
        <w:instrText xml:space="preserve"> </w:instrText>
      </w:r>
      <w:r>
        <w:fldChar w:fldCharType="separate"/>
      </w:r>
      <w:r>
        <w:t>表 2.1</w:t>
      </w:r>
      <w:r>
        <w:noBreakHyphen/>
      </w:r>
      <w:r>
        <w:t>1</w:t>
      </w:r>
      <w:r>
        <w:fldChar w:fldCharType="end"/>
      </w:r>
      <w:r>
        <w:rPr>
          <w:rFonts w:hint="eastAsia"/>
        </w:rPr>
        <w:t>。</w:t>
      </w:r>
    </w:p>
    <w:p>
      <w:pPr>
        <w:pStyle w:val="2"/>
      </w:pPr>
      <w:r>
        <w:rPr>
          <w:rFonts w:hint="eastAsia"/>
        </w:rPr>
        <w:t>环境现状调查与评价</w:t>
      </w:r>
    </w:p>
    <w:p>
      <w:pPr>
        <w:pStyle w:val="3"/>
        <w:spacing w:before="156" w:after="156"/>
      </w:pPr>
      <w:r>
        <w:rPr>
          <w:rFonts w:hint="eastAsia"/>
        </w:rPr>
        <w:t>地表水系</w:t>
      </w:r>
    </w:p>
    <w:p>
      <w:pPr>
        <w:pStyle w:val="5"/>
        <w:ind w:firstLine="480"/>
      </w:pPr>
      <w:r>
        <w:rPr>
          <w:rFonts w:hint="eastAsia"/>
        </w:rPr>
        <w:t>据三峡工程蓄水前长江干流奉节水文站资料统计，长江奉节段多年平均流量</w:t>
      </w:r>
      <w:r>
        <w:t>13700m</w:t>
      </w:r>
      <w:r>
        <w:rPr>
          <w:vertAlign w:val="superscript"/>
        </w:rPr>
        <w:t>2</w:t>
      </w:r>
      <w:r>
        <w:t>/s，多年平均径流量4335 亿m³，年径流深420.8mm，多年平均枯季</w:t>
      </w:r>
      <w:r>
        <w:rPr>
          <w:rFonts w:hint="eastAsia"/>
        </w:rPr>
        <w:t>流</w:t>
      </w:r>
      <w:r>
        <w:t>3736m³/s；最大洪峰流量69500m³/s（1974 年8 月12 日），最小流量2730m³/s（1978 年3 月18 日）；县城最高洪水位129.9m，最低枯水位75.01m，</w:t>
      </w:r>
      <w:r>
        <w:rPr>
          <w:rFonts w:hint="eastAsia"/>
        </w:rPr>
        <w:t>最大水位变幅</w:t>
      </w:r>
      <w:r>
        <w:t>54.89m。较大支流梅溪河多年平均流量42.62m³/s，多年平均径流</w:t>
      </w:r>
      <w:r>
        <w:rPr>
          <w:rFonts w:hint="eastAsia"/>
        </w:rPr>
        <w:t>量</w:t>
      </w:r>
      <w:r>
        <w:t>13.44 亿m³，多年平均枯季流量6.42m³/s。</w:t>
      </w:r>
    </w:p>
    <w:p>
      <w:pPr>
        <w:pStyle w:val="5"/>
        <w:ind w:firstLine="480"/>
      </w:pPr>
      <w:r>
        <w:rPr>
          <w:rFonts w:hint="eastAsia"/>
        </w:rPr>
        <w:t>奉节县城位于三峡水库库区回水变动区，正常运行期间每年</w:t>
      </w:r>
      <w:r>
        <w:t>10 月至次年6</w:t>
      </w:r>
      <w:r>
        <w:rPr>
          <w:rFonts w:hint="eastAsia"/>
        </w:rPr>
        <w:t>月初，水库坝前水位在</w:t>
      </w:r>
      <w:r>
        <w:t>145m～175m～145m 之间运行；汛期6～9 月，坝前水</w:t>
      </w:r>
      <w:r>
        <w:rPr>
          <w:rFonts w:hint="eastAsia"/>
        </w:rPr>
        <w:t>位保持在防洪限制水位</w:t>
      </w:r>
      <w:r>
        <w:t>145m，其间遭遇20%、5%、1%频率的洪水时，</w:t>
      </w:r>
      <w:r>
        <w:rPr>
          <w:rFonts w:hint="eastAsia"/>
        </w:rPr>
        <w:t>坝前水位分别为</w:t>
      </w:r>
      <w:r>
        <w:t>147.2m、157.5m、166.7m、175.0m 洪峰过后水</w:t>
      </w:r>
      <w:r>
        <w:rPr>
          <w:rFonts w:hint="eastAsia"/>
        </w:rPr>
        <w:t>位迅速降至</w:t>
      </w:r>
      <w:r>
        <w:t>145m，水位最大变幅为30m。</w:t>
      </w:r>
    </w:p>
    <w:p>
      <w:pPr>
        <w:pStyle w:val="5"/>
        <w:ind w:firstLine="480"/>
      </w:pPr>
      <w:r>
        <w:rPr>
          <w:rFonts w:hint="eastAsia"/>
        </w:rPr>
        <w:t>项目周边的主要河流为朱衣河。朱衣河系长江干流北岸一级支流，发源于锅地堡～枇杷山一带，山顶海拔高程</w:t>
      </w:r>
      <w:r>
        <w:t>1573.3m，河流全长31.4km，全流域面积153.6k</w:t>
      </w:r>
      <w:r>
        <w:rPr>
          <w:rFonts w:hint="eastAsia"/>
        </w:rPr>
        <w:t>m</w:t>
      </w:r>
      <w:r>
        <w:rPr>
          <w:rFonts w:hint="eastAsia"/>
          <w:vertAlign w:val="superscript"/>
        </w:rPr>
        <w:t>2</w:t>
      </w:r>
      <w:r>
        <w:t>。朱衣河流域北临云阳县，南靠长</w:t>
      </w:r>
      <w:r>
        <w:rPr>
          <w:rFonts w:hint="eastAsia"/>
        </w:rPr>
        <w:t>江干流，朱衣河流域大致呈近东西向的长条形，流域四周山势较为陡峻，中下游河谷较为开阔，支流冲沟近南北向平行发育构成梳状水系。多年平均流量3.25m</w:t>
      </w:r>
      <w:r>
        <w:rPr>
          <w:rFonts w:hint="eastAsia"/>
          <w:vertAlign w:val="superscript"/>
        </w:rPr>
        <w:t>3</w:t>
      </w:r>
      <w:r>
        <w:rPr>
          <w:rFonts w:hint="eastAsia"/>
        </w:rPr>
        <w:t>/s，年径流量1.025亿m</w:t>
      </w:r>
      <w:r>
        <w:rPr>
          <w:rFonts w:hint="eastAsia"/>
          <w:vertAlign w:val="superscript"/>
        </w:rPr>
        <w:t>3</w:t>
      </w:r>
      <w:r>
        <w:rPr>
          <w:rFonts w:hint="eastAsia"/>
        </w:rPr>
        <w:t>，库区回水位至朱衣场镇。根据水文计算，朱衣河丰水年（P=10%）、平水年（P=50%）、枯水年（P=90%）月流量见</w:t>
      </w:r>
      <w:r>
        <w:fldChar w:fldCharType="begin"/>
      </w:r>
      <w:r>
        <w:instrText xml:space="preserve"> </w:instrText>
      </w:r>
      <w:r>
        <w:rPr>
          <w:rFonts w:hint="eastAsia"/>
        </w:rPr>
        <w:instrText xml:space="preserve">REF _Ref174345065 \h</w:instrText>
      </w:r>
      <w:r>
        <w:instrText xml:space="preserve"> </w:instrText>
      </w:r>
      <w:r>
        <w:fldChar w:fldCharType="separate"/>
      </w:r>
      <w:r>
        <w:rPr>
          <w:rFonts w:hint="eastAsia"/>
        </w:rPr>
        <w:t xml:space="preserve">表 </w:t>
      </w:r>
      <w:r>
        <w:t>3.1</w:t>
      </w:r>
      <w:r>
        <w:noBreakHyphen/>
      </w:r>
      <w:r>
        <w:t>1</w:t>
      </w:r>
      <w:r>
        <w:fldChar w:fldCharType="end"/>
      </w:r>
      <w:r>
        <w:rPr>
          <w:rFonts w:hint="eastAsia"/>
        </w:rPr>
        <w:t>。枯水期一般为11月～次年3月，根据下表枯水期最小流量为0</w:t>
      </w:r>
      <w:r>
        <w:t>.</w:t>
      </w:r>
      <w:r>
        <w:rPr>
          <w:rFonts w:hint="eastAsia"/>
        </w:rPr>
        <w:t>72m</w:t>
      </w:r>
      <w:r>
        <w:rPr>
          <w:vertAlign w:val="superscript"/>
        </w:rPr>
        <w:t>3</w:t>
      </w:r>
      <w:r>
        <w:t>/</w:t>
      </w:r>
      <w:r>
        <w:rPr>
          <w:rFonts w:hint="eastAsia"/>
        </w:rPr>
        <w:t>s。</w:t>
      </w:r>
    </w:p>
    <w:p>
      <w:pPr>
        <w:pStyle w:val="14"/>
        <w:keepNext/>
      </w:pPr>
      <w:bookmarkStart w:id="103" w:name="_Ref174345065"/>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03"/>
      <w:r>
        <w:rPr>
          <w:rFonts w:hint="eastAsia"/>
        </w:rPr>
        <w:t xml:space="preserve">  朱衣河典型年月水量计算</w:t>
      </w:r>
    </w:p>
    <w:tbl>
      <w:tblPr>
        <w:tblStyle w:val="3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840"/>
        <w:gridCol w:w="559"/>
        <w:gridCol w:w="533"/>
        <w:gridCol w:w="574"/>
        <w:gridCol w:w="583"/>
        <w:gridCol w:w="653"/>
        <w:gridCol w:w="576"/>
        <w:gridCol w:w="576"/>
        <w:gridCol w:w="576"/>
        <w:gridCol w:w="576"/>
        <w:gridCol w:w="576"/>
        <w:gridCol w:w="576"/>
        <w:gridCol w:w="576"/>
        <w:gridCol w:w="598"/>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15" w:hRule="atLeast"/>
        </w:trPr>
        <w:tc>
          <w:tcPr>
            <w:tcW w:w="840" w:type="dxa"/>
            <w:vMerge w:val="restart"/>
            <w:shd w:val="clear" w:color="auto" w:fill="FFFFFF" w:themeFill="background1"/>
            <w:vAlign w:val="center"/>
          </w:tcPr>
          <w:p>
            <w:pPr>
              <w:pStyle w:val="63"/>
              <w:rPr>
                <w:sz w:val="18"/>
                <w:szCs w:val="18"/>
              </w:rPr>
            </w:pPr>
            <w:r>
              <w:rPr>
                <w:rFonts w:hint="eastAsia"/>
                <w:sz w:val="18"/>
                <w:szCs w:val="18"/>
              </w:rPr>
              <w:t>代表年</w:t>
            </w:r>
          </w:p>
        </w:tc>
        <w:tc>
          <w:tcPr>
            <w:tcW w:w="559" w:type="dxa"/>
            <w:vMerge w:val="restart"/>
            <w:shd w:val="clear" w:color="auto" w:fill="FFFFFF" w:themeFill="background1"/>
            <w:vAlign w:val="center"/>
          </w:tcPr>
          <w:p>
            <w:pPr>
              <w:pStyle w:val="63"/>
              <w:rPr>
                <w:sz w:val="18"/>
                <w:szCs w:val="18"/>
              </w:rPr>
            </w:pPr>
            <w:r>
              <w:rPr>
                <w:rFonts w:hint="eastAsia"/>
                <w:sz w:val="18"/>
                <w:szCs w:val="18"/>
              </w:rPr>
              <w:t>项目</w:t>
            </w:r>
          </w:p>
        </w:tc>
        <w:tc>
          <w:tcPr>
            <w:tcW w:w="6973" w:type="dxa"/>
            <w:gridSpan w:val="12"/>
            <w:shd w:val="clear" w:color="auto" w:fill="FFFFFF" w:themeFill="background1"/>
            <w:vAlign w:val="center"/>
          </w:tcPr>
          <w:p>
            <w:pPr>
              <w:pStyle w:val="63"/>
              <w:rPr>
                <w:sz w:val="18"/>
                <w:szCs w:val="18"/>
              </w:rPr>
            </w:pPr>
            <w:r>
              <w:rPr>
                <w:rFonts w:hint="eastAsia"/>
                <w:sz w:val="18"/>
                <w:szCs w:val="18"/>
              </w:rPr>
              <w:t>逐月平均流量(m</w:t>
            </w:r>
            <w:r>
              <w:rPr>
                <w:rFonts w:hint="eastAsia"/>
                <w:sz w:val="18"/>
                <w:szCs w:val="18"/>
                <w:vertAlign w:val="superscript"/>
              </w:rPr>
              <w:t>3</w:t>
            </w:r>
            <w:r>
              <w:rPr>
                <w:rFonts w:hint="eastAsia"/>
                <w:sz w:val="18"/>
                <w:szCs w:val="18"/>
              </w:rPr>
              <w:t>/s)</w:t>
            </w:r>
          </w:p>
        </w:tc>
        <w:tc>
          <w:tcPr>
            <w:tcW w:w="576" w:type="dxa"/>
            <w:vMerge w:val="restart"/>
            <w:shd w:val="clear" w:color="auto" w:fill="FFFFFF" w:themeFill="background1"/>
            <w:vAlign w:val="center"/>
          </w:tcPr>
          <w:p>
            <w:pPr>
              <w:pStyle w:val="63"/>
              <w:rPr>
                <w:sz w:val="18"/>
                <w:szCs w:val="18"/>
              </w:rPr>
            </w:pPr>
            <w:r>
              <w:rPr>
                <w:rFonts w:hint="eastAsia"/>
                <w:sz w:val="18"/>
                <w:szCs w:val="18"/>
              </w:rPr>
              <w:t>年平均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40" w:type="dxa"/>
            <w:vMerge w:val="continue"/>
            <w:shd w:val="clear" w:color="auto" w:fill="FFFFFF" w:themeFill="background1"/>
            <w:vAlign w:val="center"/>
          </w:tcPr>
          <w:p>
            <w:pPr>
              <w:pStyle w:val="63"/>
              <w:rPr>
                <w:sz w:val="18"/>
                <w:szCs w:val="18"/>
              </w:rPr>
            </w:pPr>
          </w:p>
        </w:tc>
        <w:tc>
          <w:tcPr>
            <w:tcW w:w="559" w:type="dxa"/>
            <w:vMerge w:val="continue"/>
            <w:shd w:val="clear" w:color="auto" w:fill="FFFFFF" w:themeFill="background1"/>
            <w:vAlign w:val="center"/>
          </w:tcPr>
          <w:p>
            <w:pPr>
              <w:pStyle w:val="63"/>
              <w:rPr>
                <w:sz w:val="18"/>
                <w:szCs w:val="18"/>
              </w:rPr>
            </w:pPr>
          </w:p>
        </w:tc>
        <w:tc>
          <w:tcPr>
            <w:tcW w:w="533" w:type="dxa"/>
            <w:shd w:val="clear" w:color="auto" w:fill="FFFFFF" w:themeFill="background1"/>
            <w:vAlign w:val="center"/>
          </w:tcPr>
          <w:p>
            <w:pPr>
              <w:pStyle w:val="63"/>
              <w:rPr>
                <w:sz w:val="18"/>
                <w:szCs w:val="18"/>
              </w:rPr>
            </w:pPr>
            <w:r>
              <w:rPr>
                <w:rFonts w:hint="eastAsia"/>
                <w:sz w:val="18"/>
                <w:szCs w:val="18"/>
              </w:rPr>
              <w:t>4月</w:t>
            </w:r>
          </w:p>
        </w:tc>
        <w:tc>
          <w:tcPr>
            <w:tcW w:w="574" w:type="dxa"/>
            <w:shd w:val="clear" w:color="auto" w:fill="FFFFFF" w:themeFill="background1"/>
            <w:vAlign w:val="center"/>
          </w:tcPr>
          <w:p>
            <w:pPr>
              <w:pStyle w:val="63"/>
              <w:rPr>
                <w:sz w:val="18"/>
                <w:szCs w:val="18"/>
              </w:rPr>
            </w:pPr>
            <w:r>
              <w:rPr>
                <w:rFonts w:hint="eastAsia"/>
                <w:sz w:val="18"/>
                <w:szCs w:val="18"/>
              </w:rPr>
              <w:t>5月</w:t>
            </w:r>
          </w:p>
        </w:tc>
        <w:tc>
          <w:tcPr>
            <w:tcW w:w="583" w:type="dxa"/>
            <w:shd w:val="clear" w:color="auto" w:fill="FFFFFF" w:themeFill="background1"/>
            <w:vAlign w:val="center"/>
          </w:tcPr>
          <w:p>
            <w:pPr>
              <w:pStyle w:val="63"/>
              <w:rPr>
                <w:sz w:val="18"/>
                <w:szCs w:val="18"/>
              </w:rPr>
            </w:pPr>
            <w:r>
              <w:rPr>
                <w:rFonts w:hint="eastAsia"/>
                <w:sz w:val="18"/>
                <w:szCs w:val="18"/>
              </w:rPr>
              <w:t>6月</w:t>
            </w:r>
          </w:p>
        </w:tc>
        <w:tc>
          <w:tcPr>
            <w:tcW w:w="653" w:type="dxa"/>
            <w:shd w:val="clear" w:color="auto" w:fill="FFFFFF" w:themeFill="background1"/>
            <w:vAlign w:val="center"/>
          </w:tcPr>
          <w:p>
            <w:pPr>
              <w:pStyle w:val="63"/>
              <w:rPr>
                <w:sz w:val="18"/>
                <w:szCs w:val="18"/>
              </w:rPr>
            </w:pPr>
            <w:r>
              <w:rPr>
                <w:rFonts w:hint="eastAsia"/>
                <w:sz w:val="18"/>
                <w:szCs w:val="18"/>
              </w:rPr>
              <w:t>7月</w:t>
            </w:r>
          </w:p>
        </w:tc>
        <w:tc>
          <w:tcPr>
            <w:tcW w:w="576" w:type="dxa"/>
            <w:shd w:val="clear" w:color="auto" w:fill="FFFFFF" w:themeFill="background1"/>
            <w:vAlign w:val="center"/>
          </w:tcPr>
          <w:p>
            <w:pPr>
              <w:pStyle w:val="63"/>
              <w:rPr>
                <w:sz w:val="18"/>
                <w:szCs w:val="18"/>
              </w:rPr>
            </w:pPr>
            <w:r>
              <w:rPr>
                <w:rFonts w:hint="eastAsia"/>
                <w:sz w:val="18"/>
                <w:szCs w:val="18"/>
              </w:rPr>
              <w:t>8月</w:t>
            </w:r>
          </w:p>
        </w:tc>
        <w:tc>
          <w:tcPr>
            <w:tcW w:w="576" w:type="dxa"/>
            <w:shd w:val="clear" w:color="auto" w:fill="FFFFFF" w:themeFill="background1"/>
            <w:vAlign w:val="center"/>
          </w:tcPr>
          <w:p>
            <w:pPr>
              <w:pStyle w:val="63"/>
              <w:rPr>
                <w:sz w:val="18"/>
                <w:szCs w:val="18"/>
              </w:rPr>
            </w:pPr>
            <w:r>
              <w:rPr>
                <w:rFonts w:hint="eastAsia"/>
                <w:sz w:val="18"/>
                <w:szCs w:val="18"/>
              </w:rPr>
              <w:t>9月</w:t>
            </w:r>
          </w:p>
        </w:tc>
        <w:tc>
          <w:tcPr>
            <w:tcW w:w="576" w:type="dxa"/>
            <w:shd w:val="clear" w:color="auto" w:fill="FFFFFF" w:themeFill="background1"/>
            <w:vAlign w:val="center"/>
          </w:tcPr>
          <w:p>
            <w:pPr>
              <w:pStyle w:val="63"/>
              <w:rPr>
                <w:sz w:val="18"/>
                <w:szCs w:val="18"/>
              </w:rPr>
            </w:pPr>
            <w:r>
              <w:rPr>
                <w:rFonts w:hint="eastAsia"/>
                <w:sz w:val="18"/>
                <w:szCs w:val="18"/>
              </w:rPr>
              <w:t>10月</w:t>
            </w:r>
          </w:p>
        </w:tc>
        <w:tc>
          <w:tcPr>
            <w:tcW w:w="576" w:type="dxa"/>
            <w:shd w:val="clear" w:color="auto" w:fill="FFFFFF" w:themeFill="background1"/>
            <w:vAlign w:val="center"/>
          </w:tcPr>
          <w:p>
            <w:pPr>
              <w:pStyle w:val="63"/>
              <w:rPr>
                <w:sz w:val="18"/>
                <w:szCs w:val="18"/>
              </w:rPr>
            </w:pPr>
            <w:r>
              <w:rPr>
                <w:rFonts w:hint="eastAsia"/>
                <w:sz w:val="18"/>
                <w:szCs w:val="18"/>
              </w:rPr>
              <w:t>11月</w:t>
            </w:r>
          </w:p>
        </w:tc>
        <w:tc>
          <w:tcPr>
            <w:tcW w:w="576" w:type="dxa"/>
            <w:shd w:val="clear" w:color="auto" w:fill="FFFFFF" w:themeFill="background1"/>
            <w:vAlign w:val="center"/>
          </w:tcPr>
          <w:p>
            <w:pPr>
              <w:pStyle w:val="63"/>
              <w:rPr>
                <w:sz w:val="18"/>
                <w:szCs w:val="18"/>
              </w:rPr>
            </w:pPr>
            <w:r>
              <w:rPr>
                <w:rFonts w:hint="eastAsia"/>
                <w:sz w:val="18"/>
                <w:szCs w:val="18"/>
              </w:rPr>
              <w:t>12月</w:t>
            </w:r>
          </w:p>
        </w:tc>
        <w:tc>
          <w:tcPr>
            <w:tcW w:w="576" w:type="dxa"/>
            <w:shd w:val="clear" w:color="auto" w:fill="FFFFFF" w:themeFill="background1"/>
            <w:vAlign w:val="center"/>
          </w:tcPr>
          <w:p>
            <w:pPr>
              <w:pStyle w:val="63"/>
              <w:rPr>
                <w:sz w:val="18"/>
                <w:szCs w:val="18"/>
              </w:rPr>
            </w:pPr>
            <w:r>
              <w:rPr>
                <w:rFonts w:hint="eastAsia"/>
                <w:sz w:val="18"/>
                <w:szCs w:val="18"/>
              </w:rPr>
              <w:t>1月</w:t>
            </w:r>
          </w:p>
        </w:tc>
        <w:tc>
          <w:tcPr>
            <w:tcW w:w="576" w:type="dxa"/>
            <w:shd w:val="clear" w:color="auto" w:fill="FFFFFF" w:themeFill="background1"/>
            <w:vAlign w:val="center"/>
          </w:tcPr>
          <w:p>
            <w:pPr>
              <w:pStyle w:val="63"/>
              <w:rPr>
                <w:sz w:val="18"/>
                <w:szCs w:val="18"/>
              </w:rPr>
            </w:pPr>
            <w:r>
              <w:rPr>
                <w:rFonts w:hint="eastAsia"/>
                <w:sz w:val="18"/>
                <w:szCs w:val="18"/>
              </w:rPr>
              <w:t>2月</w:t>
            </w:r>
          </w:p>
        </w:tc>
        <w:tc>
          <w:tcPr>
            <w:tcW w:w="598" w:type="dxa"/>
            <w:shd w:val="clear" w:color="auto" w:fill="FFFFFF" w:themeFill="background1"/>
            <w:vAlign w:val="center"/>
          </w:tcPr>
          <w:p>
            <w:pPr>
              <w:pStyle w:val="63"/>
              <w:rPr>
                <w:sz w:val="18"/>
                <w:szCs w:val="18"/>
              </w:rPr>
            </w:pPr>
            <w:r>
              <w:rPr>
                <w:rFonts w:hint="eastAsia"/>
                <w:sz w:val="18"/>
                <w:szCs w:val="18"/>
              </w:rPr>
              <w:t>3月</w:t>
            </w:r>
          </w:p>
        </w:tc>
        <w:tc>
          <w:tcPr>
            <w:tcW w:w="576" w:type="dxa"/>
            <w:vMerge w:val="continue"/>
            <w:shd w:val="clear" w:color="auto" w:fill="FFFFFF" w:themeFill="background1"/>
            <w:vAlign w:val="center"/>
          </w:tcPr>
          <w:p>
            <w:pPr>
              <w:pStyle w:val="63"/>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40" w:type="dxa"/>
            <w:shd w:val="clear" w:color="auto" w:fill="FFFFFF" w:themeFill="background1"/>
            <w:vAlign w:val="center"/>
          </w:tcPr>
          <w:p>
            <w:pPr>
              <w:pStyle w:val="63"/>
              <w:rPr>
                <w:sz w:val="18"/>
                <w:szCs w:val="18"/>
              </w:rPr>
            </w:pPr>
            <w:r>
              <w:rPr>
                <w:rFonts w:hint="eastAsia"/>
                <w:sz w:val="18"/>
                <w:szCs w:val="18"/>
              </w:rPr>
              <w:t>P=10%</w:t>
            </w:r>
          </w:p>
        </w:tc>
        <w:tc>
          <w:tcPr>
            <w:tcW w:w="559" w:type="dxa"/>
            <w:shd w:val="clear" w:color="auto" w:fill="FFFFFF" w:themeFill="background1"/>
            <w:vAlign w:val="center"/>
          </w:tcPr>
          <w:p>
            <w:pPr>
              <w:pStyle w:val="63"/>
              <w:rPr>
                <w:sz w:val="18"/>
                <w:szCs w:val="18"/>
              </w:rPr>
            </w:pPr>
            <w:r>
              <w:rPr>
                <w:rFonts w:hint="eastAsia"/>
                <w:sz w:val="18"/>
                <w:szCs w:val="18"/>
              </w:rPr>
              <w:t>流量</w:t>
            </w:r>
          </w:p>
        </w:tc>
        <w:tc>
          <w:tcPr>
            <w:tcW w:w="533" w:type="dxa"/>
            <w:shd w:val="clear" w:color="auto" w:fill="FFFFFF" w:themeFill="background1"/>
            <w:vAlign w:val="center"/>
          </w:tcPr>
          <w:p>
            <w:pPr>
              <w:pStyle w:val="63"/>
              <w:rPr>
                <w:sz w:val="18"/>
                <w:szCs w:val="18"/>
              </w:rPr>
            </w:pPr>
            <w:r>
              <w:rPr>
                <w:sz w:val="18"/>
                <w:szCs w:val="18"/>
              </w:rPr>
              <w:t>4.70</w:t>
            </w:r>
          </w:p>
        </w:tc>
        <w:tc>
          <w:tcPr>
            <w:tcW w:w="574" w:type="dxa"/>
            <w:shd w:val="clear" w:color="auto" w:fill="FFFFFF" w:themeFill="background1"/>
            <w:vAlign w:val="center"/>
          </w:tcPr>
          <w:p>
            <w:pPr>
              <w:pStyle w:val="63"/>
              <w:rPr>
                <w:sz w:val="18"/>
                <w:szCs w:val="18"/>
              </w:rPr>
            </w:pPr>
            <w:r>
              <w:rPr>
                <w:sz w:val="18"/>
                <w:szCs w:val="18"/>
              </w:rPr>
              <w:t>7.22</w:t>
            </w:r>
          </w:p>
        </w:tc>
        <w:tc>
          <w:tcPr>
            <w:tcW w:w="583" w:type="dxa"/>
            <w:shd w:val="clear" w:color="auto" w:fill="FFFFFF" w:themeFill="background1"/>
            <w:vAlign w:val="center"/>
          </w:tcPr>
          <w:p>
            <w:pPr>
              <w:pStyle w:val="63"/>
              <w:rPr>
                <w:sz w:val="18"/>
                <w:szCs w:val="18"/>
              </w:rPr>
            </w:pPr>
            <w:r>
              <w:rPr>
                <w:sz w:val="18"/>
                <w:szCs w:val="18"/>
              </w:rPr>
              <w:t>4.36</w:t>
            </w:r>
          </w:p>
        </w:tc>
        <w:tc>
          <w:tcPr>
            <w:tcW w:w="653" w:type="dxa"/>
            <w:shd w:val="clear" w:color="auto" w:fill="FFFFFF" w:themeFill="background1"/>
            <w:vAlign w:val="center"/>
          </w:tcPr>
          <w:p>
            <w:pPr>
              <w:pStyle w:val="63"/>
              <w:rPr>
                <w:sz w:val="18"/>
                <w:szCs w:val="18"/>
              </w:rPr>
            </w:pPr>
            <w:r>
              <w:rPr>
                <w:sz w:val="18"/>
                <w:szCs w:val="18"/>
              </w:rPr>
              <w:t>8.25</w:t>
            </w:r>
          </w:p>
        </w:tc>
        <w:tc>
          <w:tcPr>
            <w:tcW w:w="576" w:type="dxa"/>
            <w:shd w:val="clear" w:color="auto" w:fill="FFFFFF" w:themeFill="background1"/>
            <w:vAlign w:val="center"/>
          </w:tcPr>
          <w:p>
            <w:pPr>
              <w:pStyle w:val="63"/>
              <w:rPr>
                <w:sz w:val="18"/>
                <w:szCs w:val="18"/>
              </w:rPr>
            </w:pPr>
            <w:r>
              <w:rPr>
                <w:sz w:val="18"/>
                <w:szCs w:val="18"/>
              </w:rPr>
              <w:t>4.43</w:t>
            </w:r>
          </w:p>
        </w:tc>
        <w:tc>
          <w:tcPr>
            <w:tcW w:w="576" w:type="dxa"/>
            <w:shd w:val="clear" w:color="auto" w:fill="FFFFFF" w:themeFill="background1"/>
            <w:vAlign w:val="center"/>
          </w:tcPr>
          <w:p>
            <w:pPr>
              <w:pStyle w:val="63"/>
              <w:rPr>
                <w:sz w:val="18"/>
                <w:szCs w:val="18"/>
              </w:rPr>
            </w:pPr>
            <w:r>
              <w:rPr>
                <w:sz w:val="18"/>
                <w:szCs w:val="18"/>
              </w:rPr>
              <w:t>6.16</w:t>
            </w:r>
          </w:p>
        </w:tc>
        <w:tc>
          <w:tcPr>
            <w:tcW w:w="576" w:type="dxa"/>
            <w:shd w:val="clear" w:color="auto" w:fill="FFFFFF" w:themeFill="background1"/>
            <w:vAlign w:val="center"/>
          </w:tcPr>
          <w:p>
            <w:pPr>
              <w:pStyle w:val="63"/>
              <w:rPr>
                <w:sz w:val="18"/>
                <w:szCs w:val="18"/>
              </w:rPr>
            </w:pPr>
            <w:r>
              <w:rPr>
                <w:sz w:val="18"/>
                <w:szCs w:val="18"/>
              </w:rPr>
              <w:t>4.73</w:t>
            </w:r>
          </w:p>
        </w:tc>
        <w:tc>
          <w:tcPr>
            <w:tcW w:w="576" w:type="dxa"/>
            <w:shd w:val="clear" w:color="auto" w:fill="FFFFFF" w:themeFill="background1"/>
            <w:vAlign w:val="center"/>
          </w:tcPr>
          <w:p>
            <w:pPr>
              <w:pStyle w:val="63"/>
              <w:rPr>
                <w:sz w:val="18"/>
                <w:szCs w:val="18"/>
              </w:rPr>
            </w:pPr>
            <w:r>
              <w:rPr>
                <w:sz w:val="18"/>
                <w:szCs w:val="18"/>
              </w:rPr>
              <w:t>2.44</w:t>
            </w:r>
          </w:p>
        </w:tc>
        <w:tc>
          <w:tcPr>
            <w:tcW w:w="576" w:type="dxa"/>
            <w:shd w:val="clear" w:color="auto" w:fill="FFFFFF" w:themeFill="background1"/>
            <w:vAlign w:val="center"/>
          </w:tcPr>
          <w:p>
            <w:pPr>
              <w:pStyle w:val="63"/>
              <w:rPr>
                <w:sz w:val="18"/>
                <w:szCs w:val="18"/>
              </w:rPr>
            </w:pPr>
            <w:r>
              <w:rPr>
                <w:sz w:val="18"/>
                <w:szCs w:val="18"/>
              </w:rPr>
              <w:t>1.10</w:t>
            </w:r>
          </w:p>
        </w:tc>
        <w:tc>
          <w:tcPr>
            <w:tcW w:w="576" w:type="dxa"/>
            <w:shd w:val="clear" w:color="auto" w:fill="FFFFFF" w:themeFill="background1"/>
            <w:vAlign w:val="center"/>
          </w:tcPr>
          <w:p>
            <w:pPr>
              <w:pStyle w:val="63"/>
              <w:rPr>
                <w:sz w:val="18"/>
                <w:szCs w:val="18"/>
              </w:rPr>
            </w:pPr>
            <w:r>
              <w:rPr>
                <w:sz w:val="18"/>
                <w:szCs w:val="18"/>
              </w:rPr>
              <w:t>2.33</w:t>
            </w:r>
          </w:p>
        </w:tc>
        <w:tc>
          <w:tcPr>
            <w:tcW w:w="576" w:type="dxa"/>
            <w:shd w:val="clear" w:color="auto" w:fill="FFFFFF" w:themeFill="background1"/>
            <w:vAlign w:val="center"/>
          </w:tcPr>
          <w:p>
            <w:pPr>
              <w:pStyle w:val="63"/>
              <w:rPr>
                <w:sz w:val="18"/>
                <w:szCs w:val="18"/>
              </w:rPr>
            </w:pPr>
            <w:r>
              <w:rPr>
                <w:sz w:val="18"/>
                <w:szCs w:val="18"/>
              </w:rPr>
              <w:t>4.69</w:t>
            </w:r>
          </w:p>
        </w:tc>
        <w:tc>
          <w:tcPr>
            <w:tcW w:w="598" w:type="dxa"/>
            <w:shd w:val="clear" w:color="auto" w:fill="FFFFFF" w:themeFill="background1"/>
            <w:vAlign w:val="center"/>
          </w:tcPr>
          <w:p>
            <w:pPr>
              <w:pStyle w:val="63"/>
              <w:rPr>
                <w:sz w:val="18"/>
                <w:szCs w:val="18"/>
              </w:rPr>
            </w:pPr>
            <w:r>
              <w:rPr>
                <w:sz w:val="18"/>
                <w:szCs w:val="18"/>
              </w:rPr>
              <w:t>5.68</w:t>
            </w:r>
          </w:p>
        </w:tc>
        <w:tc>
          <w:tcPr>
            <w:tcW w:w="576" w:type="dxa"/>
            <w:shd w:val="clear" w:color="auto" w:fill="FFFFFF" w:themeFill="background1"/>
            <w:vAlign w:val="center"/>
          </w:tcPr>
          <w:p>
            <w:pPr>
              <w:pStyle w:val="63"/>
              <w:rPr>
                <w:sz w:val="18"/>
                <w:szCs w:val="18"/>
              </w:rPr>
            </w:pPr>
            <w:r>
              <w:rPr>
                <w:sz w:val="18"/>
                <w:szCs w:val="18"/>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40" w:type="dxa"/>
            <w:shd w:val="clear" w:color="auto" w:fill="FFFFFF" w:themeFill="background1"/>
            <w:vAlign w:val="center"/>
          </w:tcPr>
          <w:p>
            <w:pPr>
              <w:pStyle w:val="63"/>
              <w:rPr>
                <w:sz w:val="18"/>
                <w:szCs w:val="18"/>
              </w:rPr>
            </w:pPr>
            <w:r>
              <w:rPr>
                <w:rFonts w:hint="eastAsia"/>
                <w:sz w:val="18"/>
                <w:szCs w:val="18"/>
              </w:rPr>
              <w:t>P=50%</w:t>
            </w:r>
          </w:p>
        </w:tc>
        <w:tc>
          <w:tcPr>
            <w:tcW w:w="559" w:type="dxa"/>
            <w:shd w:val="clear" w:color="auto" w:fill="FFFFFF" w:themeFill="background1"/>
            <w:vAlign w:val="center"/>
          </w:tcPr>
          <w:p>
            <w:pPr>
              <w:pStyle w:val="63"/>
              <w:rPr>
                <w:sz w:val="18"/>
                <w:szCs w:val="18"/>
              </w:rPr>
            </w:pPr>
            <w:r>
              <w:rPr>
                <w:rFonts w:hint="eastAsia"/>
                <w:sz w:val="18"/>
                <w:szCs w:val="18"/>
              </w:rPr>
              <w:t>流量</w:t>
            </w:r>
          </w:p>
        </w:tc>
        <w:tc>
          <w:tcPr>
            <w:tcW w:w="533" w:type="dxa"/>
            <w:shd w:val="clear" w:color="auto" w:fill="FFFFFF" w:themeFill="background1"/>
            <w:vAlign w:val="center"/>
          </w:tcPr>
          <w:p>
            <w:pPr>
              <w:pStyle w:val="63"/>
              <w:rPr>
                <w:sz w:val="18"/>
                <w:szCs w:val="18"/>
              </w:rPr>
            </w:pPr>
            <w:r>
              <w:rPr>
                <w:sz w:val="18"/>
                <w:szCs w:val="18"/>
              </w:rPr>
              <w:t>3.84</w:t>
            </w:r>
          </w:p>
        </w:tc>
        <w:tc>
          <w:tcPr>
            <w:tcW w:w="574" w:type="dxa"/>
            <w:shd w:val="clear" w:color="auto" w:fill="FFFFFF" w:themeFill="background1"/>
            <w:vAlign w:val="center"/>
          </w:tcPr>
          <w:p>
            <w:pPr>
              <w:pStyle w:val="63"/>
              <w:rPr>
                <w:sz w:val="18"/>
                <w:szCs w:val="18"/>
              </w:rPr>
            </w:pPr>
            <w:r>
              <w:rPr>
                <w:sz w:val="18"/>
                <w:szCs w:val="18"/>
              </w:rPr>
              <w:t>5.23</w:t>
            </w:r>
          </w:p>
        </w:tc>
        <w:tc>
          <w:tcPr>
            <w:tcW w:w="583" w:type="dxa"/>
            <w:shd w:val="clear" w:color="auto" w:fill="FFFFFF" w:themeFill="background1"/>
            <w:vAlign w:val="center"/>
          </w:tcPr>
          <w:p>
            <w:pPr>
              <w:pStyle w:val="63"/>
              <w:rPr>
                <w:sz w:val="18"/>
                <w:szCs w:val="18"/>
              </w:rPr>
            </w:pPr>
            <w:r>
              <w:rPr>
                <w:sz w:val="18"/>
                <w:szCs w:val="18"/>
              </w:rPr>
              <w:t>8.66</w:t>
            </w:r>
          </w:p>
        </w:tc>
        <w:tc>
          <w:tcPr>
            <w:tcW w:w="653" w:type="dxa"/>
            <w:shd w:val="clear" w:color="auto" w:fill="FFFFFF" w:themeFill="background1"/>
            <w:vAlign w:val="center"/>
          </w:tcPr>
          <w:p>
            <w:pPr>
              <w:pStyle w:val="63"/>
              <w:rPr>
                <w:sz w:val="18"/>
                <w:szCs w:val="18"/>
              </w:rPr>
            </w:pPr>
            <w:r>
              <w:rPr>
                <w:sz w:val="18"/>
                <w:szCs w:val="18"/>
              </w:rPr>
              <w:t>9.59</w:t>
            </w:r>
          </w:p>
        </w:tc>
        <w:tc>
          <w:tcPr>
            <w:tcW w:w="576" w:type="dxa"/>
            <w:shd w:val="clear" w:color="auto" w:fill="FFFFFF" w:themeFill="background1"/>
            <w:vAlign w:val="center"/>
          </w:tcPr>
          <w:p>
            <w:pPr>
              <w:pStyle w:val="63"/>
              <w:rPr>
                <w:sz w:val="18"/>
                <w:szCs w:val="18"/>
              </w:rPr>
            </w:pPr>
            <w:r>
              <w:rPr>
                <w:sz w:val="18"/>
                <w:szCs w:val="18"/>
              </w:rPr>
              <w:t>2.55</w:t>
            </w:r>
          </w:p>
        </w:tc>
        <w:tc>
          <w:tcPr>
            <w:tcW w:w="576" w:type="dxa"/>
            <w:shd w:val="clear" w:color="auto" w:fill="FFFFFF" w:themeFill="background1"/>
            <w:vAlign w:val="center"/>
          </w:tcPr>
          <w:p>
            <w:pPr>
              <w:pStyle w:val="63"/>
              <w:rPr>
                <w:sz w:val="18"/>
                <w:szCs w:val="18"/>
              </w:rPr>
            </w:pPr>
            <w:r>
              <w:rPr>
                <w:sz w:val="18"/>
                <w:szCs w:val="18"/>
              </w:rPr>
              <w:t>0.63</w:t>
            </w:r>
          </w:p>
        </w:tc>
        <w:tc>
          <w:tcPr>
            <w:tcW w:w="576" w:type="dxa"/>
            <w:shd w:val="clear" w:color="auto" w:fill="FFFFFF" w:themeFill="background1"/>
            <w:vAlign w:val="center"/>
          </w:tcPr>
          <w:p>
            <w:pPr>
              <w:pStyle w:val="63"/>
              <w:rPr>
                <w:sz w:val="18"/>
                <w:szCs w:val="18"/>
              </w:rPr>
            </w:pPr>
            <w:r>
              <w:rPr>
                <w:sz w:val="18"/>
                <w:szCs w:val="18"/>
              </w:rPr>
              <w:t>1.84</w:t>
            </w:r>
          </w:p>
        </w:tc>
        <w:tc>
          <w:tcPr>
            <w:tcW w:w="576" w:type="dxa"/>
            <w:shd w:val="clear" w:color="auto" w:fill="FFFFFF" w:themeFill="background1"/>
            <w:vAlign w:val="center"/>
          </w:tcPr>
          <w:p>
            <w:pPr>
              <w:pStyle w:val="63"/>
              <w:rPr>
                <w:sz w:val="18"/>
                <w:szCs w:val="18"/>
              </w:rPr>
            </w:pPr>
            <w:r>
              <w:rPr>
                <w:sz w:val="18"/>
                <w:szCs w:val="18"/>
              </w:rPr>
              <w:t>1.66</w:t>
            </w:r>
          </w:p>
        </w:tc>
        <w:tc>
          <w:tcPr>
            <w:tcW w:w="576" w:type="dxa"/>
            <w:shd w:val="clear" w:color="auto" w:fill="FFFFFF" w:themeFill="background1"/>
            <w:vAlign w:val="center"/>
          </w:tcPr>
          <w:p>
            <w:pPr>
              <w:pStyle w:val="63"/>
              <w:rPr>
                <w:sz w:val="18"/>
                <w:szCs w:val="18"/>
              </w:rPr>
            </w:pPr>
            <w:r>
              <w:rPr>
                <w:sz w:val="18"/>
                <w:szCs w:val="18"/>
              </w:rPr>
              <w:t>0.74</w:t>
            </w:r>
          </w:p>
        </w:tc>
        <w:tc>
          <w:tcPr>
            <w:tcW w:w="576" w:type="dxa"/>
            <w:shd w:val="clear" w:color="auto" w:fill="FFFFFF" w:themeFill="background1"/>
            <w:vAlign w:val="center"/>
          </w:tcPr>
          <w:p>
            <w:pPr>
              <w:pStyle w:val="63"/>
              <w:rPr>
                <w:sz w:val="18"/>
                <w:szCs w:val="18"/>
              </w:rPr>
            </w:pPr>
            <w:r>
              <w:rPr>
                <w:sz w:val="18"/>
                <w:szCs w:val="18"/>
              </w:rPr>
              <w:t>1.70</w:t>
            </w:r>
          </w:p>
        </w:tc>
        <w:tc>
          <w:tcPr>
            <w:tcW w:w="576" w:type="dxa"/>
            <w:shd w:val="clear" w:color="auto" w:fill="FFFFFF" w:themeFill="background1"/>
            <w:vAlign w:val="center"/>
          </w:tcPr>
          <w:p>
            <w:pPr>
              <w:pStyle w:val="63"/>
              <w:rPr>
                <w:sz w:val="18"/>
                <w:szCs w:val="18"/>
              </w:rPr>
            </w:pPr>
            <w:r>
              <w:rPr>
                <w:sz w:val="18"/>
                <w:szCs w:val="18"/>
              </w:rPr>
              <w:t>0.56</w:t>
            </w:r>
          </w:p>
        </w:tc>
        <w:tc>
          <w:tcPr>
            <w:tcW w:w="598" w:type="dxa"/>
            <w:shd w:val="clear" w:color="auto" w:fill="FFFFFF" w:themeFill="background1"/>
            <w:vAlign w:val="center"/>
          </w:tcPr>
          <w:p>
            <w:pPr>
              <w:pStyle w:val="63"/>
              <w:rPr>
                <w:sz w:val="18"/>
                <w:szCs w:val="18"/>
              </w:rPr>
            </w:pPr>
            <w:r>
              <w:rPr>
                <w:sz w:val="18"/>
                <w:szCs w:val="18"/>
              </w:rPr>
              <w:t>0.49</w:t>
            </w:r>
          </w:p>
        </w:tc>
        <w:tc>
          <w:tcPr>
            <w:tcW w:w="576" w:type="dxa"/>
            <w:shd w:val="clear" w:color="auto" w:fill="FFFFFF" w:themeFill="background1"/>
            <w:vAlign w:val="center"/>
          </w:tcPr>
          <w:p>
            <w:pPr>
              <w:pStyle w:val="63"/>
              <w:rPr>
                <w:sz w:val="18"/>
                <w:szCs w:val="18"/>
              </w:rPr>
            </w:pPr>
            <w:r>
              <w:rPr>
                <w:sz w:val="18"/>
                <w:szCs w:val="18"/>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840" w:type="dxa"/>
            <w:shd w:val="clear" w:color="auto" w:fill="FFFFFF" w:themeFill="background1"/>
            <w:vAlign w:val="center"/>
          </w:tcPr>
          <w:p>
            <w:pPr>
              <w:pStyle w:val="63"/>
              <w:rPr>
                <w:sz w:val="18"/>
                <w:szCs w:val="18"/>
              </w:rPr>
            </w:pPr>
            <w:r>
              <w:rPr>
                <w:rFonts w:hint="eastAsia"/>
                <w:sz w:val="18"/>
                <w:szCs w:val="18"/>
              </w:rPr>
              <w:t>P=90%</w:t>
            </w:r>
          </w:p>
        </w:tc>
        <w:tc>
          <w:tcPr>
            <w:tcW w:w="559" w:type="dxa"/>
            <w:shd w:val="clear" w:color="auto" w:fill="FFFFFF" w:themeFill="background1"/>
            <w:vAlign w:val="center"/>
          </w:tcPr>
          <w:p>
            <w:pPr>
              <w:pStyle w:val="63"/>
              <w:rPr>
                <w:sz w:val="18"/>
                <w:szCs w:val="18"/>
              </w:rPr>
            </w:pPr>
            <w:r>
              <w:rPr>
                <w:rFonts w:hint="eastAsia"/>
                <w:sz w:val="18"/>
                <w:szCs w:val="18"/>
              </w:rPr>
              <w:t>流量</w:t>
            </w:r>
          </w:p>
        </w:tc>
        <w:tc>
          <w:tcPr>
            <w:tcW w:w="533" w:type="dxa"/>
            <w:shd w:val="clear" w:color="auto" w:fill="FFFFFF" w:themeFill="background1"/>
            <w:vAlign w:val="center"/>
          </w:tcPr>
          <w:p>
            <w:pPr>
              <w:pStyle w:val="63"/>
              <w:rPr>
                <w:sz w:val="18"/>
                <w:szCs w:val="18"/>
              </w:rPr>
            </w:pPr>
            <w:r>
              <w:rPr>
                <w:sz w:val="18"/>
                <w:szCs w:val="18"/>
              </w:rPr>
              <w:t>2.79</w:t>
            </w:r>
          </w:p>
        </w:tc>
        <w:tc>
          <w:tcPr>
            <w:tcW w:w="574" w:type="dxa"/>
            <w:shd w:val="clear" w:color="auto" w:fill="FFFFFF" w:themeFill="background1"/>
            <w:vAlign w:val="center"/>
          </w:tcPr>
          <w:p>
            <w:pPr>
              <w:pStyle w:val="63"/>
              <w:rPr>
                <w:sz w:val="18"/>
                <w:szCs w:val="18"/>
              </w:rPr>
            </w:pPr>
            <w:r>
              <w:rPr>
                <w:sz w:val="18"/>
                <w:szCs w:val="18"/>
              </w:rPr>
              <w:t>0.23</w:t>
            </w:r>
          </w:p>
        </w:tc>
        <w:tc>
          <w:tcPr>
            <w:tcW w:w="583" w:type="dxa"/>
            <w:shd w:val="clear" w:color="auto" w:fill="FFFFFF" w:themeFill="background1"/>
            <w:vAlign w:val="center"/>
          </w:tcPr>
          <w:p>
            <w:pPr>
              <w:pStyle w:val="63"/>
              <w:rPr>
                <w:sz w:val="18"/>
                <w:szCs w:val="18"/>
              </w:rPr>
            </w:pPr>
            <w:r>
              <w:rPr>
                <w:sz w:val="18"/>
                <w:szCs w:val="18"/>
              </w:rPr>
              <w:t>8.78</w:t>
            </w:r>
          </w:p>
        </w:tc>
        <w:tc>
          <w:tcPr>
            <w:tcW w:w="653" w:type="dxa"/>
            <w:shd w:val="clear" w:color="auto" w:fill="FFFFFF" w:themeFill="background1"/>
            <w:vAlign w:val="center"/>
          </w:tcPr>
          <w:p>
            <w:pPr>
              <w:pStyle w:val="63"/>
              <w:rPr>
                <w:sz w:val="18"/>
                <w:szCs w:val="18"/>
              </w:rPr>
            </w:pPr>
            <w:r>
              <w:rPr>
                <w:sz w:val="18"/>
                <w:szCs w:val="18"/>
              </w:rPr>
              <w:t>5.62</w:t>
            </w:r>
          </w:p>
        </w:tc>
        <w:tc>
          <w:tcPr>
            <w:tcW w:w="576" w:type="dxa"/>
            <w:shd w:val="clear" w:color="auto" w:fill="FFFFFF" w:themeFill="background1"/>
            <w:vAlign w:val="center"/>
          </w:tcPr>
          <w:p>
            <w:pPr>
              <w:pStyle w:val="63"/>
              <w:rPr>
                <w:sz w:val="18"/>
                <w:szCs w:val="18"/>
              </w:rPr>
            </w:pPr>
            <w:r>
              <w:rPr>
                <w:sz w:val="18"/>
                <w:szCs w:val="18"/>
              </w:rPr>
              <w:t>1.64</w:t>
            </w:r>
          </w:p>
        </w:tc>
        <w:tc>
          <w:tcPr>
            <w:tcW w:w="576" w:type="dxa"/>
            <w:shd w:val="clear" w:color="auto" w:fill="FFFFFF" w:themeFill="background1"/>
            <w:vAlign w:val="center"/>
          </w:tcPr>
          <w:p>
            <w:pPr>
              <w:pStyle w:val="63"/>
              <w:rPr>
                <w:sz w:val="18"/>
                <w:szCs w:val="18"/>
              </w:rPr>
            </w:pPr>
            <w:r>
              <w:rPr>
                <w:sz w:val="18"/>
                <w:szCs w:val="18"/>
              </w:rPr>
              <w:t>1.32</w:t>
            </w:r>
          </w:p>
        </w:tc>
        <w:tc>
          <w:tcPr>
            <w:tcW w:w="576" w:type="dxa"/>
            <w:shd w:val="clear" w:color="auto" w:fill="FFFFFF" w:themeFill="background1"/>
            <w:vAlign w:val="center"/>
          </w:tcPr>
          <w:p>
            <w:pPr>
              <w:pStyle w:val="63"/>
              <w:rPr>
                <w:sz w:val="18"/>
                <w:szCs w:val="18"/>
              </w:rPr>
            </w:pPr>
            <w:r>
              <w:rPr>
                <w:sz w:val="18"/>
                <w:szCs w:val="18"/>
              </w:rPr>
              <w:t>1.16</w:t>
            </w:r>
          </w:p>
        </w:tc>
        <w:tc>
          <w:tcPr>
            <w:tcW w:w="576" w:type="dxa"/>
            <w:shd w:val="clear" w:color="auto" w:fill="FFFFFF" w:themeFill="background1"/>
            <w:vAlign w:val="center"/>
          </w:tcPr>
          <w:p>
            <w:pPr>
              <w:pStyle w:val="63"/>
              <w:rPr>
                <w:sz w:val="18"/>
                <w:szCs w:val="18"/>
              </w:rPr>
            </w:pPr>
            <w:r>
              <w:rPr>
                <w:sz w:val="18"/>
                <w:szCs w:val="18"/>
              </w:rPr>
              <w:t>1.13</w:t>
            </w:r>
          </w:p>
        </w:tc>
        <w:tc>
          <w:tcPr>
            <w:tcW w:w="576" w:type="dxa"/>
            <w:shd w:val="clear" w:color="auto" w:fill="FFFFFF" w:themeFill="background1"/>
            <w:vAlign w:val="center"/>
          </w:tcPr>
          <w:p>
            <w:pPr>
              <w:pStyle w:val="63"/>
              <w:rPr>
                <w:sz w:val="18"/>
                <w:szCs w:val="18"/>
              </w:rPr>
            </w:pPr>
            <w:r>
              <w:rPr>
                <w:sz w:val="18"/>
                <w:szCs w:val="18"/>
              </w:rPr>
              <w:t>0.33</w:t>
            </w:r>
          </w:p>
        </w:tc>
        <w:tc>
          <w:tcPr>
            <w:tcW w:w="576" w:type="dxa"/>
            <w:shd w:val="clear" w:color="auto" w:fill="FFFFFF" w:themeFill="background1"/>
            <w:vAlign w:val="center"/>
          </w:tcPr>
          <w:p>
            <w:pPr>
              <w:pStyle w:val="63"/>
              <w:rPr>
                <w:sz w:val="18"/>
                <w:szCs w:val="18"/>
              </w:rPr>
            </w:pPr>
            <w:r>
              <w:rPr>
                <w:sz w:val="18"/>
                <w:szCs w:val="18"/>
              </w:rPr>
              <w:t>0.12</w:t>
            </w:r>
          </w:p>
        </w:tc>
        <w:tc>
          <w:tcPr>
            <w:tcW w:w="576" w:type="dxa"/>
            <w:shd w:val="clear" w:color="auto" w:fill="FFFFFF" w:themeFill="background1"/>
            <w:vAlign w:val="center"/>
          </w:tcPr>
          <w:p>
            <w:pPr>
              <w:pStyle w:val="63"/>
              <w:rPr>
                <w:sz w:val="18"/>
                <w:szCs w:val="18"/>
              </w:rPr>
            </w:pPr>
            <w:r>
              <w:rPr>
                <w:sz w:val="18"/>
                <w:szCs w:val="18"/>
              </w:rPr>
              <w:t>0.39</w:t>
            </w:r>
          </w:p>
        </w:tc>
        <w:tc>
          <w:tcPr>
            <w:tcW w:w="598" w:type="dxa"/>
            <w:shd w:val="clear" w:color="auto" w:fill="FFFFFF" w:themeFill="background1"/>
            <w:vAlign w:val="center"/>
          </w:tcPr>
          <w:p>
            <w:pPr>
              <w:pStyle w:val="63"/>
              <w:rPr>
                <w:sz w:val="18"/>
                <w:szCs w:val="18"/>
              </w:rPr>
            </w:pPr>
            <w:r>
              <w:rPr>
                <w:sz w:val="18"/>
                <w:szCs w:val="18"/>
              </w:rPr>
              <w:t>0.23</w:t>
            </w:r>
          </w:p>
        </w:tc>
        <w:tc>
          <w:tcPr>
            <w:tcW w:w="576" w:type="dxa"/>
            <w:shd w:val="clear" w:color="auto" w:fill="FFFFFF" w:themeFill="background1"/>
            <w:vAlign w:val="center"/>
          </w:tcPr>
          <w:p>
            <w:pPr>
              <w:pStyle w:val="63"/>
              <w:rPr>
                <w:sz w:val="18"/>
                <w:szCs w:val="18"/>
              </w:rPr>
            </w:pPr>
            <w:r>
              <w:rPr>
                <w:sz w:val="18"/>
                <w:szCs w:val="18"/>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840" w:type="dxa"/>
            <w:shd w:val="clear" w:color="auto" w:fill="FFFFFF" w:themeFill="background1"/>
            <w:noWrap/>
            <w:vAlign w:val="center"/>
          </w:tcPr>
          <w:p>
            <w:pPr>
              <w:pStyle w:val="63"/>
              <w:rPr>
                <w:sz w:val="18"/>
                <w:szCs w:val="18"/>
              </w:rPr>
            </w:pPr>
            <w:r>
              <w:rPr>
                <w:rFonts w:hint="eastAsia"/>
                <w:sz w:val="18"/>
                <w:szCs w:val="18"/>
              </w:rPr>
              <w:t>平均值</w:t>
            </w:r>
          </w:p>
        </w:tc>
        <w:tc>
          <w:tcPr>
            <w:tcW w:w="559" w:type="dxa"/>
            <w:shd w:val="clear" w:color="auto" w:fill="FFFFFF" w:themeFill="background1"/>
            <w:noWrap/>
            <w:vAlign w:val="center"/>
          </w:tcPr>
          <w:p>
            <w:pPr>
              <w:pStyle w:val="63"/>
              <w:rPr>
                <w:sz w:val="18"/>
                <w:szCs w:val="18"/>
              </w:rPr>
            </w:pPr>
          </w:p>
        </w:tc>
        <w:tc>
          <w:tcPr>
            <w:tcW w:w="533" w:type="dxa"/>
            <w:shd w:val="clear" w:color="auto" w:fill="FFFFFF" w:themeFill="background1"/>
            <w:noWrap/>
            <w:vAlign w:val="center"/>
          </w:tcPr>
          <w:p>
            <w:pPr>
              <w:pStyle w:val="63"/>
              <w:rPr>
                <w:sz w:val="18"/>
                <w:szCs w:val="18"/>
              </w:rPr>
            </w:pPr>
            <w:r>
              <w:rPr>
                <w:sz w:val="18"/>
                <w:szCs w:val="18"/>
              </w:rPr>
              <w:t>3.77</w:t>
            </w:r>
          </w:p>
        </w:tc>
        <w:tc>
          <w:tcPr>
            <w:tcW w:w="574" w:type="dxa"/>
            <w:shd w:val="clear" w:color="auto" w:fill="FFFFFF" w:themeFill="background1"/>
            <w:noWrap/>
            <w:vAlign w:val="center"/>
          </w:tcPr>
          <w:p>
            <w:pPr>
              <w:pStyle w:val="63"/>
              <w:rPr>
                <w:sz w:val="18"/>
                <w:szCs w:val="18"/>
              </w:rPr>
            </w:pPr>
            <w:r>
              <w:rPr>
                <w:sz w:val="18"/>
                <w:szCs w:val="18"/>
              </w:rPr>
              <w:t>4.23</w:t>
            </w:r>
          </w:p>
        </w:tc>
        <w:tc>
          <w:tcPr>
            <w:tcW w:w="583" w:type="dxa"/>
            <w:shd w:val="clear" w:color="auto" w:fill="FFFFFF" w:themeFill="background1"/>
            <w:noWrap/>
            <w:vAlign w:val="center"/>
          </w:tcPr>
          <w:p>
            <w:pPr>
              <w:pStyle w:val="63"/>
              <w:rPr>
                <w:sz w:val="18"/>
                <w:szCs w:val="18"/>
              </w:rPr>
            </w:pPr>
            <w:r>
              <w:rPr>
                <w:sz w:val="18"/>
                <w:szCs w:val="18"/>
              </w:rPr>
              <w:t>7.27</w:t>
            </w:r>
          </w:p>
        </w:tc>
        <w:tc>
          <w:tcPr>
            <w:tcW w:w="653" w:type="dxa"/>
            <w:shd w:val="clear" w:color="auto" w:fill="FFFFFF" w:themeFill="background1"/>
            <w:noWrap/>
            <w:vAlign w:val="center"/>
          </w:tcPr>
          <w:p>
            <w:pPr>
              <w:pStyle w:val="63"/>
              <w:rPr>
                <w:sz w:val="18"/>
                <w:szCs w:val="18"/>
              </w:rPr>
            </w:pPr>
            <w:r>
              <w:rPr>
                <w:sz w:val="18"/>
                <w:szCs w:val="18"/>
              </w:rPr>
              <w:t>7.82</w:t>
            </w:r>
          </w:p>
        </w:tc>
        <w:tc>
          <w:tcPr>
            <w:tcW w:w="576" w:type="dxa"/>
            <w:shd w:val="clear" w:color="auto" w:fill="FFFFFF" w:themeFill="background1"/>
            <w:noWrap/>
            <w:vAlign w:val="center"/>
          </w:tcPr>
          <w:p>
            <w:pPr>
              <w:pStyle w:val="63"/>
              <w:rPr>
                <w:sz w:val="18"/>
                <w:szCs w:val="18"/>
              </w:rPr>
            </w:pPr>
            <w:r>
              <w:rPr>
                <w:sz w:val="18"/>
                <w:szCs w:val="18"/>
              </w:rPr>
              <w:t>2.87</w:t>
            </w:r>
          </w:p>
        </w:tc>
        <w:tc>
          <w:tcPr>
            <w:tcW w:w="576" w:type="dxa"/>
            <w:shd w:val="clear" w:color="auto" w:fill="FFFFFF" w:themeFill="background1"/>
            <w:noWrap/>
            <w:vAlign w:val="center"/>
          </w:tcPr>
          <w:p>
            <w:pPr>
              <w:pStyle w:val="63"/>
              <w:rPr>
                <w:sz w:val="18"/>
                <w:szCs w:val="18"/>
              </w:rPr>
            </w:pPr>
            <w:r>
              <w:rPr>
                <w:sz w:val="18"/>
                <w:szCs w:val="18"/>
              </w:rPr>
              <w:t>2.70</w:t>
            </w:r>
          </w:p>
        </w:tc>
        <w:tc>
          <w:tcPr>
            <w:tcW w:w="576" w:type="dxa"/>
            <w:shd w:val="clear" w:color="auto" w:fill="FFFFFF" w:themeFill="background1"/>
            <w:noWrap/>
            <w:vAlign w:val="center"/>
          </w:tcPr>
          <w:p>
            <w:pPr>
              <w:pStyle w:val="63"/>
              <w:rPr>
                <w:sz w:val="18"/>
                <w:szCs w:val="18"/>
              </w:rPr>
            </w:pPr>
            <w:r>
              <w:rPr>
                <w:sz w:val="18"/>
                <w:szCs w:val="18"/>
              </w:rPr>
              <w:t>2.58</w:t>
            </w:r>
          </w:p>
        </w:tc>
        <w:tc>
          <w:tcPr>
            <w:tcW w:w="576" w:type="dxa"/>
            <w:shd w:val="clear" w:color="auto" w:fill="FFFFFF" w:themeFill="background1"/>
            <w:noWrap/>
            <w:vAlign w:val="center"/>
          </w:tcPr>
          <w:p>
            <w:pPr>
              <w:pStyle w:val="63"/>
              <w:rPr>
                <w:sz w:val="18"/>
                <w:szCs w:val="18"/>
              </w:rPr>
            </w:pPr>
            <w:r>
              <w:rPr>
                <w:sz w:val="18"/>
                <w:szCs w:val="18"/>
              </w:rPr>
              <w:t>1.74</w:t>
            </w:r>
          </w:p>
        </w:tc>
        <w:tc>
          <w:tcPr>
            <w:tcW w:w="576" w:type="dxa"/>
            <w:shd w:val="clear" w:color="auto" w:fill="FFFFFF" w:themeFill="background1"/>
            <w:noWrap/>
            <w:vAlign w:val="center"/>
          </w:tcPr>
          <w:p>
            <w:pPr>
              <w:pStyle w:val="63"/>
              <w:rPr>
                <w:sz w:val="18"/>
                <w:szCs w:val="18"/>
              </w:rPr>
            </w:pPr>
            <w:r>
              <w:rPr>
                <w:sz w:val="18"/>
                <w:szCs w:val="18"/>
              </w:rPr>
              <w:t>0.72</w:t>
            </w:r>
          </w:p>
        </w:tc>
        <w:tc>
          <w:tcPr>
            <w:tcW w:w="576" w:type="dxa"/>
            <w:shd w:val="clear" w:color="auto" w:fill="FFFFFF" w:themeFill="background1"/>
            <w:noWrap/>
            <w:vAlign w:val="center"/>
          </w:tcPr>
          <w:p>
            <w:pPr>
              <w:pStyle w:val="63"/>
              <w:rPr>
                <w:sz w:val="18"/>
                <w:szCs w:val="18"/>
              </w:rPr>
            </w:pPr>
            <w:r>
              <w:rPr>
                <w:sz w:val="18"/>
                <w:szCs w:val="18"/>
              </w:rPr>
              <w:t>1.38</w:t>
            </w:r>
          </w:p>
        </w:tc>
        <w:tc>
          <w:tcPr>
            <w:tcW w:w="576" w:type="dxa"/>
            <w:shd w:val="clear" w:color="auto" w:fill="FFFFFF" w:themeFill="background1"/>
            <w:noWrap/>
            <w:vAlign w:val="center"/>
          </w:tcPr>
          <w:p>
            <w:pPr>
              <w:pStyle w:val="63"/>
              <w:rPr>
                <w:sz w:val="18"/>
                <w:szCs w:val="18"/>
              </w:rPr>
            </w:pPr>
            <w:r>
              <w:rPr>
                <w:sz w:val="18"/>
                <w:szCs w:val="18"/>
              </w:rPr>
              <w:t>1.88</w:t>
            </w:r>
          </w:p>
        </w:tc>
        <w:tc>
          <w:tcPr>
            <w:tcW w:w="598" w:type="dxa"/>
            <w:shd w:val="clear" w:color="auto" w:fill="FFFFFF" w:themeFill="background1"/>
            <w:noWrap/>
            <w:vAlign w:val="center"/>
          </w:tcPr>
          <w:p>
            <w:pPr>
              <w:pStyle w:val="63"/>
              <w:rPr>
                <w:sz w:val="18"/>
                <w:szCs w:val="18"/>
              </w:rPr>
            </w:pPr>
            <w:r>
              <w:rPr>
                <w:sz w:val="18"/>
                <w:szCs w:val="18"/>
              </w:rPr>
              <w:t>2.13</w:t>
            </w:r>
          </w:p>
        </w:tc>
        <w:tc>
          <w:tcPr>
            <w:tcW w:w="576" w:type="dxa"/>
            <w:shd w:val="clear" w:color="auto" w:fill="FFFFFF" w:themeFill="background1"/>
            <w:noWrap/>
            <w:vAlign w:val="center"/>
          </w:tcPr>
          <w:p>
            <w:pPr>
              <w:pStyle w:val="63"/>
              <w:rPr>
                <w:sz w:val="18"/>
                <w:szCs w:val="18"/>
              </w:rPr>
            </w:pPr>
            <w:r>
              <w:rPr>
                <w:sz w:val="18"/>
                <w:szCs w:val="18"/>
              </w:rPr>
              <w:t>3.2</w:t>
            </w:r>
            <w:r>
              <w:rPr>
                <w:rFonts w:hint="eastAsia"/>
                <w:sz w:val="18"/>
                <w:szCs w:val="18"/>
              </w:rPr>
              <w:t>5</w:t>
            </w:r>
          </w:p>
        </w:tc>
      </w:tr>
    </w:tbl>
    <w:p/>
    <w:p>
      <w:pPr>
        <w:pStyle w:val="3"/>
        <w:spacing w:before="156" w:after="156"/>
      </w:pPr>
      <w:r>
        <w:rPr>
          <w:rFonts w:hint="eastAsia"/>
        </w:rPr>
        <w:t>地表水环境质量现状评价</w:t>
      </w:r>
    </w:p>
    <w:p>
      <w:pPr>
        <w:pStyle w:val="4"/>
        <w:spacing w:before="156" w:after="156"/>
      </w:pPr>
      <w:r>
        <w:rPr>
          <w:rFonts w:hint="eastAsia"/>
        </w:rPr>
        <w:t>区域地表水环境质量变化趋势</w:t>
      </w:r>
    </w:p>
    <w:p>
      <w:pPr>
        <w:pStyle w:val="5"/>
        <w:ind w:firstLine="480"/>
      </w:pPr>
      <w:r>
        <w:rPr>
          <w:rFonts w:hint="eastAsia"/>
        </w:rPr>
        <w:t>本次评价根据朱衣河例行监测断面（朱衣镇）近三年地表水例行监测数据分析区域地表水环境质量变化趋势，监测结果见</w:t>
      </w:r>
      <w:r>
        <w:fldChar w:fldCharType="begin"/>
      </w:r>
      <w:r>
        <w:instrText xml:space="preserve"> </w:instrText>
      </w:r>
      <w:r>
        <w:rPr>
          <w:rFonts w:hint="eastAsia"/>
        </w:rPr>
        <w:instrText xml:space="preserve">REF _Ref170201014 \h</w:instrText>
      </w:r>
      <w:r>
        <w:instrText xml:space="preserve"> </w:instrText>
      </w:r>
      <w:r>
        <w:fldChar w:fldCharType="separate"/>
      </w:r>
      <w:r>
        <w:t>表 3.2</w:t>
      </w:r>
      <w:r>
        <w:noBreakHyphen/>
      </w:r>
      <w:r>
        <w:t>1</w:t>
      </w:r>
      <w:r>
        <w:fldChar w:fldCharType="end"/>
      </w:r>
      <w:r>
        <w:rPr>
          <w:rFonts w:hint="eastAsia"/>
        </w:rPr>
        <w:t>。</w:t>
      </w:r>
    </w:p>
    <w:p>
      <w:pPr>
        <w:pStyle w:val="14"/>
        <w:keepNext/>
      </w:pPr>
      <w:bookmarkStart w:id="104" w:name="_Ref170201014"/>
      <w:r>
        <w:t xml:space="preserve">表 </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1</w:t>
      </w:r>
      <w:r>
        <w:fldChar w:fldCharType="end"/>
      </w:r>
      <w:bookmarkEnd w:id="104"/>
      <w:r>
        <w:rPr>
          <w:rFonts w:hint="eastAsia"/>
        </w:rPr>
        <w:t xml:space="preserve">   区域地表水监控断面近3年水环境主梁监测结果统计  mg/L</w:t>
      </w:r>
    </w:p>
    <w:tbl>
      <w:tblPr>
        <w:tblStyle w:val="38"/>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700"/>
        <w:gridCol w:w="1380"/>
        <w:gridCol w:w="1399"/>
        <w:gridCol w:w="1289"/>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67" w:type="dxa"/>
            <w:vAlign w:val="center"/>
          </w:tcPr>
          <w:p>
            <w:pPr>
              <w:pStyle w:val="63"/>
            </w:pPr>
            <w:r>
              <w:rPr>
                <w:rFonts w:hint="eastAsia"/>
              </w:rPr>
              <w:t>断面</w:t>
            </w:r>
          </w:p>
        </w:tc>
        <w:tc>
          <w:tcPr>
            <w:tcW w:w="1700" w:type="dxa"/>
            <w:vAlign w:val="center"/>
          </w:tcPr>
          <w:p>
            <w:pPr>
              <w:pStyle w:val="63"/>
            </w:pPr>
            <w:r>
              <w:rPr>
                <w:rFonts w:hint="eastAsia"/>
              </w:rPr>
              <w:t>年份</w:t>
            </w:r>
          </w:p>
        </w:tc>
        <w:tc>
          <w:tcPr>
            <w:tcW w:w="1380" w:type="dxa"/>
            <w:vAlign w:val="center"/>
          </w:tcPr>
          <w:p>
            <w:pPr>
              <w:pStyle w:val="63"/>
            </w:pPr>
            <w:r>
              <w:t>COD</w:t>
            </w:r>
            <w:r>
              <w:rPr>
                <w:vertAlign w:val="subscript"/>
              </w:rPr>
              <w:t>Cr</w:t>
            </w:r>
          </w:p>
        </w:tc>
        <w:tc>
          <w:tcPr>
            <w:tcW w:w="1399" w:type="dxa"/>
            <w:vAlign w:val="center"/>
          </w:tcPr>
          <w:p>
            <w:pPr>
              <w:pStyle w:val="63"/>
            </w:pPr>
            <w:r>
              <w:t>BOD</w:t>
            </w:r>
            <w:r>
              <w:rPr>
                <w:vertAlign w:val="subscript"/>
              </w:rPr>
              <w:t>5</w:t>
            </w:r>
          </w:p>
        </w:tc>
        <w:tc>
          <w:tcPr>
            <w:tcW w:w="1289" w:type="dxa"/>
            <w:vAlign w:val="center"/>
          </w:tcPr>
          <w:p>
            <w:pPr>
              <w:pStyle w:val="63"/>
            </w:pPr>
            <w:r>
              <w:t>NH</w:t>
            </w:r>
            <w:r>
              <w:rPr>
                <w:vertAlign w:val="subscript"/>
              </w:rPr>
              <w:t>3</w:t>
            </w:r>
            <w:r>
              <w:t>-N</w:t>
            </w:r>
          </w:p>
        </w:tc>
        <w:tc>
          <w:tcPr>
            <w:tcW w:w="1813" w:type="dxa"/>
            <w:vAlign w:val="center"/>
          </w:tcPr>
          <w:p>
            <w:pPr>
              <w:pStyle w:val="63"/>
            </w:pPr>
            <w: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67" w:type="dxa"/>
            <w:vMerge w:val="restart"/>
            <w:vAlign w:val="center"/>
          </w:tcPr>
          <w:p>
            <w:pPr>
              <w:pStyle w:val="63"/>
            </w:pPr>
            <w:r>
              <w:rPr>
                <w:rFonts w:hint="eastAsia"/>
              </w:rPr>
              <w:t>朱衣河</w:t>
            </w:r>
          </w:p>
          <w:p>
            <w:pPr>
              <w:pStyle w:val="63"/>
            </w:pPr>
            <w:r>
              <w:rPr>
                <w:rFonts w:hint="eastAsia"/>
              </w:rPr>
              <w:t>朱衣镇断面</w:t>
            </w:r>
          </w:p>
        </w:tc>
        <w:tc>
          <w:tcPr>
            <w:tcW w:w="1700" w:type="dxa"/>
            <w:vAlign w:val="center"/>
          </w:tcPr>
          <w:p>
            <w:pPr>
              <w:pStyle w:val="63"/>
            </w:pPr>
            <w:r>
              <w:t>202</w:t>
            </w:r>
            <w:r>
              <w:rPr>
                <w:rFonts w:hint="eastAsia"/>
              </w:rPr>
              <w:t>1年</w:t>
            </w:r>
          </w:p>
        </w:tc>
        <w:tc>
          <w:tcPr>
            <w:tcW w:w="1380" w:type="dxa"/>
            <w:vAlign w:val="center"/>
          </w:tcPr>
          <w:p>
            <w:pPr>
              <w:pStyle w:val="63"/>
            </w:pPr>
            <w:r>
              <w:rPr>
                <w:rFonts w:hint="eastAsia"/>
              </w:rPr>
              <w:t>8</w:t>
            </w:r>
          </w:p>
        </w:tc>
        <w:tc>
          <w:tcPr>
            <w:tcW w:w="1399" w:type="dxa"/>
            <w:vAlign w:val="center"/>
          </w:tcPr>
          <w:p>
            <w:pPr>
              <w:pStyle w:val="63"/>
            </w:pPr>
            <w:r>
              <w:rPr>
                <w:rFonts w:hint="eastAsia"/>
              </w:rPr>
              <w:t>0.9</w:t>
            </w:r>
          </w:p>
        </w:tc>
        <w:tc>
          <w:tcPr>
            <w:tcW w:w="1289" w:type="dxa"/>
            <w:vAlign w:val="center"/>
          </w:tcPr>
          <w:p>
            <w:pPr>
              <w:pStyle w:val="63"/>
            </w:pPr>
            <w:r>
              <w:rPr>
                <w:rFonts w:hint="eastAsia"/>
              </w:rPr>
              <w:t>0.08</w:t>
            </w:r>
          </w:p>
        </w:tc>
        <w:tc>
          <w:tcPr>
            <w:tcW w:w="1813" w:type="dxa"/>
            <w:vAlign w:val="center"/>
          </w:tcPr>
          <w:p>
            <w:pPr>
              <w:pStyle w:val="63"/>
            </w:pPr>
            <w:r>
              <w:rPr>
                <w:rFonts w:hint="eastAsia"/>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67" w:type="dxa"/>
            <w:vMerge w:val="continue"/>
            <w:vAlign w:val="center"/>
          </w:tcPr>
          <w:p>
            <w:pPr>
              <w:pStyle w:val="63"/>
            </w:pPr>
          </w:p>
        </w:tc>
        <w:tc>
          <w:tcPr>
            <w:tcW w:w="1700" w:type="dxa"/>
            <w:vAlign w:val="center"/>
          </w:tcPr>
          <w:p>
            <w:pPr>
              <w:pStyle w:val="63"/>
            </w:pPr>
            <w:r>
              <w:t>202</w:t>
            </w:r>
            <w:r>
              <w:rPr>
                <w:rFonts w:hint="eastAsia"/>
              </w:rPr>
              <w:t>2年</w:t>
            </w:r>
          </w:p>
        </w:tc>
        <w:tc>
          <w:tcPr>
            <w:tcW w:w="1380" w:type="dxa"/>
            <w:vAlign w:val="center"/>
          </w:tcPr>
          <w:p>
            <w:pPr>
              <w:pStyle w:val="63"/>
            </w:pPr>
            <w:r>
              <w:rPr>
                <w:rFonts w:hint="eastAsia"/>
              </w:rPr>
              <w:t>6</w:t>
            </w:r>
          </w:p>
        </w:tc>
        <w:tc>
          <w:tcPr>
            <w:tcW w:w="1399" w:type="dxa"/>
            <w:vAlign w:val="center"/>
          </w:tcPr>
          <w:p>
            <w:pPr>
              <w:pStyle w:val="63"/>
            </w:pPr>
            <w:r>
              <w:rPr>
                <w:rFonts w:hint="eastAsia"/>
              </w:rPr>
              <w:t>0.9</w:t>
            </w:r>
          </w:p>
        </w:tc>
        <w:tc>
          <w:tcPr>
            <w:tcW w:w="1289" w:type="dxa"/>
            <w:vAlign w:val="center"/>
          </w:tcPr>
          <w:p>
            <w:pPr>
              <w:pStyle w:val="63"/>
            </w:pPr>
            <w:r>
              <w:rPr>
                <w:rFonts w:hint="eastAsia"/>
              </w:rPr>
              <w:t>0.07</w:t>
            </w:r>
          </w:p>
        </w:tc>
        <w:tc>
          <w:tcPr>
            <w:tcW w:w="1813" w:type="dxa"/>
            <w:vAlign w:val="center"/>
          </w:tcPr>
          <w:p>
            <w:pPr>
              <w:pStyle w:val="63"/>
            </w:pPr>
            <w:r>
              <w:rPr>
                <w:rFonts w:hint="eastAsia"/>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367" w:type="dxa"/>
            <w:vMerge w:val="continue"/>
            <w:vAlign w:val="center"/>
          </w:tcPr>
          <w:p>
            <w:pPr>
              <w:pStyle w:val="63"/>
            </w:pPr>
          </w:p>
        </w:tc>
        <w:tc>
          <w:tcPr>
            <w:tcW w:w="1700" w:type="dxa"/>
            <w:vAlign w:val="center"/>
          </w:tcPr>
          <w:p>
            <w:pPr>
              <w:pStyle w:val="63"/>
            </w:pPr>
            <w:r>
              <w:rPr>
                <w:rFonts w:hint="eastAsia"/>
              </w:rPr>
              <w:t>2</w:t>
            </w:r>
            <w:r>
              <w:t>02</w:t>
            </w:r>
            <w:r>
              <w:rPr>
                <w:rFonts w:hint="eastAsia"/>
              </w:rPr>
              <w:t>3年</w:t>
            </w:r>
          </w:p>
        </w:tc>
        <w:tc>
          <w:tcPr>
            <w:tcW w:w="1380" w:type="dxa"/>
            <w:vAlign w:val="center"/>
          </w:tcPr>
          <w:p>
            <w:pPr>
              <w:pStyle w:val="63"/>
            </w:pPr>
            <w:r>
              <w:rPr>
                <w:rFonts w:hint="eastAsia"/>
              </w:rPr>
              <w:t>7.25</w:t>
            </w:r>
          </w:p>
        </w:tc>
        <w:tc>
          <w:tcPr>
            <w:tcW w:w="1399" w:type="dxa"/>
            <w:vAlign w:val="center"/>
          </w:tcPr>
          <w:p>
            <w:pPr>
              <w:pStyle w:val="63"/>
            </w:pPr>
            <w:r>
              <w:rPr>
                <w:rFonts w:hint="eastAsia"/>
              </w:rPr>
              <w:t>0.6</w:t>
            </w:r>
          </w:p>
        </w:tc>
        <w:tc>
          <w:tcPr>
            <w:tcW w:w="1289" w:type="dxa"/>
            <w:vAlign w:val="center"/>
          </w:tcPr>
          <w:p>
            <w:pPr>
              <w:pStyle w:val="63"/>
            </w:pPr>
            <w:r>
              <w:rPr>
                <w:rFonts w:hint="eastAsia"/>
              </w:rPr>
              <w:t>0.12</w:t>
            </w:r>
          </w:p>
        </w:tc>
        <w:tc>
          <w:tcPr>
            <w:tcW w:w="1813" w:type="dxa"/>
            <w:vAlign w:val="center"/>
          </w:tcPr>
          <w:p>
            <w:pPr>
              <w:pStyle w:val="63"/>
            </w:pPr>
            <w:r>
              <w:rPr>
                <w:rFonts w:hint="eastAsia"/>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3067" w:type="dxa"/>
            <w:gridSpan w:val="2"/>
            <w:vAlign w:val="center"/>
          </w:tcPr>
          <w:p>
            <w:pPr>
              <w:pStyle w:val="63"/>
            </w:pPr>
            <w:r>
              <w:fldChar w:fldCharType="begin"/>
            </w:r>
            <w:r>
              <w:instrText xml:space="preserve"> = 3 \* ROMAN </w:instrText>
            </w:r>
            <w:r>
              <w:fldChar w:fldCharType="separate"/>
            </w:r>
            <w:r>
              <w:t>III</w:t>
            </w:r>
            <w:r>
              <w:fldChar w:fldCharType="end"/>
            </w:r>
            <w:r>
              <w:rPr>
                <w:rFonts w:hint="eastAsia"/>
              </w:rPr>
              <w:t>类水域标准值</w:t>
            </w:r>
          </w:p>
        </w:tc>
        <w:tc>
          <w:tcPr>
            <w:tcW w:w="1380" w:type="dxa"/>
            <w:vAlign w:val="center"/>
          </w:tcPr>
          <w:p>
            <w:pPr>
              <w:pStyle w:val="63"/>
            </w:pPr>
            <w:r>
              <w:t>20</w:t>
            </w:r>
          </w:p>
        </w:tc>
        <w:tc>
          <w:tcPr>
            <w:tcW w:w="1399" w:type="dxa"/>
            <w:vAlign w:val="center"/>
          </w:tcPr>
          <w:p>
            <w:pPr>
              <w:pStyle w:val="63"/>
            </w:pPr>
            <w:r>
              <w:t>4</w:t>
            </w:r>
          </w:p>
        </w:tc>
        <w:tc>
          <w:tcPr>
            <w:tcW w:w="1289" w:type="dxa"/>
            <w:vAlign w:val="center"/>
          </w:tcPr>
          <w:p>
            <w:pPr>
              <w:pStyle w:val="63"/>
            </w:pPr>
            <w:r>
              <w:t>1.0</w:t>
            </w:r>
          </w:p>
        </w:tc>
        <w:tc>
          <w:tcPr>
            <w:tcW w:w="1813" w:type="dxa"/>
            <w:vAlign w:val="center"/>
          </w:tcPr>
          <w:p>
            <w:pPr>
              <w:pStyle w:val="63"/>
            </w:pPr>
            <w:r>
              <w:t>0.2</w:t>
            </w:r>
          </w:p>
        </w:tc>
      </w:tr>
    </w:tbl>
    <w:p/>
    <w:tbl>
      <w:tblPr>
        <w:tblStyle w:val="39"/>
        <w:tblW w:w="89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86"/>
        <w:gridCol w:w="4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586" w:type="dxa"/>
          </w:tcPr>
          <w:p>
            <w:pPr>
              <w:pStyle w:val="63"/>
            </w:pPr>
            <w:r>
              <w:drawing>
                <wp:inline distT="0" distB="0" distL="0" distR="0">
                  <wp:extent cx="2905125" cy="1866265"/>
                  <wp:effectExtent l="0" t="0" r="9525" b="635"/>
                  <wp:docPr id="100632324" name="图片 7"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2324" name="图片 7" descr="图表, 折线图, 散点图&#10;&#10;描述已自动生成"/>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905933" cy="1866784"/>
                          </a:xfrm>
                          <a:prstGeom prst="rect">
                            <a:avLst/>
                          </a:prstGeom>
                          <a:noFill/>
                        </pic:spPr>
                      </pic:pic>
                    </a:graphicData>
                  </a:graphic>
                </wp:inline>
              </w:drawing>
            </w:r>
          </w:p>
        </w:tc>
        <w:tc>
          <w:tcPr>
            <w:tcW w:w="4372" w:type="dxa"/>
          </w:tcPr>
          <w:p>
            <w:pPr>
              <w:pStyle w:val="63"/>
              <w:keepNext/>
            </w:pPr>
            <w:r>
              <w:drawing>
                <wp:inline distT="0" distB="0" distL="0" distR="0">
                  <wp:extent cx="2771775" cy="1790065"/>
                  <wp:effectExtent l="0" t="0" r="0" b="635"/>
                  <wp:docPr id="551765810" name="图片 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65810" name="图片 8" descr="图表, 折线图&#10;&#10;描述已自动生成"/>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72397" cy="1790853"/>
                          </a:xfrm>
                          <a:prstGeom prst="rect">
                            <a:avLst/>
                          </a:prstGeom>
                          <a:noFill/>
                        </pic:spPr>
                      </pic:pic>
                    </a:graphicData>
                  </a:graphic>
                </wp:inline>
              </w:drawing>
            </w:r>
          </w:p>
        </w:tc>
      </w:tr>
    </w:tbl>
    <w:p>
      <w:pPr>
        <w:pStyle w:val="14"/>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1</w:t>
      </w:r>
      <w:r>
        <w:fldChar w:fldCharType="end"/>
      </w:r>
      <w:r>
        <w:rPr>
          <w:rFonts w:hint="eastAsia"/>
        </w:rPr>
        <w:t xml:space="preserve">   朱衣河例行监测断面3年变化趋势 </w:t>
      </w:r>
    </w:p>
    <w:p>
      <w:pPr>
        <w:pStyle w:val="5"/>
        <w:ind w:firstLine="480"/>
      </w:pPr>
      <w:r>
        <w:rPr>
          <w:rFonts w:hint="eastAsia"/>
        </w:rPr>
        <w:t>朱衣河断面各污染物浓度无显著变化，</w:t>
      </w:r>
      <w:r>
        <w:t xml:space="preserve"> COD</w:t>
      </w:r>
      <w:r>
        <w:rPr>
          <w:rFonts w:hint="eastAsia"/>
        </w:rPr>
        <w:t>、</w:t>
      </w:r>
      <w:r>
        <w:t>氨氮</w:t>
      </w:r>
      <w:r>
        <w:rPr>
          <w:rFonts w:hint="eastAsia"/>
        </w:rPr>
        <w:t>、TP</w:t>
      </w:r>
      <w:r>
        <w:t>浓度有一定程度增加，BOD</w:t>
      </w:r>
      <w:r>
        <w:rPr>
          <w:vertAlign w:val="subscript"/>
        </w:rPr>
        <w:t>5</w:t>
      </w:r>
      <w:r>
        <w:rPr>
          <w:rFonts w:hint="eastAsia"/>
        </w:rPr>
        <w:t>降低</w:t>
      </w:r>
      <w:r>
        <w:t>。各污染因子浓度均远低于《地表水环境质量标准》（GB3838-2002）III类水质标准，因此区域地表水环境近</w:t>
      </w:r>
      <w:r>
        <w:rPr>
          <w:rFonts w:hint="eastAsia"/>
        </w:rPr>
        <w:t>三</w:t>
      </w:r>
      <w:r>
        <w:t>年一直保持较好状态。</w:t>
      </w:r>
    </w:p>
    <w:p>
      <w:pPr>
        <w:pStyle w:val="4"/>
        <w:spacing w:before="156" w:after="156"/>
      </w:pPr>
      <w:r>
        <w:rPr>
          <w:rFonts w:hint="eastAsia"/>
        </w:rPr>
        <w:t>地表水环境质量现状评价</w:t>
      </w:r>
    </w:p>
    <w:p>
      <w:pPr>
        <w:pStyle w:val="5"/>
        <w:ind w:firstLine="480"/>
      </w:pPr>
      <w:r>
        <w:rPr>
          <w:rFonts w:hint="eastAsia"/>
        </w:rPr>
        <w:t>本次评价设置两个监测断面，分别为对照断面、控制断面及环境保护目标进行水质监测。其中对照断面引用2023年1~3、12月</w:t>
      </w:r>
      <w:r>
        <w:t>朱衣河朱衣镇断面例行监测数据</w:t>
      </w:r>
      <w:r>
        <w:rPr>
          <w:rFonts w:hint="eastAsia"/>
        </w:rPr>
        <w:t>，控制断面及环境保护目标朱衣河水质采用补充监测。</w:t>
      </w:r>
    </w:p>
    <w:p>
      <w:pPr>
        <w:pStyle w:val="5"/>
        <w:ind w:firstLine="480"/>
      </w:pPr>
      <w:r>
        <w:rPr>
          <w:rFonts w:hint="eastAsia"/>
        </w:rPr>
        <w:t>（</w:t>
      </w:r>
      <w:r>
        <w:t>1）监测断面及监测因子</w:t>
      </w:r>
    </w:p>
    <w:p>
      <w:pPr>
        <w:pStyle w:val="5"/>
        <w:ind w:firstLine="480"/>
      </w:pPr>
      <w:r>
        <w:rPr>
          <w:rFonts w:hint="eastAsia"/>
        </w:rPr>
        <w:t>布设</w:t>
      </w:r>
      <w:r>
        <w:t>2个监测断面，分别位于</w:t>
      </w:r>
      <w:r>
        <w:rPr>
          <w:rFonts w:hint="eastAsia"/>
        </w:rPr>
        <w:t>项目排污口上游300m</w:t>
      </w:r>
      <w:r>
        <w:t>朱衣河朱衣镇断面以及</w:t>
      </w:r>
      <w:r>
        <w:rPr>
          <w:rFonts w:hint="eastAsia"/>
        </w:rPr>
        <w:t>项目排污口下游4.7km</w:t>
      </w:r>
      <w:r>
        <w:t>，监测布点图见附图</w:t>
      </w:r>
      <w:r>
        <w:rPr>
          <w:rFonts w:hint="eastAsia"/>
        </w:rPr>
        <w:t>。</w:t>
      </w:r>
    </w:p>
    <w:p>
      <w:pPr>
        <w:pStyle w:val="14"/>
        <w:keepNext/>
      </w:pPr>
      <w:r>
        <w:t xml:space="preserve">表 </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2</w:t>
      </w:r>
      <w:r>
        <w:fldChar w:fldCharType="end"/>
      </w:r>
      <w:r>
        <w:rPr>
          <w:rFonts w:hint="eastAsia"/>
        </w:rPr>
        <w:t xml:space="preserve">   地表水监测布点</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2035"/>
        <w:gridCol w:w="1700"/>
        <w:gridCol w:w="1841"/>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vAlign w:val="center"/>
          </w:tcPr>
          <w:p>
            <w:pPr>
              <w:pStyle w:val="63"/>
            </w:pPr>
            <w:r>
              <w:rPr>
                <w:rFonts w:hint="eastAsia"/>
              </w:rPr>
              <w:t>监测点位名称</w:t>
            </w:r>
          </w:p>
        </w:tc>
        <w:tc>
          <w:tcPr>
            <w:tcW w:w="2035" w:type="dxa"/>
            <w:vAlign w:val="center"/>
          </w:tcPr>
          <w:p>
            <w:pPr>
              <w:pStyle w:val="63"/>
            </w:pPr>
            <w:r>
              <w:rPr>
                <w:rFonts w:hint="eastAsia"/>
              </w:rPr>
              <w:t>位置</w:t>
            </w:r>
          </w:p>
        </w:tc>
        <w:tc>
          <w:tcPr>
            <w:tcW w:w="1700" w:type="dxa"/>
            <w:vAlign w:val="center"/>
          </w:tcPr>
          <w:p>
            <w:pPr>
              <w:pStyle w:val="63"/>
            </w:pPr>
            <w:r>
              <w:rPr>
                <w:rFonts w:hint="eastAsia"/>
              </w:rPr>
              <w:t>功能</w:t>
            </w:r>
          </w:p>
        </w:tc>
        <w:tc>
          <w:tcPr>
            <w:tcW w:w="1841" w:type="dxa"/>
            <w:vAlign w:val="center"/>
          </w:tcPr>
          <w:p>
            <w:pPr>
              <w:pStyle w:val="63"/>
            </w:pPr>
            <w:r>
              <w:rPr>
                <w:rFonts w:hint="eastAsia"/>
              </w:rPr>
              <w:t>监测时间</w:t>
            </w:r>
          </w:p>
        </w:tc>
        <w:tc>
          <w:tcPr>
            <w:tcW w:w="1582"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vAlign w:val="center"/>
          </w:tcPr>
          <w:p>
            <w:pPr>
              <w:pStyle w:val="63"/>
            </w:pPr>
            <w:r>
              <w:rPr>
                <w:rFonts w:hint="eastAsia"/>
              </w:rPr>
              <w:t>1#朱衣河</w:t>
            </w:r>
          </w:p>
          <w:p>
            <w:pPr>
              <w:pStyle w:val="63"/>
            </w:pPr>
            <w:r>
              <w:rPr>
                <w:rFonts w:hint="eastAsia"/>
              </w:rPr>
              <w:t>朱衣镇断面</w:t>
            </w:r>
          </w:p>
        </w:tc>
        <w:tc>
          <w:tcPr>
            <w:tcW w:w="2035" w:type="dxa"/>
            <w:vAlign w:val="center"/>
          </w:tcPr>
          <w:p>
            <w:pPr>
              <w:pStyle w:val="63"/>
            </w:pPr>
            <w:r>
              <w:rPr>
                <w:rFonts w:hint="eastAsia"/>
              </w:rPr>
              <w:t>排污口上游约300m</w:t>
            </w:r>
          </w:p>
        </w:tc>
        <w:tc>
          <w:tcPr>
            <w:tcW w:w="1700" w:type="dxa"/>
            <w:vAlign w:val="center"/>
          </w:tcPr>
          <w:p>
            <w:pPr>
              <w:pStyle w:val="63"/>
            </w:pPr>
            <w:r>
              <w:rPr>
                <w:rFonts w:hint="eastAsia"/>
              </w:rPr>
              <w:t>对照断面</w:t>
            </w:r>
          </w:p>
        </w:tc>
        <w:tc>
          <w:tcPr>
            <w:tcW w:w="1841" w:type="dxa"/>
            <w:vAlign w:val="center"/>
          </w:tcPr>
          <w:p>
            <w:pPr>
              <w:pStyle w:val="63"/>
            </w:pPr>
            <w:r>
              <w:rPr>
                <w:rFonts w:hint="eastAsia"/>
              </w:rPr>
              <w:t>2023年1~3、12月</w:t>
            </w:r>
          </w:p>
        </w:tc>
        <w:tc>
          <w:tcPr>
            <w:tcW w:w="1582" w:type="dxa"/>
            <w:vAlign w:val="center"/>
          </w:tcPr>
          <w:p>
            <w:pPr>
              <w:pStyle w:val="63"/>
            </w:pPr>
            <w:r>
              <w:rPr>
                <w:rFonts w:hint="eastAsia"/>
              </w:rPr>
              <w:t>引用监测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vAlign w:val="center"/>
          </w:tcPr>
          <w:p>
            <w:pPr>
              <w:pStyle w:val="63"/>
            </w:pPr>
            <w:r>
              <w:rPr>
                <w:rFonts w:hint="eastAsia"/>
              </w:rPr>
              <w:t>2#朱衣河</w:t>
            </w:r>
          </w:p>
          <w:p>
            <w:pPr>
              <w:pStyle w:val="63"/>
            </w:pPr>
            <w:r>
              <w:rPr>
                <w:rFonts w:hint="eastAsia"/>
              </w:rPr>
              <w:t>帽峰断面</w:t>
            </w:r>
          </w:p>
        </w:tc>
        <w:tc>
          <w:tcPr>
            <w:tcW w:w="2035" w:type="dxa"/>
            <w:vAlign w:val="center"/>
          </w:tcPr>
          <w:p>
            <w:pPr>
              <w:pStyle w:val="63"/>
            </w:pPr>
            <w:r>
              <w:rPr>
                <w:rFonts w:hint="eastAsia"/>
              </w:rPr>
              <w:t>排污口下游约4.7km</w:t>
            </w:r>
          </w:p>
        </w:tc>
        <w:tc>
          <w:tcPr>
            <w:tcW w:w="1700" w:type="dxa"/>
            <w:vAlign w:val="center"/>
          </w:tcPr>
          <w:p>
            <w:pPr>
              <w:pStyle w:val="63"/>
            </w:pPr>
            <w:r>
              <w:rPr>
                <w:rFonts w:hint="eastAsia"/>
              </w:rPr>
              <w:t>控制断面及环境保护目标</w:t>
            </w:r>
          </w:p>
        </w:tc>
        <w:tc>
          <w:tcPr>
            <w:tcW w:w="1841" w:type="dxa"/>
            <w:vAlign w:val="center"/>
          </w:tcPr>
          <w:p>
            <w:pPr>
              <w:pStyle w:val="63"/>
            </w:pPr>
            <w:r>
              <w:rPr>
                <w:rFonts w:hint="eastAsia"/>
              </w:rPr>
              <w:t>2024年7月</w:t>
            </w:r>
          </w:p>
        </w:tc>
        <w:tc>
          <w:tcPr>
            <w:tcW w:w="1582" w:type="dxa"/>
            <w:vAlign w:val="center"/>
          </w:tcPr>
          <w:p>
            <w:pPr>
              <w:pStyle w:val="63"/>
            </w:pPr>
            <w:r>
              <w:rPr>
                <w:rFonts w:hint="eastAsia"/>
              </w:rPr>
              <w:t>补充监测</w:t>
            </w:r>
          </w:p>
        </w:tc>
      </w:tr>
    </w:tbl>
    <w:p/>
    <w:p>
      <w:pPr>
        <w:pStyle w:val="5"/>
        <w:ind w:firstLine="480"/>
      </w:pPr>
      <w:r>
        <w:rPr>
          <w:rFonts w:hint="eastAsia"/>
        </w:rPr>
        <w:t>监测因子：pH、</w:t>
      </w:r>
      <w:r>
        <w:t>溶解氧、高锰酸盐指数、COD、BOD</w:t>
      </w:r>
      <w:r>
        <w:rPr>
          <w:vertAlign w:val="subscript"/>
        </w:rPr>
        <w:t>5</w:t>
      </w:r>
      <w:r>
        <w:t>、氨氮、总磷、</w:t>
      </w:r>
      <w:r>
        <w:rPr>
          <w:rFonts w:hint="eastAsia"/>
        </w:rPr>
        <w:t>挥发酚、石油类、LAS、六价铬、氟化物、氰化物、硫化物、粪大肠菌群、铜、锌、硒、汞、砷、铅、镉、硝酸盐</w:t>
      </w:r>
      <w:r>
        <w:t>。</w:t>
      </w:r>
    </w:p>
    <w:p>
      <w:pPr>
        <w:pStyle w:val="5"/>
        <w:ind w:firstLine="480"/>
      </w:pPr>
      <w:r>
        <w:rPr>
          <w:rFonts w:hint="eastAsia"/>
        </w:rPr>
        <w:t>（</w:t>
      </w:r>
      <w:r>
        <w:t>2）监测频率</w:t>
      </w:r>
    </w:p>
    <w:p>
      <w:pPr>
        <w:pStyle w:val="5"/>
        <w:ind w:firstLine="480"/>
      </w:pPr>
      <w:r>
        <w:rPr>
          <w:rFonts w:hint="eastAsia"/>
        </w:rPr>
        <w:t>连续监测</w:t>
      </w:r>
      <w:r>
        <w:t>3天，每天采样1次。</w:t>
      </w:r>
    </w:p>
    <w:p>
      <w:pPr>
        <w:pStyle w:val="5"/>
        <w:ind w:firstLine="480"/>
      </w:pPr>
      <w:r>
        <w:rPr>
          <w:rFonts w:hint="eastAsia"/>
        </w:rPr>
        <w:t>（</w:t>
      </w:r>
      <w:r>
        <w:t>3）评价方法</w:t>
      </w:r>
    </w:p>
    <w:p>
      <w:pPr>
        <w:pStyle w:val="5"/>
        <w:ind w:firstLine="480"/>
      </w:pPr>
      <w:r>
        <w:rPr>
          <w:rFonts w:hint="eastAsia"/>
        </w:rPr>
        <w:t>采用标准指数法进行评价，其计算公式如下：</w:t>
      </w:r>
    </w:p>
    <w:p>
      <w:pPr>
        <w:pStyle w:val="5"/>
        <w:ind w:firstLine="480"/>
      </w:pPr>
      <w:r>
        <w:t>pH值标准指数：</w:t>
      </w:r>
    </w:p>
    <w:p>
      <w:pPr>
        <w:pStyle w:val="5"/>
        <w:ind w:left="480" w:firstLine="480"/>
      </w:pPr>
      <w:r>
        <w:t>Pi=（Ci-7）/（Csimax or min-7）</w:t>
      </w:r>
    </w:p>
    <w:p>
      <w:pPr>
        <w:pStyle w:val="5"/>
        <w:ind w:firstLine="199" w:firstLineChars="83"/>
      </w:pPr>
      <w:r>
        <w:rPr>
          <w:rFonts w:hint="eastAsia"/>
        </w:rPr>
        <w:t>式中：</w:t>
      </w:r>
      <w:r>
        <w:t>Pi —pH值的标准指数；</w:t>
      </w:r>
    </w:p>
    <w:p>
      <w:pPr>
        <w:pStyle w:val="5"/>
        <w:ind w:left="480" w:firstLine="480"/>
      </w:pPr>
      <w:r>
        <w:t>Ci —pH值的实测值；</w:t>
      </w:r>
    </w:p>
    <w:p>
      <w:pPr>
        <w:pStyle w:val="5"/>
        <w:ind w:left="480" w:firstLine="480"/>
      </w:pPr>
      <w:r>
        <w:t>Csimax或min —pH值的评价标准最高值或最低值。</w:t>
      </w:r>
    </w:p>
    <w:p>
      <w:pPr>
        <w:pStyle w:val="5"/>
        <w:ind w:left="480" w:firstLine="480"/>
      </w:pPr>
      <w:r>
        <w:rPr>
          <w:rFonts w:hint="eastAsia"/>
        </w:rPr>
        <w:t>其他污染物标准指数：</w:t>
      </w:r>
    </w:p>
    <w:p>
      <w:pPr>
        <w:pStyle w:val="5"/>
        <w:ind w:left="480" w:firstLine="480"/>
      </w:pPr>
      <w:r>
        <w:t>Pi=Ci/Si</w:t>
      </w:r>
    </w:p>
    <w:p>
      <w:pPr>
        <w:pStyle w:val="5"/>
        <w:ind w:firstLine="199" w:firstLineChars="83"/>
      </w:pPr>
      <w:r>
        <w:rPr>
          <w:rFonts w:hint="eastAsia"/>
        </w:rPr>
        <w:t>式中：</w:t>
      </w:r>
      <w:r>
        <w:t>Pi—i种污染物的标准指数；</w:t>
      </w:r>
    </w:p>
    <w:p>
      <w:pPr>
        <w:pStyle w:val="5"/>
        <w:ind w:left="480" w:firstLine="480"/>
      </w:pPr>
      <w:r>
        <w:t>Ci—i种污染物的实测浓度（mg/L）；</w:t>
      </w:r>
    </w:p>
    <w:p>
      <w:pPr>
        <w:pStyle w:val="5"/>
        <w:ind w:left="480" w:firstLine="480"/>
      </w:pPr>
      <w:r>
        <w:t>Si—i种污染物的评价标准（mg/L）。</w:t>
      </w:r>
    </w:p>
    <w:p>
      <w:pPr>
        <w:pStyle w:val="5"/>
        <w:ind w:firstLine="480"/>
        <w:rPr>
          <w:snapToGrid w:val="0"/>
        </w:rPr>
      </w:pPr>
      <w:r>
        <w:rPr>
          <w:snapToGrid w:val="0"/>
        </w:rPr>
        <w:t>DO的标准指数用下式计算：</w:t>
      </w:r>
    </w:p>
    <w:p>
      <w:pPr>
        <w:pStyle w:val="5"/>
        <w:spacing w:line="240" w:lineRule="auto"/>
        <w:ind w:firstLine="480"/>
        <w:jc w:val="center"/>
        <w:rPr>
          <w:snapToGrid w:val="0"/>
        </w:rPr>
      </w:pPr>
      <m:oMath>
        <m:sSub>
          <m:sSubPr>
            <m:ctrlPr>
              <w:rPr>
                <w:rFonts w:ascii="Cambria Math" w:hAnsi="Cambria Math"/>
                <w:i/>
                <w:snapToGrid w:val="0"/>
              </w:rPr>
            </m:ctrlPr>
          </m:sSubPr>
          <m:e>
            <m:r>
              <w:rPr>
                <w:rFonts w:ascii="Cambria Math"/>
                <w:snapToGrid w:val="0"/>
              </w:rPr>
              <m:t>S</m:t>
            </m:r>
            <m:ctrlPr>
              <w:rPr>
                <w:rFonts w:ascii="Cambria Math" w:hAnsi="Cambria Math"/>
                <w:i/>
                <w:snapToGrid w:val="0"/>
              </w:rPr>
            </m:ctrlPr>
          </m:e>
          <m:sub>
            <m:r>
              <w:rPr>
                <w:rFonts w:ascii="Cambria Math"/>
                <w:snapToGrid w:val="0"/>
              </w:rPr>
              <m:t>DO,</m:t>
            </m:r>
            <m:r>
              <w:rPr>
                <w:rFonts w:hint="eastAsia" w:ascii="Cambria Math"/>
                <w:snapToGrid w:val="0"/>
              </w:rPr>
              <m:t>j</m:t>
            </m:r>
            <m:ctrlPr>
              <w:rPr>
                <w:rFonts w:ascii="Cambria Math" w:hAnsi="Cambria Math"/>
                <w:i/>
                <w:snapToGrid w:val="0"/>
              </w:rPr>
            </m:ctrlPr>
          </m:sub>
        </m:sSub>
        <m:r>
          <w:rPr>
            <w:rFonts w:ascii="Cambria Math"/>
            <w:snapToGrid w:val="0"/>
          </w:rPr>
          <m:t>=</m:t>
        </m:r>
        <m:f>
          <m:fPr>
            <m:ctrlPr>
              <w:rPr>
                <w:rFonts w:ascii="Cambria Math" w:hAnsi="Cambria Math"/>
                <w:i/>
                <w:snapToGrid w:val="0"/>
              </w:rPr>
            </m:ctrlPr>
          </m:fPr>
          <m:num>
            <m:r>
              <w:rPr>
                <w:rFonts w:ascii="Cambria Math"/>
                <w:snapToGrid w:val="0"/>
              </w:rPr>
              <m:t>|D</m:t>
            </m:r>
            <m:sSub>
              <m:sSubPr>
                <m:ctrlPr>
                  <w:rPr>
                    <w:rFonts w:ascii="Cambria Math" w:hAnsi="Cambria Math"/>
                    <w:i/>
                    <w:snapToGrid w:val="0"/>
                  </w:rPr>
                </m:ctrlPr>
              </m:sSubPr>
              <m:e>
                <m:r>
                  <w:rPr>
                    <w:rFonts w:ascii="Cambria Math"/>
                    <w:snapToGrid w:val="0"/>
                  </w:rPr>
                  <m:t>O</m:t>
                </m:r>
                <m:ctrlPr>
                  <w:rPr>
                    <w:rFonts w:ascii="Cambria Math" w:hAnsi="Cambria Math"/>
                    <w:i/>
                    <w:snapToGrid w:val="0"/>
                  </w:rPr>
                </m:ctrlPr>
              </m:e>
              <m:sub>
                <m:r>
                  <w:rPr>
                    <w:rFonts w:ascii="Cambria Math"/>
                    <w:snapToGrid w:val="0"/>
                  </w:rPr>
                  <m:t>f</m:t>
                </m:r>
                <m:ctrlPr>
                  <w:rPr>
                    <w:rFonts w:ascii="Cambria Math" w:hAnsi="Cambria Math"/>
                    <w:i/>
                    <w:snapToGrid w:val="0"/>
                  </w:rPr>
                </m:ctrlPr>
              </m:sub>
            </m:sSub>
            <m:r>
              <w:rPr>
                <w:rFonts w:ascii="Cambria Math"/>
                <w:snapToGrid w:val="0"/>
              </w:rPr>
              <m:t>-DOj|</m:t>
            </m:r>
            <m:ctrlPr>
              <w:rPr>
                <w:rFonts w:ascii="Cambria Math" w:hAnsi="Cambria Math"/>
                <w:i/>
                <w:snapToGrid w:val="0"/>
              </w:rPr>
            </m:ctrlPr>
          </m:num>
          <m:den>
            <m:r>
              <w:rPr>
                <w:rFonts w:ascii="Cambria Math"/>
                <w:snapToGrid w:val="0"/>
              </w:rPr>
              <m:t>D</m:t>
            </m:r>
            <m:sSub>
              <m:sSubPr>
                <m:ctrlPr>
                  <w:rPr>
                    <w:rFonts w:ascii="Cambria Math" w:hAnsi="Cambria Math"/>
                    <w:i/>
                    <w:snapToGrid w:val="0"/>
                  </w:rPr>
                </m:ctrlPr>
              </m:sSubPr>
              <m:e>
                <m:r>
                  <w:rPr>
                    <w:rFonts w:ascii="Cambria Math"/>
                    <w:snapToGrid w:val="0"/>
                  </w:rPr>
                  <m:t>O</m:t>
                </m:r>
                <m:ctrlPr>
                  <w:rPr>
                    <w:rFonts w:ascii="Cambria Math" w:hAnsi="Cambria Math"/>
                    <w:i/>
                    <w:snapToGrid w:val="0"/>
                  </w:rPr>
                </m:ctrlPr>
              </m:e>
              <m:sub>
                <m:r>
                  <w:rPr>
                    <w:rFonts w:ascii="Cambria Math"/>
                    <w:snapToGrid w:val="0"/>
                  </w:rPr>
                  <m:t>f</m:t>
                </m:r>
                <m:ctrlPr>
                  <w:rPr>
                    <w:rFonts w:ascii="Cambria Math" w:hAnsi="Cambria Math"/>
                    <w:i/>
                    <w:snapToGrid w:val="0"/>
                  </w:rPr>
                </m:ctrlPr>
              </m:sub>
            </m:sSub>
            <m:r>
              <w:rPr>
                <w:rFonts w:ascii="Cambria Math"/>
                <w:snapToGrid w:val="0"/>
              </w:rPr>
              <m:t>-D</m:t>
            </m:r>
            <m:sSub>
              <m:sSubPr>
                <m:ctrlPr>
                  <w:rPr>
                    <w:rFonts w:ascii="Cambria Math" w:hAnsi="Cambria Math"/>
                    <w:i/>
                    <w:snapToGrid w:val="0"/>
                  </w:rPr>
                </m:ctrlPr>
              </m:sSubPr>
              <m:e>
                <m:r>
                  <w:rPr>
                    <w:rFonts w:ascii="Cambria Math"/>
                    <w:snapToGrid w:val="0"/>
                  </w:rPr>
                  <m:t>O</m:t>
                </m:r>
                <m:ctrlPr>
                  <w:rPr>
                    <w:rFonts w:ascii="Cambria Math" w:hAnsi="Cambria Math"/>
                    <w:i/>
                    <w:snapToGrid w:val="0"/>
                  </w:rPr>
                </m:ctrlPr>
              </m:e>
              <m:sub>
                <m:r>
                  <w:rPr>
                    <w:rFonts w:ascii="Cambria Math"/>
                    <w:snapToGrid w:val="0"/>
                  </w:rPr>
                  <m:t>S</m:t>
                </m:r>
                <m:ctrlPr>
                  <w:rPr>
                    <w:rFonts w:ascii="Cambria Math" w:hAnsi="Cambria Math"/>
                    <w:i/>
                    <w:snapToGrid w:val="0"/>
                  </w:rPr>
                </m:ctrlPr>
              </m:sub>
            </m:sSub>
            <m:ctrlPr>
              <w:rPr>
                <w:rFonts w:ascii="Cambria Math" w:hAnsi="Cambria Math"/>
                <w:i/>
                <w:snapToGrid w:val="0"/>
              </w:rPr>
            </m:ctrlPr>
          </m:den>
        </m:f>
      </m:oMath>
      <w:r>
        <w:rPr>
          <w:snapToGrid w:val="0"/>
        </w:rPr>
        <w:t xml:space="preserve">     （DO</w:t>
      </w:r>
      <w:r>
        <w:rPr>
          <w:rFonts w:hint="eastAsia"/>
          <w:i/>
          <w:snapToGrid w:val="0"/>
          <w:vertAlign w:val="subscript"/>
        </w:rPr>
        <w:t>j</w:t>
      </w:r>
      <w:r>
        <w:rPr>
          <w:rFonts w:hint="eastAsia"/>
          <w:snapToGrid w:val="0"/>
        </w:rPr>
        <w:t>&gt;</w:t>
      </w:r>
      <w:r>
        <w:rPr>
          <w:i/>
          <w:snapToGrid w:val="0"/>
        </w:rPr>
        <w:t>DO</w:t>
      </w:r>
      <w:r>
        <w:rPr>
          <w:i/>
          <w:snapToGrid w:val="0"/>
          <w:vertAlign w:val="subscript"/>
        </w:rPr>
        <w:t>f</w:t>
      </w:r>
      <w:r>
        <w:rPr>
          <w:snapToGrid w:val="0"/>
        </w:rPr>
        <w:t>）</w:t>
      </w:r>
    </w:p>
    <w:p>
      <w:pPr>
        <w:pStyle w:val="5"/>
        <w:spacing w:line="240" w:lineRule="auto"/>
        <w:ind w:firstLine="480"/>
        <w:jc w:val="center"/>
        <w:rPr>
          <w:snapToGrid w:val="0"/>
        </w:rPr>
      </w:pPr>
      <m:oMath>
        <m:sSub>
          <m:sSubPr>
            <m:ctrlPr>
              <w:rPr>
                <w:rFonts w:ascii="Cambria Math" w:hAnsi="Cambria Math"/>
                <w:i/>
                <w:snapToGrid w:val="0"/>
              </w:rPr>
            </m:ctrlPr>
          </m:sSubPr>
          <m:e>
            <m:r>
              <w:rPr>
                <w:rFonts w:ascii="Cambria Math"/>
                <w:snapToGrid w:val="0"/>
              </w:rPr>
              <m:t>S</m:t>
            </m:r>
            <m:ctrlPr>
              <w:rPr>
                <w:rFonts w:ascii="Cambria Math" w:hAnsi="Cambria Math"/>
                <w:i/>
                <w:snapToGrid w:val="0"/>
              </w:rPr>
            </m:ctrlPr>
          </m:e>
          <m:sub>
            <m:r>
              <w:rPr>
                <w:rFonts w:ascii="Cambria Math"/>
                <w:snapToGrid w:val="0"/>
              </w:rPr>
              <m:t>DO,</m:t>
            </m:r>
            <m:r>
              <w:rPr>
                <w:rFonts w:hint="eastAsia" w:ascii="Cambria Math"/>
                <w:snapToGrid w:val="0"/>
              </w:rPr>
              <m:t>j</m:t>
            </m:r>
            <m:ctrlPr>
              <w:rPr>
                <w:rFonts w:ascii="Cambria Math" w:hAnsi="Cambria Math"/>
                <w:i/>
                <w:snapToGrid w:val="0"/>
              </w:rPr>
            </m:ctrlPr>
          </m:sub>
        </m:sSub>
        <m:r>
          <w:rPr>
            <w:rFonts w:ascii="Cambria Math"/>
            <w:snapToGrid w:val="0"/>
          </w:rPr>
          <m:t>=</m:t>
        </m:r>
        <m:f>
          <m:fPr>
            <m:ctrlPr>
              <w:rPr>
                <w:rFonts w:ascii="Cambria Math" w:hAnsi="Cambria Math"/>
                <w:i/>
                <w:snapToGrid w:val="0"/>
              </w:rPr>
            </m:ctrlPr>
          </m:fPr>
          <m:num>
            <m:sSub>
              <m:sSubPr>
                <m:ctrlPr>
                  <w:rPr>
                    <w:rFonts w:ascii="Cambria Math" w:hAnsi="Cambria Math"/>
                    <w:i/>
                    <w:snapToGrid w:val="0"/>
                  </w:rPr>
                </m:ctrlPr>
              </m:sSubPr>
              <m:e>
                <m:r>
                  <w:rPr>
                    <w:rFonts w:ascii="Cambria Math"/>
                    <w:snapToGrid w:val="0"/>
                  </w:rPr>
                  <m:t>DO</m:t>
                </m:r>
                <m:ctrlPr>
                  <w:rPr>
                    <w:rFonts w:ascii="Cambria Math" w:hAnsi="Cambria Math"/>
                    <w:i/>
                    <w:snapToGrid w:val="0"/>
                  </w:rPr>
                </m:ctrlPr>
              </m:e>
              <m:sub>
                <m:r>
                  <w:rPr>
                    <w:rFonts w:hint="eastAsia" w:ascii="Cambria Math"/>
                    <w:snapToGrid w:val="0"/>
                  </w:rPr>
                  <m:t>s</m:t>
                </m:r>
                <m:ctrlPr>
                  <w:rPr>
                    <w:rFonts w:ascii="Cambria Math" w:hAnsi="Cambria Math"/>
                    <w:i/>
                    <w:snapToGrid w:val="0"/>
                  </w:rPr>
                </m:ctrlPr>
              </m:sub>
            </m:sSub>
            <m:ctrlPr>
              <w:rPr>
                <w:rFonts w:ascii="Cambria Math" w:hAnsi="Cambria Math"/>
                <w:i/>
                <w:snapToGrid w:val="0"/>
              </w:rPr>
            </m:ctrlPr>
          </m:num>
          <m:den>
            <m:sSub>
              <m:sSubPr>
                <m:ctrlPr>
                  <w:rPr>
                    <w:rFonts w:ascii="Cambria Math" w:hAnsi="Cambria Math"/>
                    <w:i/>
                    <w:snapToGrid w:val="0"/>
                  </w:rPr>
                </m:ctrlPr>
              </m:sSubPr>
              <m:e>
                <m:r>
                  <w:rPr>
                    <w:rFonts w:ascii="Cambria Math"/>
                    <w:snapToGrid w:val="0"/>
                  </w:rPr>
                  <m:t>DO</m:t>
                </m:r>
                <m:ctrlPr>
                  <w:rPr>
                    <w:rFonts w:ascii="Cambria Math" w:hAnsi="Cambria Math"/>
                    <w:i/>
                    <w:snapToGrid w:val="0"/>
                  </w:rPr>
                </m:ctrlPr>
              </m:e>
              <m:sub>
                <m:r>
                  <w:rPr>
                    <w:rFonts w:hint="eastAsia" w:ascii="Cambria Math"/>
                    <w:snapToGrid w:val="0"/>
                  </w:rPr>
                  <m:t>j</m:t>
                </m:r>
                <m:ctrlPr>
                  <w:rPr>
                    <w:rFonts w:ascii="Cambria Math" w:hAnsi="Cambria Math"/>
                    <w:i/>
                    <w:snapToGrid w:val="0"/>
                  </w:rPr>
                </m:ctrlPr>
              </m:sub>
            </m:sSub>
            <m:ctrlPr>
              <w:rPr>
                <w:rFonts w:ascii="Cambria Math" w:hAnsi="Cambria Math"/>
                <w:i/>
                <w:snapToGrid w:val="0"/>
              </w:rPr>
            </m:ctrlPr>
          </m:den>
        </m:f>
      </m:oMath>
      <w:r>
        <w:rPr>
          <w:snapToGrid w:val="0"/>
        </w:rPr>
        <w:t xml:space="preserve">       （DO</w:t>
      </w:r>
      <w:r>
        <w:rPr>
          <w:rFonts w:hint="eastAsia"/>
          <w:i/>
          <w:snapToGrid w:val="0"/>
          <w:vertAlign w:val="subscript"/>
        </w:rPr>
        <w:t>j</w:t>
      </w:r>
      <m:oMath>
        <m:r>
          <w:rPr>
            <w:rFonts w:ascii="Cambria Math" w:hAnsi="Cambria Math"/>
            <w:snapToGrid w:val="0"/>
          </w:rPr>
          <m:t>≤</m:t>
        </m:r>
      </m:oMath>
      <w:r>
        <w:rPr>
          <w:i/>
          <w:snapToGrid w:val="0"/>
        </w:rPr>
        <w:t>DO</w:t>
      </w:r>
      <w:r>
        <w:rPr>
          <w:i/>
          <w:snapToGrid w:val="0"/>
          <w:vertAlign w:val="subscript"/>
        </w:rPr>
        <w:t>f</w:t>
      </w:r>
      <w:r>
        <w:rPr>
          <w:snapToGrid w:val="0"/>
        </w:rPr>
        <w:t>）</w:t>
      </w:r>
    </w:p>
    <w:p>
      <w:pPr>
        <w:pStyle w:val="5"/>
        <w:ind w:firstLine="480"/>
        <w:rPr>
          <w:snapToGrid w:val="0"/>
        </w:rPr>
      </w:pPr>
      <w:r>
        <w:rPr>
          <w:snapToGrid w:val="0"/>
        </w:rPr>
        <w:t>式中：</w:t>
      </w:r>
      <m:oMath>
        <m:sSub>
          <m:sSubPr>
            <m:ctrlPr>
              <w:rPr>
                <w:rFonts w:ascii="Cambria Math" w:hAnsi="Cambria Math"/>
                <w:i/>
                <w:snapToGrid w:val="0"/>
              </w:rPr>
            </m:ctrlPr>
          </m:sSubPr>
          <m:e>
            <m:r>
              <w:rPr>
                <w:rFonts w:ascii="Cambria Math"/>
                <w:snapToGrid w:val="0"/>
              </w:rPr>
              <m:t>S</m:t>
            </m:r>
            <m:ctrlPr>
              <w:rPr>
                <w:rFonts w:ascii="Cambria Math" w:hAnsi="Cambria Math"/>
                <w:i/>
                <w:snapToGrid w:val="0"/>
              </w:rPr>
            </m:ctrlPr>
          </m:e>
          <m:sub>
            <m:r>
              <w:rPr>
                <w:rFonts w:ascii="Cambria Math"/>
                <w:snapToGrid w:val="0"/>
              </w:rPr>
              <m:t>DO,</m:t>
            </m:r>
            <m:r>
              <w:rPr>
                <w:rFonts w:hint="eastAsia" w:ascii="Cambria Math"/>
                <w:snapToGrid w:val="0"/>
              </w:rPr>
              <m:t>j</m:t>
            </m:r>
            <m:ctrlPr>
              <w:rPr>
                <w:rFonts w:ascii="Cambria Math" w:hAnsi="Cambria Math"/>
                <w:i/>
                <w:snapToGrid w:val="0"/>
              </w:rPr>
            </m:ctrlPr>
          </m:sub>
        </m:sSub>
      </m:oMath>
      <w:r>
        <w:rPr>
          <w:snapToGrid w:val="0"/>
        </w:rPr>
        <w:t>——DO的标准指数；</w:t>
      </w:r>
    </w:p>
    <w:p>
      <w:pPr>
        <w:pStyle w:val="5"/>
        <w:ind w:firstLine="1200" w:firstLineChars="500"/>
        <w:rPr>
          <w:snapToGrid w:val="0"/>
        </w:rPr>
      </w:pPr>
      <w:r>
        <w:rPr>
          <w:snapToGrid w:val="0"/>
        </w:rPr>
        <w:t>DO</w:t>
      </w:r>
      <w:r>
        <w:rPr>
          <w:i/>
          <w:snapToGrid w:val="0"/>
          <w:vertAlign w:val="subscript"/>
        </w:rPr>
        <w:t>f</w:t>
      </w:r>
      <w:r>
        <w:rPr>
          <w:snapToGrid w:val="0"/>
        </w:rPr>
        <w:t>——饱和溶解氧浓度，mg/L；</w:t>
      </w:r>
    </w:p>
    <w:p>
      <w:pPr>
        <w:pStyle w:val="5"/>
        <w:ind w:firstLine="1200" w:firstLineChars="500"/>
        <w:rPr>
          <w:snapToGrid w:val="0"/>
        </w:rPr>
      </w:pPr>
      <w:r>
        <w:rPr>
          <w:snapToGrid w:val="0"/>
        </w:rPr>
        <w:t>DO</w:t>
      </w:r>
      <w:r>
        <w:rPr>
          <w:i/>
          <w:snapToGrid w:val="0"/>
          <w:vertAlign w:val="subscript"/>
        </w:rPr>
        <w:t>j</w:t>
      </w:r>
      <w:r>
        <w:rPr>
          <w:snapToGrid w:val="0"/>
        </w:rPr>
        <w:t>——溶解氧实测值，mg/L；</w:t>
      </w:r>
    </w:p>
    <w:p>
      <w:pPr>
        <w:pStyle w:val="5"/>
        <w:ind w:firstLine="1200" w:firstLineChars="500"/>
        <w:rPr>
          <w:snapToGrid w:val="0"/>
        </w:rPr>
      </w:pPr>
      <w:r>
        <w:rPr>
          <w:snapToGrid w:val="0"/>
        </w:rPr>
        <w:t>DO</w:t>
      </w:r>
      <w:r>
        <w:rPr>
          <w:i/>
          <w:snapToGrid w:val="0"/>
          <w:vertAlign w:val="subscript"/>
        </w:rPr>
        <w:t>s</w:t>
      </w:r>
      <w:r>
        <w:rPr>
          <w:snapToGrid w:val="0"/>
        </w:rPr>
        <w:t>——溶解氧评价标准限值，mg/L</w:t>
      </w:r>
      <w:r>
        <w:rPr>
          <w:rFonts w:hint="eastAsia"/>
          <w:snapToGrid w:val="0"/>
        </w:rPr>
        <w:t>；</w:t>
      </w:r>
    </w:p>
    <w:p>
      <w:pPr>
        <w:pStyle w:val="5"/>
        <w:ind w:firstLine="1200" w:firstLineChars="500"/>
        <w:rPr>
          <w:snapToGrid w:val="0"/>
        </w:rPr>
      </w:pPr>
      <w:r>
        <w:rPr>
          <w:snapToGrid w:val="0"/>
        </w:rPr>
        <w:t>河流，DO</w:t>
      </w:r>
      <w:r>
        <w:rPr>
          <w:snapToGrid w:val="0"/>
          <w:vertAlign w:val="subscript"/>
        </w:rPr>
        <w:t>f</w:t>
      </w:r>
      <w:r>
        <w:rPr>
          <w:snapToGrid w:val="0"/>
        </w:rPr>
        <w:t>=468/（31.6+T），T=</w:t>
      </w:r>
      <w:r>
        <w:rPr>
          <w:rFonts w:hint="eastAsia"/>
          <w:snapToGrid w:val="0"/>
        </w:rPr>
        <w:t>12.2</w:t>
      </w:r>
      <w:r>
        <w:rPr>
          <w:rFonts w:hint="eastAsia" w:ascii="宋体" w:hAnsi="宋体" w:cs="宋体"/>
          <w:snapToGrid w:val="0"/>
        </w:rPr>
        <w:t>℃，</w:t>
      </w:r>
      <w:r>
        <w:rPr>
          <w:rFonts w:hint="eastAsia"/>
        </w:rPr>
        <w:t>取10.7，T=27.6℃，取7.9</w:t>
      </w:r>
    </w:p>
    <w:p>
      <w:pPr>
        <w:pStyle w:val="5"/>
        <w:ind w:left="480" w:firstLine="0" w:firstLineChars="0"/>
      </w:pPr>
      <w:r>
        <w:rPr>
          <w:rFonts w:hint="eastAsia"/>
        </w:rPr>
        <w:t>（</w:t>
      </w:r>
      <w:r>
        <w:t>4）评价结果</w:t>
      </w:r>
    </w:p>
    <w:p>
      <w:pPr>
        <w:pStyle w:val="5"/>
        <w:ind w:firstLine="480"/>
      </w:pPr>
      <w:r>
        <w:rPr>
          <w:rFonts w:hint="eastAsia"/>
        </w:rPr>
        <w:t>地表水环境质量现状监测及评价结果见</w:t>
      </w:r>
      <w:r>
        <w:fldChar w:fldCharType="begin"/>
      </w:r>
      <w:r>
        <w:instrText xml:space="preserve"> </w:instrText>
      </w:r>
      <w:r>
        <w:rPr>
          <w:rFonts w:hint="eastAsia"/>
        </w:rPr>
        <w:instrText xml:space="preserve">REF _Ref170120777 \h</w:instrText>
      </w:r>
      <w:r>
        <w:instrText xml:space="preserve"> </w:instrText>
      </w:r>
      <w:r>
        <w:fldChar w:fldCharType="separate"/>
      </w:r>
      <w:r>
        <w:t>表 3.2</w:t>
      </w:r>
      <w:r>
        <w:noBreakHyphen/>
      </w:r>
      <w:r>
        <w:t>3</w:t>
      </w:r>
      <w:r>
        <w:fldChar w:fldCharType="end"/>
      </w:r>
      <w:r>
        <w:t>。由</w:t>
      </w:r>
      <w:r>
        <w:rPr>
          <w:rFonts w:hint="eastAsia"/>
        </w:rPr>
        <w:t>下表</w:t>
      </w:r>
      <w:r>
        <w:t>表监测结果可知，各监测断面水质均满足《地表水环境质量标准》（GB3838-2002）中III类水质标准要求。</w:t>
      </w:r>
    </w:p>
    <w:p>
      <w:pPr>
        <w:pStyle w:val="5"/>
        <w:ind w:firstLine="0" w:firstLineChars="0"/>
        <w:sectPr>
          <w:footerReference r:id="rId8" w:type="default"/>
          <w:pgSz w:w="11906" w:h="16838"/>
          <w:pgMar w:top="1701" w:right="1474" w:bottom="1418" w:left="1474" w:header="851" w:footer="992" w:gutter="0"/>
          <w:pgNumType w:start="1"/>
          <w:cols w:space="425" w:num="1"/>
          <w:titlePg/>
          <w:docGrid w:type="lines" w:linePitch="312" w:charSpace="0"/>
        </w:sectPr>
      </w:pPr>
    </w:p>
    <w:p>
      <w:pPr>
        <w:pStyle w:val="14"/>
        <w:keepNext/>
      </w:pPr>
      <w:bookmarkStart w:id="105" w:name="_Ref170120777"/>
      <w:r>
        <w:t xml:space="preserve">表 </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3</w:t>
      </w:r>
      <w:r>
        <w:fldChar w:fldCharType="end"/>
      </w:r>
      <w:bookmarkEnd w:id="105"/>
      <w:r>
        <w:rPr>
          <w:rFonts w:hint="eastAsia"/>
        </w:rPr>
        <w:t xml:space="preserve">   地表水环境质量现状监测结果  mg/L</w:t>
      </w:r>
    </w:p>
    <w:tbl>
      <w:tblPr>
        <w:tblStyle w:val="38"/>
        <w:tblW w:w="137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867"/>
        <w:gridCol w:w="711"/>
        <w:gridCol w:w="1127"/>
        <w:gridCol w:w="711"/>
        <w:gridCol w:w="669"/>
        <w:gridCol w:w="810"/>
        <w:gridCol w:w="1037"/>
        <w:gridCol w:w="1200"/>
        <w:gridCol w:w="1299"/>
        <w:gridCol w:w="973"/>
        <w:gridCol w:w="874"/>
        <w:gridCol w:w="682"/>
        <w:gridCol w:w="1037"/>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shd w:val="clear" w:color="auto" w:fill="auto"/>
            <w:vAlign w:val="center"/>
          </w:tcPr>
          <w:p>
            <w:pPr>
              <w:pStyle w:val="63"/>
            </w:pPr>
            <w:r>
              <w:br w:type="page"/>
            </w:r>
            <w:r>
              <w:rPr>
                <w:rFonts w:hint="eastAsia"/>
              </w:rPr>
              <w:t>断面</w:t>
            </w:r>
          </w:p>
        </w:tc>
        <w:tc>
          <w:tcPr>
            <w:tcW w:w="867" w:type="dxa"/>
            <w:shd w:val="clear" w:color="auto" w:fill="auto"/>
            <w:vAlign w:val="center"/>
          </w:tcPr>
          <w:p>
            <w:pPr>
              <w:pStyle w:val="63"/>
            </w:pPr>
            <w:r>
              <w:rPr>
                <w:rFonts w:hint="eastAsia"/>
              </w:rPr>
              <w:t>污染物</w:t>
            </w:r>
          </w:p>
        </w:tc>
        <w:tc>
          <w:tcPr>
            <w:tcW w:w="711" w:type="dxa"/>
            <w:shd w:val="clear" w:color="auto" w:fill="auto"/>
            <w:vAlign w:val="center"/>
          </w:tcPr>
          <w:p>
            <w:pPr>
              <w:pStyle w:val="63"/>
            </w:pPr>
            <w:r>
              <w:rPr>
                <w:rFonts w:hint="eastAsia"/>
              </w:rPr>
              <w:t>pH</w:t>
            </w:r>
          </w:p>
        </w:tc>
        <w:tc>
          <w:tcPr>
            <w:tcW w:w="1127" w:type="dxa"/>
            <w:shd w:val="clear" w:color="auto" w:fill="auto"/>
            <w:vAlign w:val="center"/>
          </w:tcPr>
          <w:p>
            <w:pPr>
              <w:pStyle w:val="63"/>
            </w:pPr>
            <w:r>
              <w:rPr>
                <w:rFonts w:hint="eastAsia"/>
              </w:rPr>
              <w:t>溶解氧</w:t>
            </w:r>
          </w:p>
        </w:tc>
        <w:tc>
          <w:tcPr>
            <w:tcW w:w="711" w:type="dxa"/>
            <w:shd w:val="clear" w:color="auto" w:fill="auto"/>
            <w:vAlign w:val="center"/>
          </w:tcPr>
          <w:p>
            <w:pPr>
              <w:pStyle w:val="63"/>
            </w:pPr>
            <w:r>
              <w:rPr>
                <w:rFonts w:hint="eastAsia"/>
              </w:rPr>
              <w:t>高锰酸盐指数</w:t>
            </w:r>
          </w:p>
        </w:tc>
        <w:tc>
          <w:tcPr>
            <w:tcW w:w="669" w:type="dxa"/>
            <w:shd w:val="clear" w:color="auto" w:fill="auto"/>
            <w:vAlign w:val="center"/>
          </w:tcPr>
          <w:p>
            <w:pPr>
              <w:pStyle w:val="63"/>
            </w:pPr>
            <w:r>
              <w:rPr>
                <w:rFonts w:hint="eastAsia"/>
              </w:rPr>
              <w:t>COD</w:t>
            </w:r>
            <w:r>
              <w:rPr>
                <w:rFonts w:hint="eastAsia"/>
                <w:vertAlign w:val="subscript"/>
              </w:rPr>
              <w:t>Cr</w:t>
            </w:r>
          </w:p>
        </w:tc>
        <w:tc>
          <w:tcPr>
            <w:tcW w:w="810" w:type="dxa"/>
            <w:shd w:val="clear" w:color="auto" w:fill="auto"/>
            <w:vAlign w:val="center"/>
          </w:tcPr>
          <w:p>
            <w:pPr>
              <w:pStyle w:val="63"/>
            </w:pPr>
            <w:r>
              <w:rPr>
                <w:rFonts w:hint="eastAsia"/>
              </w:rPr>
              <w:t>BOD</w:t>
            </w:r>
            <w:r>
              <w:rPr>
                <w:rFonts w:hint="eastAsia"/>
                <w:vertAlign w:val="subscript"/>
              </w:rPr>
              <w:t>5</w:t>
            </w:r>
          </w:p>
        </w:tc>
        <w:tc>
          <w:tcPr>
            <w:tcW w:w="1037" w:type="dxa"/>
            <w:shd w:val="clear" w:color="auto" w:fill="auto"/>
            <w:vAlign w:val="center"/>
          </w:tcPr>
          <w:p>
            <w:pPr>
              <w:pStyle w:val="63"/>
            </w:pPr>
            <w:r>
              <w:rPr>
                <w:rFonts w:hint="eastAsia"/>
              </w:rPr>
              <w:t>氨氮</w:t>
            </w:r>
          </w:p>
        </w:tc>
        <w:tc>
          <w:tcPr>
            <w:tcW w:w="1200" w:type="dxa"/>
            <w:shd w:val="clear" w:color="auto" w:fill="auto"/>
            <w:vAlign w:val="center"/>
          </w:tcPr>
          <w:p>
            <w:pPr>
              <w:pStyle w:val="63"/>
            </w:pPr>
            <w:r>
              <w:rPr>
                <w:rFonts w:hint="eastAsia"/>
              </w:rPr>
              <w:t>总磷</w:t>
            </w:r>
          </w:p>
        </w:tc>
        <w:tc>
          <w:tcPr>
            <w:tcW w:w="1299" w:type="dxa"/>
            <w:shd w:val="clear" w:color="auto" w:fill="auto"/>
            <w:vAlign w:val="center"/>
          </w:tcPr>
          <w:p>
            <w:pPr>
              <w:pStyle w:val="63"/>
            </w:pPr>
            <w:r>
              <w:rPr>
                <w:rFonts w:hint="eastAsia"/>
              </w:rPr>
              <w:t>挥发酚</w:t>
            </w:r>
          </w:p>
        </w:tc>
        <w:tc>
          <w:tcPr>
            <w:tcW w:w="973" w:type="dxa"/>
            <w:shd w:val="clear" w:color="auto" w:fill="auto"/>
            <w:vAlign w:val="center"/>
          </w:tcPr>
          <w:p>
            <w:pPr>
              <w:pStyle w:val="63"/>
            </w:pPr>
            <w:r>
              <w:rPr>
                <w:rFonts w:hint="eastAsia"/>
              </w:rPr>
              <w:t>石油类</w:t>
            </w:r>
          </w:p>
        </w:tc>
        <w:tc>
          <w:tcPr>
            <w:tcW w:w="874" w:type="dxa"/>
            <w:shd w:val="clear" w:color="auto" w:fill="auto"/>
            <w:vAlign w:val="center"/>
          </w:tcPr>
          <w:p>
            <w:pPr>
              <w:pStyle w:val="63"/>
            </w:pPr>
            <w:r>
              <w:rPr>
                <w:rFonts w:hint="eastAsia"/>
              </w:rPr>
              <w:t>LAS</w:t>
            </w:r>
          </w:p>
        </w:tc>
        <w:tc>
          <w:tcPr>
            <w:tcW w:w="682" w:type="dxa"/>
            <w:shd w:val="clear" w:color="auto" w:fill="auto"/>
            <w:vAlign w:val="center"/>
          </w:tcPr>
          <w:p>
            <w:pPr>
              <w:pStyle w:val="63"/>
            </w:pPr>
            <w:r>
              <w:rPr>
                <w:rFonts w:hint="eastAsia"/>
              </w:rPr>
              <w:t>六价铬</w:t>
            </w:r>
          </w:p>
        </w:tc>
        <w:tc>
          <w:tcPr>
            <w:tcW w:w="1037" w:type="dxa"/>
            <w:vAlign w:val="center"/>
          </w:tcPr>
          <w:p>
            <w:pPr>
              <w:pStyle w:val="63"/>
            </w:pPr>
            <w:r>
              <w:rPr>
                <w:rFonts w:hint="eastAsia"/>
              </w:rPr>
              <w:t>氟化物</w:t>
            </w:r>
          </w:p>
        </w:tc>
        <w:tc>
          <w:tcPr>
            <w:tcW w:w="682" w:type="dxa"/>
            <w:vAlign w:val="center"/>
          </w:tcPr>
          <w:p>
            <w:pPr>
              <w:pStyle w:val="63"/>
            </w:pPr>
            <w:r>
              <w:rPr>
                <w:rFonts w:hint="eastAsia"/>
              </w:rPr>
              <w:t>氰化物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restart"/>
            <w:shd w:val="clear" w:color="auto" w:fill="auto"/>
            <w:noWrap/>
            <w:vAlign w:val="center"/>
          </w:tcPr>
          <w:p>
            <w:pPr>
              <w:pStyle w:val="63"/>
            </w:pPr>
            <w:r>
              <w:rPr>
                <w:rFonts w:hint="eastAsia"/>
              </w:rPr>
              <w:t>1#朱衣河</w:t>
            </w:r>
          </w:p>
          <w:p>
            <w:pPr>
              <w:pStyle w:val="63"/>
            </w:pPr>
            <w:r>
              <w:rPr>
                <w:rFonts w:hint="eastAsia"/>
              </w:rPr>
              <w:t>朱衣镇断面</w:t>
            </w:r>
          </w:p>
        </w:tc>
        <w:tc>
          <w:tcPr>
            <w:tcW w:w="867" w:type="dxa"/>
            <w:shd w:val="clear" w:color="auto" w:fill="auto"/>
            <w:noWrap/>
            <w:vAlign w:val="center"/>
          </w:tcPr>
          <w:p>
            <w:pPr>
              <w:pStyle w:val="63"/>
            </w:pPr>
            <w:r>
              <w:rPr>
                <w:rFonts w:hint="eastAsia"/>
              </w:rPr>
              <w:t>浓度范围</w:t>
            </w:r>
          </w:p>
        </w:tc>
        <w:tc>
          <w:tcPr>
            <w:tcW w:w="711" w:type="dxa"/>
            <w:shd w:val="clear" w:color="auto" w:fill="auto"/>
            <w:noWrap/>
            <w:vAlign w:val="center"/>
          </w:tcPr>
          <w:p>
            <w:pPr>
              <w:pStyle w:val="63"/>
            </w:pPr>
            <w:r>
              <w:t>8~9</w:t>
            </w:r>
          </w:p>
        </w:tc>
        <w:tc>
          <w:tcPr>
            <w:tcW w:w="1127" w:type="dxa"/>
            <w:shd w:val="clear" w:color="auto" w:fill="auto"/>
            <w:noWrap/>
            <w:vAlign w:val="center"/>
          </w:tcPr>
          <w:p>
            <w:pPr>
              <w:pStyle w:val="63"/>
            </w:pPr>
            <w:r>
              <w:rPr>
                <w:rFonts w:hint="eastAsia"/>
              </w:rPr>
              <w:t>9.4~14.4</w:t>
            </w:r>
          </w:p>
        </w:tc>
        <w:tc>
          <w:tcPr>
            <w:tcW w:w="711" w:type="dxa"/>
            <w:shd w:val="clear" w:color="auto" w:fill="auto"/>
            <w:noWrap/>
            <w:vAlign w:val="center"/>
          </w:tcPr>
          <w:p>
            <w:pPr>
              <w:pStyle w:val="63"/>
              <w:rPr>
                <w:spacing w:val="-10"/>
              </w:rPr>
            </w:pPr>
            <w:r>
              <w:t>0.8~1.9</w:t>
            </w:r>
          </w:p>
        </w:tc>
        <w:tc>
          <w:tcPr>
            <w:tcW w:w="669" w:type="dxa"/>
            <w:shd w:val="clear" w:color="auto" w:fill="auto"/>
            <w:noWrap/>
            <w:vAlign w:val="center"/>
          </w:tcPr>
          <w:p>
            <w:pPr>
              <w:pStyle w:val="63"/>
            </w:pPr>
            <w:r>
              <w:t>6~8</w:t>
            </w:r>
          </w:p>
        </w:tc>
        <w:tc>
          <w:tcPr>
            <w:tcW w:w="810" w:type="dxa"/>
            <w:shd w:val="clear" w:color="auto" w:fill="auto"/>
            <w:noWrap/>
            <w:vAlign w:val="center"/>
          </w:tcPr>
          <w:p>
            <w:pPr>
              <w:pStyle w:val="63"/>
            </w:pPr>
            <w:r>
              <w:t>0.5</w:t>
            </w:r>
            <w:r>
              <w:rPr>
                <w:rFonts w:hint="eastAsia"/>
              </w:rPr>
              <w:t>L</w:t>
            </w:r>
            <w:r>
              <w:t>~0.6</w:t>
            </w:r>
          </w:p>
        </w:tc>
        <w:tc>
          <w:tcPr>
            <w:tcW w:w="1037" w:type="dxa"/>
            <w:shd w:val="clear" w:color="auto" w:fill="auto"/>
            <w:noWrap/>
            <w:vAlign w:val="center"/>
          </w:tcPr>
          <w:p>
            <w:pPr>
              <w:pStyle w:val="63"/>
              <w:rPr>
                <w:spacing w:val="-20"/>
              </w:rPr>
            </w:pPr>
            <w:r>
              <w:t>0.12~0.18</w:t>
            </w:r>
          </w:p>
        </w:tc>
        <w:tc>
          <w:tcPr>
            <w:tcW w:w="1200" w:type="dxa"/>
            <w:shd w:val="clear" w:color="auto" w:fill="auto"/>
            <w:noWrap/>
            <w:vAlign w:val="center"/>
          </w:tcPr>
          <w:p>
            <w:pPr>
              <w:pStyle w:val="63"/>
              <w:rPr>
                <w:spacing w:val="-16"/>
              </w:rPr>
            </w:pPr>
            <w:r>
              <w:t>0.03~0.07</w:t>
            </w:r>
          </w:p>
        </w:tc>
        <w:tc>
          <w:tcPr>
            <w:tcW w:w="1299" w:type="dxa"/>
            <w:shd w:val="clear" w:color="auto" w:fill="auto"/>
            <w:noWrap/>
            <w:vAlign w:val="center"/>
          </w:tcPr>
          <w:p>
            <w:pPr>
              <w:pStyle w:val="63"/>
              <w:rPr>
                <w:spacing w:val="-16"/>
              </w:rPr>
            </w:pPr>
            <w:r>
              <w:t>0.0003L~0.0004</w:t>
            </w:r>
          </w:p>
        </w:tc>
        <w:tc>
          <w:tcPr>
            <w:tcW w:w="973" w:type="dxa"/>
            <w:shd w:val="clear" w:color="auto" w:fill="auto"/>
            <w:noWrap/>
            <w:vAlign w:val="center"/>
          </w:tcPr>
          <w:p>
            <w:pPr>
              <w:pStyle w:val="63"/>
            </w:pPr>
            <w:r>
              <w:t>0.01L~0.01</w:t>
            </w:r>
          </w:p>
        </w:tc>
        <w:tc>
          <w:tcPr>
            <w:tcW w:w="874" w:type="dxa"/>
            <w:shd w:val="clear" w:color="auto" w:fill="auto"/>
            <w:noWrap/>
            <w:vAlign w:val="center"/>
          </w:tcPr>
          <w:p>
            <w:pPr>
              <w:pStyle w:val="63"/>
            </w:pPr>
            <w:r>
              <w:t>0.05L</w:t>
            </w:r>
          </w:p>
        </w:tc>
        <w:tc>
          <w:tcPr>
            <w:tcW w:w="682" w:type="dxa"/>
            <w:shd w:val="clear" w:color="auto" w:fill="auto"/>
            <w:noWrap/>
            <w:vAlign w:val="center"/>
          </w:tcPr>
          <w:p>
            <w:pPr>
              <w:pStyle w:val="63"/>
            </w:pPr>
            <w:r>
              <w:t>0.004L</w:t>
            </w:r>
          </w:p>
        </w:tc>
        <w:tc>
          <w:tcPr>
            <w:tcW w:w="1037" w:type="dxa"/>
            <w:vAlign w:val="center"/>
          </w:tcPr>
          <w:p>
            <w:pPr>
              <w:pStyle w:val="63"/>
              <w:rPr>
                <w:spacing w:val="-20"/>
              </w:rPr>
            </w:pPr>
            <w:r>
              <w:rPr>
                <w:rFonts w:hint="eastAsia"/>
              </w:rPr>
              <w:t>0.101</w:t>
            </w:r>
            <w:r>
              <w:t>~0.229</w:t>
            </w:r>
          </w:p>
        </w:tc>
        <w:tc>
          <w:tcPr>
            <w:tcW w:w="682" w:type="dxa"/>
            <w:vAlign w:val="center"/>
          </w:tcPr>
          <w:p>
            <w:pPr>
              <w:pStyle w:val="63"/>
              <w:rPr>
                <w:spacing w:val="-16"/>
              </w:rPr>
            </w:pPr>
            <w: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continue"/>
            <w:vAlign w:val="center"/>
          </w:tcPr>
          <w:p>
            <w:pPr>
              <w:pStyle w:val="63"/>
            </w:pPr>
          </w:p>
        </w:tc>
        <w:tc>
          <w:tcPr>
            <w:tcW w:w="867" w:type="dxa"/>
            <w:shd w:val="clear" w:color="auto" w:fill="auto"/>
            <w:noWrap/>
            <w:vAlign w:val="center"/>
          </w:tcPr>
          <w:p>
            <w:pPr>
              <w:pStyle w:val="63"/>
            </w:pPr>
            <w:r>
              <w:rPr>
                <w:rFonts w:hint="eastAsia"/>
              </w:rPr>
              <w:t>Pi值</w:t>
            </w:r>
          </w:p>
        </w:tc>
        <w:tc>
          <w:tcPr>
            <w:tcW w:w="711" w:type="dxa"/>
            <w:shd w:val="clear" w:color="auto" w:fill="auto"/>
            <w:noWrap/>
            <w:vAlign w:val="center"/>
          </w:tcPr>
          <w:p>
            <w:pPr>
              <w:pStyle w:val="63"/>
            </w:pPr>
            <w:r>
              <w:rPr>
                <w:rFonts w:hint="eastAsia"/>
              </w:rPr>
              <w:t>1.0</w:t>
            </w:r>
          </w:p>
        </w:tc>
        <w:tc>
          <w:tcPr>
            <w:tcW w:w="1127" w:type="dxa"/>
            <w:shd w:val="clear" w:color="auto" w:fill="auto"/>
            <w:noWrap/>
            <w:vAlign w:val="center"/>
          </w:tcPr>
          <w:p>
            <w:pPr>
              <w:pStyle w:val="63"/>
            </w:pPr>
            <w:r>
              <w:rPr>
                <w:rFonts w:hint="eastAsia"/>
              </w:rPr>
              <w:t>0.65</w:t>
            </w:r>
          </w:p>
        </w:tc>
        <w:tc>
          <w:tcPr>
            <w:tcW w:w="711" w:type="dxa"/>
            <w:shd w:val="clear" w:color="auto" w:fill="auto"/>
            <w:noWrap/>
            <w:vAlign w:val="center"/>
          </w:tcPr>
          <w:p>
            <w:pPr>
              <w:pStyle w:val="63"/>
            </w:pPr>
            <w:r>
              <w:t>0.32</w:t>
            </w:r>
          </w:p>
        </w:tc>
        <w:tc>
          <w:tcPr>
            <w:tcW w:w="669" w:type="dxa"/>
            <w:shd w:val="clear" w:color="auto" w:fill="auto"/>
            <w:noWrap/>
            <w:vAlign w:val="center"/>
          </w:tcPr>
          <w:p>
            <w:pPr>
              <w:pStyle w:val="63"/>
            </w:pPr>
            <w:r>
              <w:t>0.40</w:t>
            </w:r>
          </w:p>
        </w:tc>
        <w:tc>
          <w:tcPr>
            <w:tcW w:w="810" w:type="dxa"/>
            <w:shd w:val="clear" w:color="auto" w:fill="auto"/>
            <w:noWrap/>
            <w:vAlign w:val="center"/>
          </w:tcPr>
          <w:p>
            <w:pPr>
              <w:pStyle w:val="63"/>
            </w:pPr>
            <w:r>
              <w:t>0.15</w:t>
            </w:r>
          </w:p>
        </w:tc>
        <w:tc>
          <w:tcPr>
            <w:tcW w:w="1037" w:type="dxa"/>
            <w:shd w:val="clear" w:color="auto" w:fill="auto"/>
            <w:noWrap/>
            <w:vAlign w:val="center"/>
          </w:tcPr>
          <w:p>
            <w:pPr>
              <w:pStyle w:val="63"/>
            </w:pPr>
            <w:r>
              <w:t>0.18</w:t>
            </w:r>
          </w:p>
        </w:tc>
        <w:tc>
          <w:tcPr>
            <w:tcW w:w="1200" w:type="dxa"/>
            <w:shd w:val="clear" w:color="auto" w:fill="auto"/>
            <w:noWrap/>
            <w:vAlign w:val="center"/>
          </w:tcPr>
          <w:p>
            <w:pPr>
              <w:pStyle w:val="63"/>
            </w:pPr>
            <w:r>
              <w:t>0.35</w:t>
            </w:r>
          </w:p>
        </w:tc>
        <w:tc>
          <w:tcPr>
            <w:tcW w:w="1299" w:type="dxa"/>
            <w:shd w:val="clear" w:color="auto" w:fill="auto"/>
            <w:noWrap/>
            <w:vAlign w:val="center"/>
          </w:tcPr>
          <w:p>
            <w:pPr>
              <w:pStyle w:val="63"/>
            </w:pPr>
            <w:r>
              <w:t>0.08</w:t>
            </w:r>
          </w:p>
        </w:tc>
        <w:tc>
          <w:tcPr>
            <w:tcW w:w="973" w:type="dxa"/>
            <w:shd w:val="clear" w:color="auto" w:fill="auto"/>
            <w:noWrap/>
            <w:vAlign w:val="center"/>
          </w:tcPr>
          <w:p>
            <w:pPr>
              <w:pStyle w:val="63"/>
            </w:pPr>
            <w:r>
              <w:t>0.20</w:t>
            </w:r>
          </w:p>
        </w:tc>
        <w:tc>
          <w:tcPr>
            <w:tcW w:w="874" w:type="dxa"/>
            <w:shd w:val="clear" w:color="auto" w:fill="auto"/>
            <w:noWrap/>
            <w:vAlign w:val="center"/>
          </w:tcPr>
          <w:p>
            <w:pPr>
              <w:pStyle w:val="63"/>
            </w:pPr>
            <w:r>
              <w:t>/</w:t>
            </w:r>
          </w:p>
        </w:tc>
        <w:tc>
          <w:tcPr>
            <w:tcW w:w="682" w:type="dxa"/>
            <w:shd w:val="clear" w:color="auto" w:fill="auto"/>
            <w:noWrap/>
            <w:vAlign w:val="center"/>
          </w:tcPr>
          <w:p>
            <w:pPr>
              <w:pStyle w:val="63"/>
            </w:pPr>
            <w:r>
              <w:t>/</w:t>
            </w:r>
          </w:p>
        </w:tc>
        <w:tc>
          <w:tcPr>
            <w:tcW w:w="1037" w:type="dxa"/>
            <w:vAlign w:val="center"/>
          </w:tcPr>
          <w:p>
            <w:pPr>
              <w:pStyle w:val="63"/>
            </w:pPr>
            <w:r>
              <w:t>0.23</w:t>
            </w:r>
          </w:p>
        </w:tc>
        <w:tc>
          <w:tcPr>
            <w:tcW w:w="682" w:type="dxa"/>
            <w:vAlign w:val="center"/>
          </w:tcPr>
          <w:p>
            <w:pPr>
              <w:pStyle w:val="63"/>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continue"/>
            <w:vAlign w:val="center"/>
          </w:tcPr>
          <w:p>
            <w:pPr>
              <w:pStyle w:val="63"/>
            </w:pPr>
          </w:p>
        </w:tc>
        <w:tc>
          <w:tcPr>
            <w:tcW w:w="867" w:type="dxa"/>
            <w:shd w:val="clear" w:color="auto" w:fill="auto"/>
            <w:noWrap/>
            <w:vAlign w:val="center"/>
          </w:tcPr>
          <w:p>
            <w:pPr>
              <w:pStyle w:val="63"/>
            </w:pPr>
            <w:r>
              <w:rPr>
                <w:rFonts w:hint="eastAsia"/>
              </w:rPr>
              <w:t>超标率</w:t>
            </w:r>
          </w:p>
          <w:p>
            <w:pPr>
              <w:pStyle w:val="63"/>
            </w:pPr>
            <w:r>
              <w:rPr>
                <w:rFonts w:hint="eastAsia"/>
              </w:rPr>
              <w:t>%</w:t>
            </w:r>
          </w:p>
        </w:tc>
        <w:tc>
          <w:tcPr>
            <w:tcW w:w="711" w:type="dxa"/>
            <w:shd w:val="clear" w:color="auto" w:fill="auto"/>
            <w:noWrap/>
            <w:vAlign w:val="center"/>
          </w:tcPr>
          <w:p>
            <w:pPr>
              <w:pStyle w:val="63"/>
            </w:pPr>
            <w:r>
              <w:rPr>
                <w:rFonts w:hint="eastAsia"/>
              </w:rPr>
              <w:t>/</w:t>
            </w:r>
          </w:p>
        </w:tc>
        <w:tc>
          <w:tcPr>
            <w:tcW w:w="1127" w:type="dxa"/>
            <w:shd w:val="clear" w:color="auto" w:fill="auto"/>
            <w:noWrap/>
            <w:vAlign w:val="center"/>
          </w:tcPr>
          <w:p>
            <w:pPr>
              <w:pStyle w:val="63"/>
            </w:pPr>
            <w:r>
              <w:rPr>
                <w:rFonts w:hint="eastAsia"/>
              </w:rPr>
              <w:t>/</w:t>
            </w:r>
          </w:p>
        </w:tc>
        <w:tc>
          <w:tcPr>
            <w:tcW w:w="711" w:type="dxa"/>
            <w:shd w:val="clear" w:color="auto" w:fill="auto"/>
            <w:noWrap/>
            <w:vAlign w:val="center"/>
          </w:tcPr>
          <w:p>
            <w:pPr>
              <w:pStyle w:val="63"/>
            </w:pPr>
            <w:r>
              <w:rPr>
                <w:rFonts w:hint="eastAsia"/>
              </w:rPr>
              <w:t>/</w:t>
            </w:r>
          </w:p>
        </w:tc>
        <w:tc>
          <w:tcPr>
            <w:tcW w:w="669" w:type="dxa"/>
            <w:shd w:val="clear" w:color="auto" w:fill="auto"/>
            <w:noWrap/>
            <w:vAlign w:val="center"/>
          </w:tcPr>
          <w:p>
            <w:pPr>
              <w:pStyle w:val="63"/>
            </w:pPr>
            <w:r>
              <w:rPr>
                <w:rFonts w:hint="eastAsia"/>
              </w:rPr>
              <w:t>/</w:t>
            </w:r>
          </w:p>
        </w:tc>
        <w:tc>
          <w:tcPr>
            <w:tcW w:w="810" w:type="dxa"/>
            <w:shd w:val="clear" w:color="auto" w:fill="auto"/>
            <w:noWrap/>
            <w:vAlign w:val="center"/>
          </w:tcPr>
          <w:p>
            <w:pPr>
              <w:pStyle w:val="63"/>
            </w:pPr>
            <w:r>
              <w:rPr>
                <w:rFonts w:hint="eastAsia"/>
              </w:rPr>
              <w:t>/</w:t>
            </w:r>
          </w:p>
        </w:tc>
        <w:tc>
          <w:tcPr>
            <w:tcW w:w="1037" w:type="dxa"/>
            <w:shd w:val="clear" w:color="auto" w:fill="auto"/>
            <w:noWrap/>
            <w:vAlign w:val="center"/>
          </w:tcPr>
          <w:p>
            <w:pPr>
              <w:pStyle w:val="63"/>
            </w:pPr>
            <w:r>
              <w:rPr>
                <w:rFonts w:hint="eastAsia"/>
              </w:rPr>
              <w:t>/</w:t>
            </w:r>
          </w:p>
        </w:tc>
        <w:tc>
          <w:tcPr>
            <w:tcW w:w="1200" w:type="dxa"/>
            <w:shd w:val="clear" w:color="auto" w:fill="auto"/>
            <w:noWrap/>
            <w:vAlign w:val="center"/>
          </w:tcPr>
          <w:p>
            <w:pPr>
              <w:pStyle w:val="63"/>
            </w:pPr>
            <w:r>
              <w:rPr>
                <w:rFonts w:hint="eastAsia"/>
              </w:rPr>
              <w:t>/</w:t>
            </w:r>
          </w:p>
        </w:tc>
        <w:tc>
          <w:tcPr>
            <w:tcW w:w="1299" w:type="dxa"/>
            <w:shd w:val="clear" w:color="auto" w:fill="auto"/>
            <w:noWrap/>
            <w:vAlign w:val="center"/>
          </w:tcPr>
          <w:p>
            <w:pPr>
              <w:pStyle w:val="63"/>
            </w:pPr>
            <w:r>
              <w:rPr>
                <w:rFonts w:hint="eastAsia"/>
              </w:rPr>
              <w:t>/</w:t>
            </w:r>
          </w:p>
        </w:tc>
        <w:tc>
          <w:tcPr>
            <w:tcW w:w="973" w:type="dxa"/>
            <w:shd w:val="clear" w:color="auto" w:fill="auto"/>
            <w:noWrap/>
            <w:vAlign w:val="center"/>
          </w:tcPr>
          <w:p>
            <w:pPr>
              <w:pStyle w:val="63"/>
            </w:pPr>
            <w:r>
              <w:rPr>
                <w:rFonts w:hint="eastAsia"/>
              </w:rPr>
              <w:t>/</w:t>
            </w:r>
          </w:p>
        </w:tc>
        <w:tc>
          <w:tcPr>
            <w:tcW w:w="874" w:type="dxa"/>
            <w:shd w:val="clear" w:color="auto" w:fill="auto"/>
            <w:noWrap/>
            <w:vAlign w:val="center"/>
          </w:tcPr>
          <w:p>
            <w:pPr>
              <w:pStyle w:val="63"/>
            </w:pPr>
            <w:r>
              <w:rPr>
                <w:rFonts w:hint="eastAsia"/>
              </w:rPr>
              <w:t>/</w:t>
            </w:r>
          </w:p>
        </w:tc>
        <w:tc>
          <w:tcPr>
            <w:tcW w:w="682" w:type="dxa"/>
            <w:shd w:val="clear" w:color="auto" w:fill="auto"/>
            <w:noWrap/>
            <w:vAlign w:val="center"/>
          </w:tcPr>
          <w:p>
            <w:pPr>
              <w:pStyle w:val="63"/>
            </w:pPr>
            <w:r>
              <w:rPr>
                <w:rFonts w:hint="eastAsia"/>
              </w:rPr>
              <w:t>/</w:t>
            </w:r>
          </w:p>
        </w:tc>
        <w:tc>
          <w:tcPr>
            <w:tcW w:w="1037" w:type="dxa"/>
            <w:vAlign w:val="center"/>
          </w:tcPr>
          <w:p>
            <w:pPr>
              <w:pStyle w:val="63"/>
            </w:pPr>
            <w:r>
              <w:rPr>
                <w:rFonts w:hint="eastAsia"/>
              </w:rPr>
              <w:t>/</w:t>
            </w:r>
          </w:p>
        </w:tc>
        <w:tc>
          <w:tcPr>
            <w:tcW w:w="682"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restart"/>
            <w:shd w:val="clear" w:color="auto" w:fill="auto"/>
            <w:noWrap/>
            <w:vAlign w:val="center"/>
          </w:tcPr>
          <w:p>
            <w:pPr>
              <w:pStyle w:val="63"/>
            </w:pPr>
            <w:r>
              <w:rPr>
                <w:rFonts w:hint="eastAsia"/>
              </w:rPr>
              <w:t>2#朱衣河</w:t>
            </w:r>
          </w:p>
          <w:p>
            <w:pPr>
              <w:pStyle w:val="63"/>
            </w:pPr>
            <w:r>
              <w:rPr>
                <w:rFonts w:hint="eastAsia"/>
              </w:rPr>
              <w:t>帽峰断面</w:t>
            </w:r>
          </w:p>
        </w:tc>
        <w:tc>
          <w:tcPr>
            <w:tcW w:w="867" w:type="dxa"/>
            <w:shd w:val="clear" w:color="auto" w:fill="auto"/>
            <w:noWrap/>
            <w:vAlign w:val="center"/>
          </w:tcPr>
          <w:p>
            <w:pPr>
              <w:pStyle w:val="63"/>
            </w:pPr>
            <w:r>
              <w:rPr>
                <w:rFonts w:hint="eastAsia"/>
              </w:rPr>
              <w:t>浓度</w:t>
            </w:r>
          </w:p>
          <w:p>
            <w:pPr>
              <w:pStyle w:val="63"/>
            </w:pPr>
            <w:r>
              <w:rPr>
                <w:rFonts w:hint="eastAsia"/>
              </w:rPr>
              <w:t>范围</w:t>
            </w:r>
          </w:p>
        </w:tc>
        <w:tc>
          <w:tcPr>
            <w:tcW w:w="711" w:type="dxa"/>
            <w:shd w:val="clear" w:color="auto" w:fill="auto"/>
            <w:noWrap/>
            <w:vAlign w:val="center"/>
          </w:tcPr>
          <w:p>
            <w:pPr>
              <w:pStyle w:val="63"/>
            </w:pPr>
            <w:r>
              <w:rPr>
                <w:rFonts w:hint="eastAsia"/>
              </w:rPr>
              <w:t>7.8~7.9</w:t>
            </w:r>
          </w:p>
        </w:tc>
        <w:tc>
          <w:tcPr>
            <w:tcW w:w="1127" w:type="dxa"/>
            <w:shd w:val="clear" w:color="auto" w:fill="auto"/>
            <w:noWrap/>
            <w:vAlign w:val="center"/>
          </w:tcPr>
          <w:p>
            <w:pPr>
              <w:pStyle w:val="63"/>
            </w:pPr>
            <w:r>
              <w:rPr>
                <w:rFonts w:hint="eastAsia"/>
              </w:rPr>
              <w:t>7.22~8.02</w:t>
            </w:r>
          </w:p>
        </w:tc>
        <w:tc>
          <w:tcPr>
            <w:tcW w:w="711" w:type="dxa"/>
            <w:shd w:val="clear" w:color="auto" w:fill="auto"/>
            <w:noWrap/>
            <w:vAlign w:val="center"/>
          </w:tcPr>
          <w:p>
            <w:pPr>
              <w:pStyle w:val="63"/>
            </w:pPr>
            <w:r>
              <w:rPr>
                <w:rFonts w:hint="eastAsia"/>
              </w:rPr>
              <w:t>2.0~2.1</w:t>
            </w:r>
          </w:p>
        </w:tc>
        <w:tc>
          <w:tcPr>
            <w:tcW w:w="669" w:type="dxa"/>
            <w:shd w:val="clear" w:color="auto" w:fill="auto"/>
            <w:noWrap/>
            <w:vAlign w:val="center"/>
          </w:tcPr>
          <w:p>
            <w:pPr>
              <w:pStyle w:val="63"/>
            </w:pPr>
            <w:r>
              <w:rPr>
                <w:rFonts w:hint="eastAsia"/>
              </w:rPr>
              <w:t>10~11</w:t>
            </w:r>
          </w:p>
        </w:tc>
        <w:tc>
          <w:tcPr>
            <w:tcW w:w="810" w:type="dxa"/>
            <w:shd w:val="clear" w:color="auto" w:fill="auto"/>
            <w:noWrap/>
            <w:vAlign w:val="center"/>
          </w:tcPr>
          <w:p>
            <w:pPr>
              <w:pStyle w:val="63"/>
            </w:pPr>
            <w:r>
              <w:rPr>
                <w:rFonts w:hint="eastAsia"/>
              </w:rPr>
              <w:t>1.2~1.4</w:t>
            </w:r>
          </w:p>
        </w:tc>
        <w:tc>
          <w:tcPr>
            <w:tcW w:w="1037" w:type="dxa"/>
            <w:shd w:val="clear" w:color="auto" w:fill="auto"/>
            <w:noWrap/>
            <w:vAlign w:val="center"/>
          </w:tcPr>
          <w:p>
            <w:pPr>
              <w:pStyle w:val="63"/>
            </w:pPr>
            <w:r>
              <w:rPr>
                <w:rFonts w:hint="eastAsia"/>
              </w:rPr>
              <w:t>0.206~0.215</w:t>
            </w:r>
          </w:p>
        </w:tc>
        <w:tc>
          <w:tcPr>
            <w:tcW w:w="1200" w:type="dxa"/>
            <w:shd w:val="clear" w:color="auto" w:fill="auto"/>
            <w:noWrap/>
            <w:vAlign w:val="center"/>
          </w:tcPr>
          <w:p>
            <w:pPr>
              <w:pStyle w:val="63"/>
              <w:rPr>
                <w:spacing w:val="-16"/>
              </w:rPr>
            </w:pPr>
            <w:r>
              <w:rPr>
                <w:rFonts w:hint="eastAsia"/>
              </w:rPr>
              <w:t>0.06~0.07</w:t>
            </w:r>
          </w:p>
        </w:tc>
        <w:tc>
          <w:tcPr>
            <w:tcW w:w="1299" w:type="dxa"/>
            <w:shd w:val="clear" w:color="auto" w:fill="auto"/>
            <w:noWrap/>
            <w:vAlign w:val="center"/>
          </w:tcPr>
          <w:p>
            <w:pPr>
              <w:pStyle w:val="63"/>
              <w:rPr>
                <w:spacing w:val="-16"/>
              </w:rPr>
            </w:pPr>
            <w:r>
              <w:rPr>
                <w:rFonts w:hint="eastAsia"/>
              </w:rPr>
              <w:t>0.0003L</w:t>
            </w:r>
          </w:p>
        </w:tc>
        <w:tc>
          <w:tcPr>
            <w:tcW w:w="973" w:type="dxa"/>
            <w:shd w:val="clear" w:color="auto" w:fill="auto"/>
            <w:noWrap/>
            <w:vAlign w:val="center"/>
          </w:tcPr>
          <w:p>
            <w:pPr>
              <w:pStyle w:val="63"/>
              <w:rPr>
                <w:spacing w:val="-12"/>
              </w:rPr>
            </w:pPr>
            <w:r>
              <w:rPr>
                <w:rFonts w:hint="eastAsia"/>
              </w:rPr>
              <w:t>0.01L</w:t>
            </w:r>
          </w:p>
        </w:tc>
        <w:tc>
          <w:tcPr>
            <w:tcW w:w="874" w:type="dxa"/>
            <w:shd w:val="clear" w:color="auto" w:fill="auto"/>
            <w:noWrap/>
            <w:vAlign w:val="center"/>
          </w:tcPr>
          <w:p>
            <w:pPr>
              <w:pStyle w:val="63"/>
              <w:rPr>
                <w:spacing w:val="-12"/>
              </w:rPr>
            </w:pPr>
            <w:r>
              <w:rPr>
                <w:rFonts w:hint="eastAsia"/>
              </w:rPr>
              <w:t>0.05L</w:t>
            </w:r>
          </w:p>
        </w:tc>
        <w:tc>
          <w:tcPr>
            <w:tcW w:w="682" w:type="dxa"/>
            <w:shd w:val="clear" w:color="auto" w:fill="auto"/>
            <w:noWrap/>
            <w:vAlign w:val="center"/>
          </w:tcPr>
          <w:p>
            <w:pPr>
              <w:pStyle w:val="63"/>
              <w:rPr>
                <w:spacing w:val="-16"/>
              </w:rPr>
            </w:pPr>
            <w:r>
              <w:rPr>
                <w:rFonts w:hint="eastAsia"/>
              </w:rPr>
              <w:t>0.004L</w:t>
            </w:r>
          </w:p>
        </w:tc>
        <w:tc>
          <w:tcPr>
            <w:tcW w:w="1037" w:type="dxa"/>
            <w:vAlign w:val="center"/>
          </w:tcPr>
          <w:p>
            <w:pPr>
              <w:pStyle w:val="63"/>
              <w:rPr>
                <w:spacing w:val="-20"/>
              </w:rPr>
            </w:pPr>
            <w:r>
              <w:rPr>
                <w:rFonts w:hint="eastAsia"/>
              </w:rPr>
              <w:t>0.119~0.139</w:t>
            </w:r>
          </w:p>
        </w:tc>
        <w:tc>
          <w:tcPr>
            <w:tcW w:w="682" w:type="dxa"/>
            <w:vAlign w:val="center"/>
          </w:tcPr>
          <w:p>
            <w:pPr>
              <w:pStyle w:val="63"/>
              <w:rPr>
                <w:spacing w:val="-16"/>
              </w:rPr>
            </w:pPr>
            <w:r>
              <w:rPr>
                <w:rFonts w:hint="eastAsia"/>
              </w:rPr>
              <w:t>0.001L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continue"/>
            <w:vAlign w:val="center"/>
          </w:tcPr>
          <w:p>
            <w:pPr>
              <w:pStyle w:val="63"/>
            </w:pPr>
          </w:p>
        </w:tc>
        <w:tc>
          <w:tcPr>
            <w:tcW w:w="867" w:type="dxa"/>
            <w:shd w:val="clear" w:color="auto" w:fill="auto"/>
            <w:noWrap/>
            <w:vAlign w:val="center"/>
          </w:tcPr>
          <w:p>
            <w:pPr>
              <w:pStyle w:val="63"/>
            </w:pPr>
            <w:r>
              <w:rPr>
                <w:rFonts w:hint="eastAsia"/>
              </w:rPr>
              <w:t>Pi值</w:t>
            </w:r>
          </w:p>
        </w:tc>
        <w:tc>
          <w:tcPr>
            <w:tcW w:w="711" w:type="dxa"/>
            <w:shd w:val="clear" w:color="auto" w:fill="auto"/>
            <w:noWrap/>
            <w:vAlign w:val="center"/>
          </w:tcPr>
          <w:p>
            <w:pPr>
              <w:pStyle w:val="63"/>
            </w:pPr>
            <w:r>
              <w:rPr>
                <w:rFonts w:hint="eastAsia"/>
              </w:rPr>
              <w:t>0.45</w:t>
            </w:r>
          </w:p>
        </w:tc>
        <w:tc>
          <w:tcPr>
            <w:tcW w:w="1127" w:type="dxa"/>
            <w:shd w:val="clear" w:color="auto" w:fill="auto"/>
            <w:noWrap/>
            <w:vAlign w:val="center"/>
          </w:tcPr>
          <w:p>
            <w:pPr>
              <w:pStyle w:val="63"/>
            </w:pPr>
            <w:r>
              <w:rPr>
                <w:rFonts w:hint="eastAsia"/>
              </w:rPr>
              <w:t>0.04</w:t>
            </w:r>
          </w:p>
        </w:tc>
        <w:tc>
          <w:tcPr>
            <w:tcW w:w="711" w:type="dxa"/>
            <w:shd w:val="clear" w:color="auto" w:fill="auto"/>
            <w:noWrap/>
            <w:vAlign w:val="center"/>
          </w:tcPr>
          <w:p>
            <w:pPr>
              <w:pStyle w:val="63"/>
            </w:pPr>
            <w:r>
              <w:rPr>
                <w:rFonts w:hint="eastAsia"/>
              </w:rPr>
              <w:t>0.35</w:t>
            </w:r>
          </w:p>
        </w:tc>
        <w:tc>
          <w:tcPr>
            <w:tcW w:w="669" w:type="dxa"/>
            <w:shd w:val="clear" w:color="auto" w:fill="auto"/>
            <w:noWrap/>
            <w:vAlign w:val="center"/>
          </w:tcPr>
          <w:p>
            <w:pPr>
              <w:pStyle w:val="63"/>
            </w:pPr>
            <w:r>
              <w:rPr>
                <w:rFonts w:hint="eastAsia"/>
              </w:rPr>
              <w:t>0.55</w:t>
            </w:r>
          </w:p>
        </w:tc>
        <w:tc>
          <w:tcPr>
            <w:tcW w:w="810" w:type="dxa"/>
            <w:shd w:val="clear" w:color="auto" w:fill="auto"/>
            <w:noWrap/>
            <w:vAlign w:val="center"/>
          </w:tcPr>
          <w:p>
            <w:pPr>
              <w:pStyle w:val="63"/>
            </w:pPr>
            <w:r>
              <w:rPr>
                <w:rFonts w:hint="eastAsia"/>
              </w:rPr>
              <w:t>0.35</w:t>
            </w:r>
          </w:p>
        </w:tc>
        <w:tc>
          <w:tcPr>
            <w:tcW w:w="1037" w:type="dxa"/>
            <w:shd w:val="clear" w:color="auto" w:fill="auto"/>
            <w:noWrap/>
            <w:vAlign w:val="center"/>
          </w:tcPr>
          <w:p>
            <w:pPr>
              <w:pStyle w:val="63"/>
            </w:pPr>
            <w:r>
              <w:rPr>
                <w:rFonts w:hint="eastAsia"/>
              </w:rPr>
              <w:t>0.215</w:t>
            </w:r>
          </w:p>
        </w:tc>
        <w:tc>
          <w:tcPr>
            <w:tcW w:w="1200" w:type="dxa"/>
            <w:shd w:val="clear" w:color="auto" w:fill="auto"/>
            <w:noWrap/>
            <w:vAlign w:val="center"/>
          </w:tcPr>
          <w:p>
            <w:pPr>
              <w:pStyle w:val="63"/>
            </w:pPr>
            <w:r>
              <w:rPr>
                <w:rFonts w:hint="eastAsia"/>
              </w:rPr>
              <w:t>0.35</w:t>
            </w:r>
          </w:p>
        </w:tc>
        <w:tc>
          <w:tcPr>
            <w:tcW w:w="1299" w:type="dxa"/>
            <w:shd w:val="clear" w:color="auto" w:fill="auto"/>
            <w:noWrap/>
            <w:vAlign w:val="center"/>
          </w:tcPr>
          <w:p>
            <w:pPr>
              <w:pStyle w:val="63"/>
            </w:pPr>
            <w:r>
              <w:rPr>
                <w:rFonts w:hint="eastAsia"/>
              </w:rPr>
              <w:t>/</w:t>
            </w:r>
          </w:p>
        </w:tc>
        <w:tc>
          <w:tcPr>
            <w:tcW w:w="973" w:type="dxa"/>
            <w:shd w:val="clear" w:color="auto" w:fill="auto"/>
            <w:noWrap/>
            <w:vAlign w:val="center"/>
          </w:tcPr>
          <w:p>
            <w:pPr>
              <w:pStyle w:val="63"/>
            </w:pPr>
            <w:r>
              <w:rPr>
                <w:rFonts w:hint="eastAsia"/>
              </w:rPr>
              <w:t>/</w:t>
            </w:r>
          </w:p>
        </w:tc>
        <w:tc>
          <w:tcPr>
            <w:tcW w:w="874" w:type="dxa"/>
            <w:shd w:val="clear" w:color="auto" w:fill="auto"/>
            <w:noWrap/>
            <w:vAlign w:val="center"/>
          </w:tcPr>
          <w:p>
            <w:pPr>
              <w:pStyle w:val="63"/>
            </w:pPr>
            <w:r>
              <w:rPr>
                <w:rFonts w:hint="eastAsia"/>
              </w:rPr>
              <w:t>/</w:t>
            </w:r>
          </w:p>
        </w:tc>
        <w:tc>
          <w:tcPr>
            <w:tcW w:w="682" w:type="dxa"/>
            <w:shd w:val="clear" w:color="auto" w:fill="auto"/>
            <w:noWrap/>
            <w:vAlign w:val="center"/>
          </w:tcPr>
          <w:p>
            <w:pPr>
              <w:pStyle w:val="63"/>
            </w:pPr>
            <w:r>
              <w:rPr>
                <w:rFonts w:hint="eastAsia"/>
              </w:rPr>
              <w:t>/</w:t>
            </w:r>
          </w:p>
        </w:tc>
        <w:tc>
          <w:tcPr>
            <w:tcW w:w="1037" w:type="dxa"/>
            <w:vAlign w:val="center"/>
          </w:tcPr>
          <w:p>
            <w:pPr>
              <w:pStyle w:val="63"/>
            </w:pPr>
            <w:r>
              <w:rPr>
                <w:rFonts w:hint="eastAsia"/>
              </w:rPr>
              <w:t>0.14</w:t>
            </w:r>
          </w:p>
        </w:tc>
        <w:tc>
          <w:tcPr>
            <w:tcW w:w="682"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continue"/>
            <w:vAlign w:val="center"/>
          </w:tcPr>
          <w:p>
            <w:pPr>
              <w:pStyle w:val="63"/>
            </w:pPr>
          </w:p>
        </w:tc>
        <w:tc>
          <w:tcPr>
            <w:tcW w:w="867" w:type="dxa"/>
            <w:shd w:val="clear" w:color="auto" w:fill="auto"/>
            <w:noWrap/>
            <w:vAlign w:val="center"/>
          </w:tcPr>
          <w:p>
            <w:pPr>
              <w:pStyle w:val="63"/>
            </w:pPr>
            <w:r>
              <w:rPr>
                <w:rFonts w:hint="eastAsia"/>
              </w:rPr>
              <w:t>超标率</w:t>
            </w:r>
          </w:p>
          <w:p>
            <w:pPr>
              <w:pStyle w:val="63"/>
            </w:pPr>
            <w:r>
              <w:rPr>
                <w:rFonts w:hint="eastAsia"/>
              </w:rPr>
              <w:t>%</w:t>
            </w:r>
          </w:p>
        </w:tc>
        <w:tc>
          <w:tcPr>
            <w:tcW w:w="711" w:type="dxa"/>
            <w:shd w:val="clear" w:color="auto" w:fill="auto"/>
            <w:noWrap/>
            <w:vAlign w:val="center"/>
          </w:tcPr>
          <w:p>
            <w:pPr>
              <w:pStyle w:val="63"/>
            </w:pPr>
            <w:r>
              <w:rPr>
                <w:rFonts w:hint="eastAsia"/>
              </w:rPr>
              <w:t>/</w:t>
            </w:r>
          </w:p>
        </w:tc>
        <w:tc>
          <w:tcPr>
            <w:tcW w:w="1127" w:type="dxa"/>
            <w:shd w:val="clear" w:color="auto" w:fill="auto"/>
            <w:noWrap/>
            <w:vAlign w:val="center"/>
          </w:tcPr>
          <w:p>
            <w:pPr>
              <w:pStyle w:val="63"/>
            </w:pPr>
            <w:r>
              <w:rPr>
                <w:rFonts w:hint="eastAsia"/>
              </w:rPr>
              <w:t>/</w:t>
            </w:r>
          </w:p>
        </w:tc>
        <w:tc>
          <w:tcPr>
            <w:tcW w:w="711" w:type="dxa"/>
            <w:shd w:val="clear" w:color="auto" w:fill="auto"/>
            <w:noWrap/>
            <w:vAlign w:val="center"/>
          </w:tcPr>
          <w:p>
            <w:pPr>
              <w:pStyle w:val="63"/>
            </w:pPr>
            <w:r>
              <w:rPr>
                <w:rFonts w:hint="eastAsia"/>
              </w:rPr>
              <w:t>/</w:t>
            </w:r>
          </w:p>
        </w:tc>
        <w:tc>
          <w:tcPr>
            <w:tcW w:w="669" w:type="dxa"/>
            <w:shd w:val="clear" w:color="auto" w:fill="auto"/>
            <w:noWrap/>
            <w:vAlign w:val="center"/>
          </w:tcPr>
          <w:p>
            <w:pPr>
              <w:pStyle w:val="63"/>
            </w:pPr>
            <w:r>
              <w:rPr>
                <w:rFonts w:hint="eastAsia"/>
              </w:rPr>
              <w:t>/</w:t>
            </w:r>
          </w:p>
        </w:tc>
        <w:tc>
          <w:tcPr>
            <w:tcW w:w="810" w:type="dxa"/>
            <w:shd w:val="clear" w:color="auto" w:fill="auto"/>
            <w:noWrap/>
            <w:vAlign w:val="center"/>
          </w:tcPr>
          <w:p>
            <w:pPr>
              <w:pStyle w:val="63"/>
            </w:pPr>
            <w:r>
              <w:rPr>
                <w:rFonts w:hint="eastAsia"/>
              </w:rPr>
              <w:t>/</w:t>
            </w:r>
          </w:p>
        </w:tc>
        <w:tc>
          <w:tcPr>
            <w:tcW w:w="1037" w:type="dxa"/>
            <w:shd w:val="clear" w:color="auto" w:fill="auto"/>
            <w:noWrap/>
            <w:vAlign w:val="center"/>
          </w:tcPr>
          <w:p>
            <w:pPr>
              <w:pStyle w:val="63"/>
            </w:pPr>
            <w:r>
              <w:rPr>
                <w:rFonts w:hint="eastAsia"/>
              </w:rPr>
              <w:t>/</w:t>
            </w:r>
          </w:p>
        </w:tc>
        <w:tc>
          <w:tcPr>
            <w:tcW w:w="1200" w:type="dxa"/>
            <w:shd w:val="clear" w:color="auto" w:fill="auto"/>
            <w:noWrap/>
            <w:vAlign w:val="center"/>
          </w:tcPr>
          <w:p>
            <w:pPr>
              <w:pStyle w:val="63"/>
            </w:pPr>
            <w:r>
              <w:rPr>
                <w:rFonts w:hint="eastAsia"/>
              </w:rPr>
              <w:t>/</w:t>
            </w:r>
          </w:p>
        </w:tc>
        <w:tc>
          <w:tcPr>
            <w:tcW w:w="1299" w:type="dxa"/>
            <w:shd w:val="clear" w:color="auto" w:fill="auto"/>
            <w:noWrap/>
            <w:vAlign w:val="center"/>
          </w:tcPr>
          <w:p>
            <w:pPr>
              <w:pStyle w:val="63"/>
            </w:pPr>
            <w:r>
              <w:rPr>
                <w:rFonts w:hint="eastAsia"/>
              </w:rPr>
              <w:t>/</w:t>
            </w:r>
          </w:p>
        </w:tc>
        <w:tc>
          <w:tcPr>
            <w:tcW w:w="973" w:type="dxa"/>
            <w:shd w:val="clear" w:color="auto" w:fill="auto"/>
            <w:noWrap/>
            <w:vAlign w:val="center"/>
          </w:tcPr>
          <w:p>
            <w:pPr>
              <w:pStyle w:val="63"/>
            </w:pPr>
            <w:r>
              <w:rPr>
                <w:rFonts w:hint="eastAsia"/>
              </w:rPr>
              <w:t>/</w:t>
            </w:r>
          </w:p>
        </w:tc>
        <w:tc>
          <w:tcPr>
            <w:tcW w:w="874" w:type="dxa"/>
            <w:shd w:val="clear" w:color="auto" w:fill="auto"/>
            <w:noWrap/>
            <w:vAlign w:val="center"/>
          </w:tcPr>
          <w:p>
            <w:pPr>
              <w:pStyle w:val="63"/>
            </w:pPr>
            <w:r>
              <w:rPr>
                <w:rFonts w:hint="eastAsia"/>
              </w:rPr>
              <w:t>/</w:t>
            </w:r>
          </w:p>
        </w:tc>
        <w:tc>
          <w:tcPr>
            <w:tcW w:w="682" w:type="dxa"/>
            <w:shd w:val="clear" w:color="auto" w:fill="auto"/>
            <w:noWrap/>
            <w:vAlign w:val="center"/>
          </w:tcPr>
          <w:p>
            <w:pPr>
              <w:pStyle w:val="63"/>
            </w:pPr>
            <w:r>
              <w:rPr>
                <w:rFonts w:hint="eastAsia"/>
              </w:rPr>
              <w:t>/</w:t>
            </w:r>
          </w:p>
        </w:tc>
        <w:tc>
          <w:tcPr>
            <w:tcW w:w="1037" w:type="dxa"/>
            <w:vAlign w:val="center"/>
          </w:tcPr>
          <w:p>
            <w:pPr>
              <w:pStyle w:val="63"/>
            </w:pPr>
            <w:r>
              <w:rPr>
                <w:rFonts w:hint="eastAsia"/>
              </w:rPr>
              <w:t>/</w:t>
            </w:r>
          </w:p>
        </w:tc>
        <w:tc>
          <w:tcPr>
            <w:tcW w:w="682"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7" w:type="dxa"/>
            <w:gridSpan w:val="2"/>
            <w:vAlign w:val="center"/>
          </w:tcPr>
          <w:p>
            <w:pPr>
              <w:pStyle w:val="63"/>
            </w:pPr>
            <w:r>
              <w:rPr>
                <w:rFonts w:hint="eastAsia"/>
              </w:rPr>
              <w:t>标准限值</w:t>
            </w:r>
          </w:p>
        </w:tc>
        <w:tc>
          <w:tcPr>
            <w:tcW w:w="711" w:type="dxa"/>
            <w:shd w:val="clear" w:color="auto" w:fill="auto"/>
            <w:noWrap/>
            <w:vAlign w:val="center"/>
          </w:tcPr>
          <w:p>
            <w:pPr>
              <w:pStyle w:val="63"/>
            </w:pPr>
            <w:r>
              <w:rPr>
                <w:rFonts w:hint="eastAsia"/>
              </w:rPr>
              <w:t>6~9</w:t>
            </w:r>
          </w:p>
        </w:tc>
        <w:tc>
          <w:tcPr>
            <w:tcW w:w="1127" w:type="dxa"/>
            <w:shd w:val="clear" w:color="auto" w:fill="auto"/>
            <w:noWrap/>
            <w:vAlign w:val="center"/>
          </w:tcPr>
          <w:p>
            <w:pPr>
              <w:pStyle w:val="63"/>
            </w:pPr>
            <w:r>
              <w:rPr>
                <w:rFonts w:hint="eastAsia"/>
              </w:rPr>
              <w:t>5</w:t>
            </w:r>
          </w:p>
        </w:tc>
        <w:tc>
          <w:tcPr>
            <w:tcW w:w="711" w:type="dxa"/>
            <w:shd w:val="clear" w:color="auto" w:fill="auto"/>
            <w:noWrap/>
            <w:vAlign w:val="center"/>
          </w:tcPr>
          <w:p>
            <w:pPr>
              <w:pStyle w:val="63"/>
            </w:pPr>
            <w:r>
              <w:t>6</w:t>
            </w:r>
          </w:p>
        </w:tc>
        <w:tc>
          <w:tcPr>
            <w:tcW w:w="669" w:type="dxa"/>
            <w:shd w:val="clear" w:color="auto" w:fill="auto"/>
            <w:noWrap/>
            <w:vAlign w:val="center"/>
          </w:tcPr>
          <w:p>
            <w:pPr>
              <w:pStyle w:val="63"/>
            </w:pPr>
            <w:r>
              <w:t>20</w:t>
            </w:r>
          </w:p>
        </w:tc>
        <w:tc>
          <w:tcPr>
            <w:tcW w:w="810" w:type="dxa"/>
            <w:shd w:val="clear" w:color="auto" w:fill="auto"/>
            <w:noWrap/>
            <w:vAlign w:val="center"/>
          </w:tcPr>
          <w:p>
            <w:pPr>
              <w:pStyle w:val="63"/>
            </w:pPr>
            <w:r>
              <w:t>4</w:t>
            </w:r>
          </w:p>
        </w:tc>
        <w:tc>
          <w:tcPr>
            <w:tcW w:w="1037" w:type="dxa"/>
            <w:shd w:val="clear" w:color="auto" w:fill="auto"/>
            <w:noWrap/>
            <w:vAlign w:val="center"/>
          </w:tcPr>
          <w:p>
            <w:pPr>
              <w:pStyle w:val="63"/>
            </w:pPr>
            <w:r>
              <w:t>1</w:t>
            </w:r>
          </w:p>
        </w:tc>
        <w:tc>
          <w:tcPr>
            <w:tcW w:w="1200" w:type="dxa"/>
            <w:shd w:val="clear" w:color="auto" w:fill="auto"/>
            <w:noWrap/>
            <w:vAlign w:val="center"/>
          </w:tcPr>
          <w:p>
            <w:pPr>
              <w:pStyle w:val="63"/>
            </w:pPr>
            <w:r>
              <w:t>0.2</w:t>
            </w:r>
          </w:p>
        </w:tc>
        <w:tc>
          <w:tcPr>
            <w:tcW w:w="1299" w:type="dxa"/>
            <w:shd w:val="clear" w:color="auto" w:fill="auto"/>
            <w:noWrap/>
            <w:vAlign w:val="center"/>
          </w:tcPr>
          <w:p>
            <w:pPr>
              <w:pStyle w:val="63"/>
            </w:pPr>
            <w:r>
              <w:t>0.005</w:t>
            </w:r>
          </w:p>
        </w:tc>
        <w:tc>
          <w:tcPr>
            <w:tcW w:w="973" w:type="dxa"/>
            <w:shd w:val="clear" w:color="auto" w:fill="auto"/>
            <w:noWrap/>
            <w:vAlign w:val="center"/>
          </w:tcPr>
          <w:p>
            <w:pPr>
              <w:pStyle w:val="63"/>
            </w:pPr>
            <w:r>
              <w:t>0.05</w:t>
            </w:r>
          </w:p>
        </w:tc>
        <w:tc>
          <w:tcPr>
            <w:tcW w:w="874" w:type="dxa"/>
            <w:shd w:val="clear" w:color="auto" w:fill="auto"/>
            <w:noWrap/>
            <w:vAlign w:val="center"/>
          </w:tcPr>
          <w:p>
            <w:pPr>
              <w:pStyle w:val="63"/>
            </w:pPr>
            <w:r>
              <w:t>0.2</w:t>
            </w:r>
          </w:p>
        </w:tc>
        <w:tc>
          <w:tcPr>
            <w:tcW w:w="682" w:type="dxa"/>
            <w:shd w:val="clear" w:color="auto" w:fill="auto"/>
            <w:noWrap/>
            <w:vAlign w:val="center"/>
          </w:tcPr>
          <w:p>
            <w:pPr>
              <w:pStyle w:val="63"/>
            </w:pPr>
            <w:r>
              <w:t>0.05</w:t>
            </w:r>
          </w:p>
        </w:tc>
        <w:tc>
          <w:tcPr>
            <w:tcW w:w="1037" w:type="dxa"/>
            <w:vAlign w:val="center"/>
          </w:tcPr>
          <w:p>
            <w:pPr>
              <w:pStyle w:val="63"/>
            </w:pPr>
            <w:r>
              <w:t>1</w:t>
            </w:r>
          </w:p>
        </w:tc>
        <w:tc>
          <w:tcPr>
            <w:tcW w:w="682" w:type="dxa"/>
            <w:vAlign w:val="center"/>
          </w:tcPr>
          <w:p>
            <w:pPr>
              <w:pStyle w:val="63"/>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7" w:type="dxa"/>
            <w:gridSpan w:val="2"/>
            <w:vAlign w:val="center"/>
          </w:tcPr>
          <w:p>
            <w:pPr>
              <w:pStyle w:val="63"/>
            </w:pPr>
            <w:r>
              <w:rPr>
                <w:rFonts w:hint="eastAsia"/>
              </w:rPr>
              <w:t>单位</w:t>
            </w:r>
          </w:p>
        </w:tc>
        <w:tc>
          <w:tcPr>
            <w:tcW w:w="711" w:type="dxa"/>
            <w:shd w:val="clear" w:color="auto" w:fill="auto"/>
            <w:noWrap/>
            <w:vAlign w:val="center"/>
          </w:tcPr>
          <w:p>
            <w:pPr>
              <w:pStyle w:val="63"/>
            </w:pPr>
            <w:r>
              <w:rPr>
                <w:rFonts w:hint="eastAsia"/>
              </w:rPr>
              <w:t>mg/L</w:t>
            </w:r>
          </w:p>
        </w:tc>
        <w:tc>
          <w:tcPr>
            <w:tcW w:w="1127" w:type="dxa"/>
            <w:shd w:val="clear" w:color="auto" w:fill="auto"/>
            <w:noWrap/>
            <w:vAlign w:val="center"/>
          </w:tcPr>
          <w:p>
            <w:pPr>
              <w:pStyle w:val="63"/>
              <w:rPr>
                <w:spacing w:val="-14"/>
              </w:rPr>
            </w:pPr>
            <w:r>
              <w:rPr>
                <w:rFonts w:hint="eastAsia"/>
                <w:spacing w:val="-14"/>
              </w:rPr>
              <w:t>无量纲</w:t>
            </w:r>
          </w:p>
        </w:tc>
        <w:tc>
          <w:tcPr>
            <w:tcW w:w="711" w:type="dxa"/>
            <w:shd w:val="clear" w:color="auto" w:fill="auto"/>
            <w:noWrap/>
            <w:vAlign w:val="center"/>
          </w:tcPr>
          <w:p>
            <w:pPr>
              <w:pStyle w:val="63"/>
            </w:pPr>
            <w:r>
              <w:rPr>
                <w:rFonts w:hint="eastAsia"/>
              </w:rPr>
              <w:t>mg/L</w:t>
            </w:r>
          </w:p>
        </w:tc>
        <w:tc>
          <w:tcPr>
            <w:tcW w:w="669" w:type="dxa"/>
            <w:shd w:val="clear" w:color="auto" w:fill="auto"/>
            <w:noWrap/>
            <w:vAlign w:val="center"/>
          </w:tcPr>
          <w:p>
            <w:pPr>
              <w:pStyle w:val="63"/>
            </w:pPr>
            <w:r>
              <w:rPr>
                <w:rFonts w:hint="eastAsia"/>
              </w:rPr>
              <w:t>mg/L</w:t>
            </w:r>
          </w:p>
        </w:tc>
        <w:tc>
          <w:tcPr>
            <w:tcW w:w="810" w:type="dxa"/>
            <w:shd w:val="clear" w:color="auto" w:fill="auto"/>
            <w:noWrap/>
            <w:vAlign w:val="center"/>
          </w:tcPr>
          <w:p>
            <w:pPr>
              <w:pStyle w:val="63"/>
            </w:pPr>
            <w:r>
              <w:rPr>
                <w:rFonts w:hint="eastAsia"/>
              </w:rPr>
              <w:t>mg/L</w:t>
            </w:r>
          </w:p>
        </w:tc>
        <w:tc>
          <w:tcPr>
            <w:tcW w:w="1037" w:type="dxa"/>
            <w:shd w:val="clear" w:color="auto" w:fill="auto"/>
            <w:noWrap/>
            <w:vAlign w:val="center"/>
          </w:tcPr>
          <w:p>
            <w:pPr>
              <w:pStyle w:val="63"/>
            </w:pPr>
            <w:r>
              <w:rPr>
                <w:rFonts w:hint="eastAsia"/>
              </w:rPr>
              <w:t>mg/L</w:t>
            </w:r>
          </w:p>
        </w:tc>
        <w:tc>
          <w:tcPr>
            <w:tcW w:w="1200" w:type="dxa"/>
            <w:shd w:val="clear" w:color="auto" w:fill="auto"/>
            <w:noWrap/>
            <w:vAlign w:val="center"/>
          </w:tcPr>
          <w:p>
            <w:pPr>
              <w:pStyle w:val="63"/>
            </w:pPr>
            <w:r>
              <w:rPr>
                <w:rFonts w:hint="eastAsia"/>
              </w:rPr>
              <w:t>mg/L</w:t>
            </w:r>
          </w:p>
        </w:tc>
        <w:tc>
          <w:tcPr>
            <w:tcW w:w="1299" w:type="dxa"/>
            <w:shd w:val="clear" w:color="auto" w:fill="auto"/>
            <w:noWrap/>
            <w:vAlign w:val="center"/>
          </w:tcPr>
          <w:p>
            <w:pPr>
              <w:pStyle w:val="63"/>
            </w:pPr>
            <w:r>
              <w:rPr>
                <w:rFonts w:hint="eastAsia"/>
              </w:rPr>
              <w:t>mg/L</w:t>
            </w:r>
          </w:p>
        </w:tc>
        <w:tc>
          <w:tcPr>
            <w:tcW w:w="973" w:type="dxa"/>
            <w:shd w:val="clear" w:color="auto" w:fill="auto"/>
            <w:noWrap/>
            <w:vAlign w:val="center"/>
          </w:tcPr>
          <w:p>
            <w:pPr>
              <w:pStyle w:val="63"/>
            </w:pPr>
            <w:r>
              <w:rPr>
                <w:rFonts w:hint="eastAsia"/>
              </w:rPr>
              <w:t>mg/L</w:t>
            </w:r>
          </w:p>
        </w:tc>
        <w:tc>
          <w:tcPr>
            <w:tcW w:w="874" w:type="dxa"/>
            <w:shd w:val="clear" w:color="auto" w:fill="auto"/>
            <w:noWrap/>
            <w:vAlign w:val="center"/>
          </w:tcPr>
          <w:p>
            <w:pPr>
              <w:pStyle w:val="63"/>
            </w:pPr>
            <w:r>
              <w:rPr>
                <w:rFonts w:hint="eastAsia"/>
              </w:rPr>
              <w:t>mg/L</w:t>
            </w:r>
          </w:p>
        </w:tc>
        <w:tc>
          <w:tcPr>
            <w:tcW w:w="682" w:type="dxa"/>
            <w:shd w:val="clear" w:color="auto" w:fill="auto"/>
            <w:noWrap/>
            <w:vAlign w:val="center"/>
          </w:tcPr>
          <w:p>
            <w:pPr>
              <w:pStyle w:val="63"/>
            </w:pPr>
            <w:r>
              <w:rPr>
                <w:rFonts w:hint="eastAsia"/>
              </w:rPr>
              <w:t>mg/L</w:t>
            </w:r>
          </w:p>
        </w:tc>
        <w:tc>
          <w:tcPr>
            <w:tcW w:w="1037" w:type="dxa"/>
            <w:vAlign w:val="center"/>
          </w:tcPr>
          <w:p>
            <w:pPr>
              <w:pStyle w:val="63"/>
            </w:pPr>
            <w:r>
              <w:rPr>
                <w:rFonts w:hint="eastAsia"/>
              </w:rPr>
              <w:t>mg/L</w:t>
            </w:r>
          </w:p>
        </w:tc>
        <w:tc>
          <w:tcPr>
            <w:tcW w:w="682" w:type="dxa"/>
            <w:vAlign w:val="center"/>
          </w:tcPr>
          <w:p>
            <w:pPr>
              <w:pStyle w:val="63"/>
            </w:pPr>
            <w:r>
              <w:rPr>
                <w:rFonts w:hint="eastAsia"/>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Align w:val="center"/>
          </w:tcPr>
          <w:p>
            <w:pPr>
              <w:pStyle w:val="63"/>
            </w:pPr>
            <w:r>
              <w:br w:type="page"/>
            </w:r>
            <w:r>
              <w:rPr>
                <w:rFonts w:hint="eastAsia"/>
              </w:rPr>
              <w:t>断面</w:t>
            </w:r>
          </w:p>
        </w:tc>
        <w:tc>
          <w:tcPr>
            <w:tcW w:w="867" w:type="dxa"/>
            <w:vAlign w:val="center"/>
          </w:tcPr>
          <w:p>
            <w:pPr>
              <w:pStyle w:val="63"/>
            </w:pPr>
            <w:r>
              <w:rPr>
                <w:rFonts w:hint="eastAsia"/>
              </w:rPr>
              <w:t>污染物</w:t>
            </w:r>
          </w:p>
        </w:tc>
        <w:tc>
          <w:tcPr>
            <w:tcW w:w="711" w:type="dxa"/>
            <w:shd w:val="clear" w:color="auto" w:fill="auto"/>
            <w:noWrap/>
            <w:vAlign w:val="center"/>
          </w:tcPr>
          <w:p>
            <w:pPr>
              <w:pStyle w:val="63"/>
            </w:pPr>
            <w:r>
              <w:rPr>
                <w:rFonts w:hint="eastAsia"/>
              </w:rPr>
              <w:t>硫化物</w:t>
            </w:r>
          </w:p>
        </w:tc>
        <w:tc>
          <w:tcPr>
            <w:tcW w:w="1127" w:type="dxa"/>
            <w:shd w:val="clear" w:color="auto" w:fill="auto"/>
            <w:noWrap/>
            <w:vAlign w:val="center"/>
          </w:tcPr>
          <w:p>
            <w:pPr>
              <w:pStyle w:val="63"/>
            </w:pPr>
            <w:r>
              <w:rPr>
                <w:rFonts w:hint="eastAsia"/>
              </w:rPr>
              <w:t>粪大肠菌群</w:t>
            </w:r>
          </w:p>
        </w:tc>
        <w:tc>
          <w:tcPr>
            <w:tcW w:w="711" w:type="dxa"/>
            <w:shd w:val="clear" w:color="auto" w:fill="auto"/>
            <w:noWrap/>
            <w:vAlign w:val="center"/>
          </w:tcPr>
          <w:p>
            <w:pPr>
              <w:pStyle w:val="63"/>
            </w:pPr>
            <w:r>
              <w:rPr>
                <w:rFonts w:hint="eastAsia"/>
              </w:rPr>
              <w:t>铜</w:t>
            </w:r>
          </w:p>
        </w:tc>
        <w:tc>
          <w:tcPr>
            <w:tcW w:w="669" w:type="dxa"/>
            <w:shd w:val="clear" w:color="auto" w:fill="auto"/>
            <w:noWrap/>
            <w:vAlign w:val="center"/>
          </w:tcPr>
          <w:p>
            <w:pPr>
              <w:pStyle w:val="63"/>
            </w:pPr>
            <w:r>
              <w:rPr>
                <w:rFonts w:hint="eastAsia"/>
              </w:rPr>
              <w:t>锌</w:t>
            </w:r>
          </w:p>
        </w:tc>
        <w:tc>
          <w:tcPr>
            <w:tcW w:w="810" w:type="dxa"/>
            <w:shd w:val="clear" w:color="auto" w:fill="auto"/>
            <w:noWrap/>
            <w:vAlign w:val="center"/>
          </w:tcPr>
          <w:p>
            <w:pPr>
              <w:pStyle w:val="63"/>
            </w:pPr>
            <w:r>
              <w:rPr>
                <w:rFonts w:hint="eastAsia"/>
              </w:rPr>
              <w:t>硒</w:t>
            </w:r>
          </w:p>
        </w:tc>
        <w:tc>
          <w:tcPr>
            <w:tcW w:w="1037" w:type="dxa"/>
            <w:shd w:val="clear" w:color="auto" w:fill="auto"/>
            <w:noWrap/>
            <w:vAlign w:val="center"/>
          </w:tcPr>
          <w:p>
            <w:pPr>
              <w:pStyle w:val="63"/>
            </w:pPr>
            <w:r>
              <w:rPr>
                <w:rFonts w:hint="eastAsia"/>
              </w:rPr>
              <w:t>汞</w:t>
            </w:r>
          </w:p>
        </w:tc>
        <w:tc>
          <w:tcPr>
            <w:tcW w:w="1200" w:type="dxa"/>
            <w:shd w:val="clear" w:color="auto" w:fill="auto"/>
            <w:noWrap/>
            <w:vAlign w:val="center"/>
          </w:tcPr>
          <w:p>
            <w:pPr>
              <w:pStyle w:val="63"/>
            </w:pPr>
            <w:r>
              <w:rPr>
                <w:rFonts w:hint="eastAsia"/>
              </w:rPr>
              <w:t>砷</w:t>
            </w:r>
          </w:p>
        </w:tc>
        <w:tc>
          <w:tcPr>
            <w:tcW w:w="1299" w:type="dxa"/>
            <w:shd w:val="clear" w:color="auto" w:fill="auto"/>
            <w:noWrap/>
            <w:vAlign w:val="center"/>
          </w:tcPr>
          <w:p>
            <w:pPr>
              <w:pStyle w:val="63"/>
            </w:pPr>
            <w:r>
              <w:rPr>
                <w:rFonts w:hint="eastAsia"/>
              </w:rPr>
              <w:t>铅</w:t>
            </w:r>
          </w:p>
        </w:tc>
        <w:tc>
          <w:tcPr>
            <w:tcW w:w="973" w:type="dxa"/>
            <w:shd w:val="clear" w:color="auto" w:fill="auto"/>
            <w:noWrap/>
            <w:vAlign w:val="center"/>
          </w:tcPr>
          <w:p>
            <w:pPr>
              <w:pStyle w:val="63"/>
            </w:pPr>
            <w:r>
              <w:rPr>
                <w:rFonts w:hint="eastAsia"/>
              </w:rPr>
              <w:t>镉</w:t>
            </w:r>
          </w:p>
        </w:tc>
        <w:tc>
          <w:tcPr>
            <w:tcW w:w="874" w:type="dxa"/>
            <w:shd w:val="clear" w:color="auto" w:fill="auto"/>
            <w:noWrap/>
            <w:vAlign w:val="center"/>
          </w:tcPr>
          <w:p>
            <w:pPr>
              <w:pStyle w:val="63"/>
            </w:pPr>
            <w:r>
              <w:rPr>
                <w:rFonts w:hint="eastAsia"/>
              </w:rPr>
              <w:t>硝酸盐</w:t>
            </w:r>
          </w:p>
        </w:tc>
        <w:tc>
          <w:tcPr>
            <w:tcW w:w="682" w:type="dxa"/>
            <w:shd w:val="clear" w:color="auto" w:fill="auto"/>
            <w:noWrap/>
            <w:vAlign w:val="center"/>
          </w:tcPr>
          <w:p>
            <w:pPr>
              <w:pStyle w:val="63"/>
            </w:pPr>
          </w:p>
        </w:tc>
        <w:tc>
          <w:tcPr>
            <w:tcW w:w="1037" w:type="dxa"/>
            <w:vAlign w:val="center"/>
          </w:tcPr>
          <w:p>
            <w:pPr>
              <w:pStyle w:val="63"/>
            </w:pPr>
          </w:p>
        </w:tc>
        <w:tc>
          <w:tcPr>
            <w:tcW w:w="682"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restart"/>
            <w:vAlign w:val="center"/>
          </w:tcPr>
          <w:p>
            <w:pPr>
              <w:pStyle w:val="63"/>
            </w:pPr>
            <w:r>
              <w:rPr>
                <w:rFonts w:hint="eastAsia"/>
              </w:rPr>
              <w:t>1#朱衣河</w:t>
            </w:r>
          </w:p>
          <w:p>
            <w:pPr>
              <w:pStyle w:val="63"/>
            </w:pPr>
            <w:r>
              <w:rPr>
                <w:rFonts w:hint="eastAsia"/>
              </w:rPr>
              <w:t>朱衣镇断面</w:t>
            </w:r>
          </w:p>
        </w:tc>
        <w:tc>
          <w:tcPr>
            <w:tcW w:w="867" w:type="dxa"/>
            <w:vAlign w:val="center"/>
          </w:tcPr>
          <w:p>
            <w:pPr>
              <w:pStyle w:val="63"/>
            </w:pPr>
            <w:r>
              <w:rPr>
                <w:rFonts w:hint="eastAsia"/>
              </w:rPr>
              <w:t>浓度</w:t>
            </w:r>
          </w:p>
          <w:p>
            <w:pPr>
              <w:pStyle w:val="63"/>
            </w:pPr>
            <w:r>
              <w:rPr>
                <w:rFonts w:hint="eastAsia"/>
              </w:rPr>
              <w:t>范围</w:t>
            </w:r>
          </w:p>
        </w:tc>
        <w:tc>
          <w:tcPr>
            <w:tcW w:w="711" w:type="dxa"/>
            <w:shd w:val="clear" w:color="auto" w:fill="auto"/>
            <w:noWrap/>
            <w:vAlign w:val="center"/>
          </w:tcPr>
          <w:p>
            <w:pPr>
              <w:pStyle w:val="63"/>
              <w:rPr>
                <w:spacing w:val="-12"/>
              </w:rPr>
            </w:pPr>
            <w:r>
              <w:rPr>
                <w:rFonts w:hint="eastAsia"/>
                <w:spacing w:val="-12"/>
              </w:rPr>
              <w:t>0.01L</w:t>
            </w:r>
          </w:p>
        </w:tc>
        <w:tc>
          <w:tcPr>
            <w:tcW w:w="1127" w:type="dxa"/>
            <w:shd w:val="clear" w:color="auto" w:fill="auto"/>
            <w:noWrap/>
            <w:vAlign w:val="center"/>
          </w:tcPr>
          <w:p>
            <w:pPr>
              <w:pStyle w:val="63"/>
              <w:rPr>
                <w:spacing w:val="-12"/>
              </w:rPr>
            </w:pPr>
            <w:r>
              <w:t>2100~3200</w:t>
            </w:r>
          </w:p>
        </w:tc>
        <w:tc>
          <w:tcPr>
            <w:tcW w:w="711" w:type="dxa"/>
            <w:shd w:val="clear" w:color="auto" w:fill="auto"/>
            <w:noWrap/>
            <w:vAlign w:val="center"/>
          </w:tcPr>
          <w:p>
            <w:pPr>
              <w:pStyle w:val="63"/>
              <w:rPr>
                <w:spacing w:val="-12"/>
              </w:rPr>
            </w:pPr>
            <w:r>
              <w:t>0.001L</w:t>
            </w:r>
          </w:p>
        </w:tc>
        <w:tc>
          <w:tcPr>
            <w:tcW w:w="669" w:type="dxa"/>
            <w:shd w:val="clear" w:color="auto" w:fill="auto"/>
            <w:noWrap/>
            <w:vAlign w:val="center"/>
          </w:tcPr>
          <w:p>
            <w:pPr>
              <w:pStyle w:val="63"/>
              <w:rPr>
                <w:spacing w:val="-12"/>
              </w:rPr>
            </w:pPr>
            <w:r>
              <w:t>0.05L</w:t>
            </w:r>
          </w:p>
        </w:tc>
        <w:tc>
          <w:tcPr>
            <w:tcW w:w="810" w:type="dxa"/>
            <w:shd w:val="clear" w:color="auto" w:fill="auto"/>
            <w:noWrap/>
            <w:vAlign w:val="center"/>
          </w:tcPr>
          <w:p>
            <w:pPr>
              <w:pStyle w:val="63"/>
              <w:rPr>
                <w:spacing w:val="-12"/>
              </w:rPr>
            </w:pPr>
            <w:r>
              <w:t>0.0004L</w:t>
            </w:r>
          </w:p>
        </w:tc>
        <w:tc>
          <w:tcPr>
            <w:tcW w:w="1037" w:type="dxa"/>
            <w:shd w:val="clear" w:color="auto" w:fill="auto"/>
            <w:noWrap/>
            <w:vAlign w:val="center"/>
          </w:tcPr>
          <w:p>
            <w:pPr>
              <w:pStyle w:val="63"/>
              <w:rPr>
                <w:spacing w:val="-12"/>
              </w:rPr>
            </w:pPr>
            <w:r>
              <w:t>0.00004L</w:t>
            </w:r>
          </w:p>
        </w:tc>
        <w:tc>
          <w:tcPr>
            <w:tcW w:w="1200" w:type="dxa"/>
            <w:shd w:val="clear" w:color="auto" w:fill="auto"/>
            <w:noWrap/>
            <w:vAlign w:val="center"/>
          </w:tcPr>
          <w:p>
            <w:pPr>
              <w:pStyle w:val="63"/>
              <w:rPr>
                <w:spacing w:val="-12"/>
              </w:rPr>
            </w:pPr>
            <w:r>
              <w:t>0.0003L</w:t>
            </w:r>
          </w:p>
        </w:tc>
        <w:tc>
          <w:tcPr>
            <w:tcW w:w="1299" w:type="dxa"/>
            <w:shd w:val="clear" w:color="auto" w:fill="auto"/>
            <w:noWrap/>
            <w:vAlign w:val="center"/>
          </w:tcPr>
          <w:p>
            <w:pPr>
              <w:pStyle w:val="63"/>
              <w:rPr>
                <w:spacing w:val="-16"/>
              </w:rPr>
            </w:pPr>
            <w:r>
              <w:t>0.002L</w:t>
            </w:r>
          </w:p>
        </w:tc>
        <w:tc>
          <w:tcPr>
            <w:tcW w:w="973" w:type="dxa"/>
            <w:shd w:val="clear" w:color="auto" w:fill="auto"/>
            <w:noWrap/>
            <w:vAlign w:val="center"/>
          </w:tcPr>
          <w:p>
            <w:pPr>
              <w:pStyle w:val="63"/>
            </w:pPr>
            <w:r>
              <w:t>0.0001L</w:t>
            </w:r>
          </w:p>
        </w:tc>
        <w:tc>
          <w:tcPr>
            <w:tcW w:w="874" w:type="dxa"/>
            <w:shd w:val="clear" w:color="auto" w:fill="auto"/>
            <w:noWrap/>
            <w:vAlign w:val="center"/>
          </w:tcPr>
          <w:p>
            <w:pPr>
              <w:pStyle w:val="63"/>
              <w:rPr>
                <w:spacing w:val="-13"/>
              </w:rPr>
            </w:pPr>
            <w:r>
              <w:t>3.72~4.07</w:t>
            </w:r>
          </w:p>
        </w:tc>
        <w:tc>
          <w:tcPr>
            <w:tcW w:w="682" w:type="dxa"/>
            <w:shd w:val="clear" w:color="auto" w:fill="auto"/>
            <w:noWrap/>
            <w:vAlign w:val="center"/>
          </w:tcPr>
          <w:p>
            <w:pPr>
              <w:pStyle w:val="63"/>
              <w:rPr>
                <w:spacing w:val="-20"/>
              </w:rPr>
            </w:pPr>
          </w:p>
        </w:tc>
        <w:tc>
          <w:tcPr>
            <w:tcW w:w="1037" w:type="dxa"/>
            <w:vAlign w:val="center"/>
          </w:tcPr>
          <w:p>
            <w:pPr>
              <w:pStyle w:val="63"/>
              <w:rPr>
                <w:spacing w:val="-12"/>
              </w:rPr>
            </w:pPr>
          </w:p>
        </w:tc>
        <w:tc>
          <w:tcPr>
            <w:tcW w:w="682" w:type="dxa"/>
            <w:vAlign w:val="center"/>
          </w:tcPr>
          <w:p>
            <w:pPr>
              <w:pStyle w:val="63"/>
              <w:rPr>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continue"/>
            <w:vAlign w:val="center"/>
          </w:tcPr>
          <w:p>
            <w:pPr>
              <w:pStyle w:val="63"/>
            </w:pPr>
          </w:p>
        </w:tc>
        <w:tc>
          <w:tcPr>
            <w:tcW w:w="867" w:type="dxa"/>
            <w:vAlign w:val="center"/>
          </w:tcPr>
          <w:p>
            <w:pPr>
              <w:pStyle w:val="63"/>
            </w:pPr>
            <w:r>
              <w:rPr>
                <w:rFonts w:hint="eastAsia"/>
              </w:rPr>
              <w:t>Pi值</w:t>
            </w:r>
          </w:p>
        </w:tc>
        <w:tc>
          <w:tcPr>
            <w:tcW w:w="711" w:type="dxa"/>
            <w:shd w:val="clear" w:color="auto" w:fill="auto"/>
            <w:noWrap/>
            <w:vAlign w:val="center"/>
          </w:tcPr>
          <w:p>
            <w:pPr>
              <w:pStyle w:val="63"/>
            </w:pPr>
            <w:r>
              <w:rPr>
                <w:rFonts w:hint="eastAsia"/>
              </w:rPr>
              <w:t>/</w:t>
            </w:r>
          </w:p>
        </w:tc>
        <w:tc>
          <w:tcPr>
            <w:tcW w:w="1127" w:type="dxa"/>
            <w:shd w:val="clear" w:color="auto" w:fill="auto"/>
            <w:noWrap/>
            <w:vAlign w:val="center"/>
          </w:tcPr>
          <w:p>
            <w:pPr>
              <w:pStyle w:val="63"/>
            </w:pPr>
            <w:r>
              <w:t>0.32</w:t>
            </w:r>
          </w:p>
        </w:tc>
        <w:tc>
          <w:tcPr>
            <w:tcW w:w="711" w:type="dxa"/>
            <w:shd w:val="clear" w:color="auto" w:fill="auto"/>
            <w:noWrap/>
            <w:vAlign w:val="center"/>
          </w:tcPr>
          <w:p>
            <w:pPr>
              <w:pStyle w:val="63"/>
            </w:pPr>
            <w:r>
              <w:rPr>
                <w:rFonts w:hint="eastAsia"/>
              </w:rPr>
              <w:t>/</w:t>
            </w:r>
          </w:p>
        </w:tc>
        <w:tc>
          <w:tcPr>
            <w:tcW w:w="669" w:type="dxa"/>
            <w:shd w:val="clear" w:color="auto" w:fill="auto"/>
            <w:noWrap/>
            <w:vAlign w:val="center"/>
          </w:tcPr>
          <w:p>
            <w:pPr>
              <w:pStyle w:val="63"/>
            </w:pPr>
            <w:r>
              <w:rPr>
                <w:rFonts w:hint="eastAsia"/>
              </w:rPr>
              <w:t>/</w:t>
            </w:r>
          </w:p>
        </w:tc>
        <w:tc>
          <w:tcPr>
            <w:tcW w:w="810" w:type="dxa"/>
            <w:shd w:val="clear" w:color="auto" w:fill="auto"/>
            <w:noWrap/>
            <w:vAlign w:val="center"/>
          </w:tcPr>
          <w:p>
            <w:pPr>
              <w:pStyle w:val="63"/>
            </w:pPr>
            <w:r>
              <w:rPr>
                <w:rFonts w:hint="eastAsia"/>
              </w:rPr>
              <w:t>/</w:t>
            </w:r>
          </w:p>
        </w:tc>
        <w:tc>
          <w:tcPr>
            <w:tcW w:w="1037" w:type="dxa"/>
            <w:shd w:val="clear" w:color="auto" w:fill="auto"/>
            <w:noWrap/>
            <w:vAlign w:val="center"/>
          </w:tcPr>
          <w:p>
            <w:pPr>
              <w:pStyle w:val="63"/>
            </w:pPr>
            <w:r>
              <w:rPr>
                <w:rFonts w:hint="eastAsia"/>
              </w:rPr>
              <w:t>/</w:t>
            </w:r>
          </w:p>
        </w:tc>
        <w:tc>
          <w:tcPr>
            <w:tcW w:w="1200" w:type="dxa"/>
            <w:shd w:val="clear" w:color="auto" w:fill="auto"/>
            <w:noWrap/>
            <w:vAlign w:val="center"/>
          </w:tcPr>
          <w:p>
            <w:pPr>
              <w:pStyle w:val="63"/>
            </w:pPr>
            <w:r>
              <w:rPr>
                <w:rFonts w:hint="eastAsia"/>
              </w:rPr>
              <w:t>/</w:t>
            </w:r>
          </w:p>
        </w:tc>
        <w:tc>
          <w:tcPr>
            <w:tcW w:w="1299" w:type="dxa"/>
            <w:shd w:val="clear" w:color="auto" w:fill="auto"/>
            <w:noWrap/>
            <w:vAlign w:val="center"/>
          </w:tcPr>
          <w:p>
            <w:pPr>
              <w:pStyle w:val="63"/>
            </w:pPr>
            <w:r>
              <w:rPr>
                <w:rFonts w:hint="eastAsia"/>
              </w:rPr>
              <w:t>/</w:t>
            </w:r>
          </w:p>
        </w:tc>
        <w:tc>
          <w:tcPr>
            <w:tcW w:w="973" w:type="dxa"/>
            <w:shd w:val="clear" w:color="auto" w:fill="auto"/>
            <w:noWrap/>
            <w:vAlign w:val="center"/>
          </w:tcPr>
          <w:p>
            <w:pPr>
              <w:pStyle w:val="63"/>
            </w:pPr>
            <w:r>
              <w:rPr>
                <w:rFonts w:hint="eastAsia"/>
              </w:rPr>
              <w:t>/</w:t>
            </w:r>
          </w:p>
        </w:tc>
        <w:tc>
          <w:tcPr>
            <w:tcW w:w="874" w:type="dxa"/>
            <w:shd w:val="clear" w:color="auto" w:fill="auto"/>
            <w:noWrap/>
            <w:vAlign w:val="center"/>
          </w:tcPr>
          <w:p>
            <w:pPr>
              <w:pStyle w:val="63"/>
            </w:pPr>
            <w:r>
              <w:t>0.407</w:t>
            </w:r>
          </w:p>
        </w:tc>
        <w:tc>
          <w:tcPr>
            <w:tcW w:w="682" w:type="dxa"/>
            <w:shd w:val="clear" w:color="auto" w:fill="auto"/>
            <w:noWrap/>
            <w:vAlign w:val="center"/>
          </w:tcPr>
          <w:p>
            <w:pPr>
              <w:pStyle w:val="63"/>
            </w:pPr>
          </w:p>
        </w:tc>
        <w:tc>
          <w:tcPr>
            <w:tcW w:w="1037" w:type="dxa"/>
            <w:vAlign w:val="center"/>
          </w:tcPr>
          <w:p>
            <w:pPr>
              <w:pStyle w:val="63"/>
            </w:pPr>
          </w:p>
        </w:tc>
        <w:tc>
          <w:tcPr>
            <w:tcW w:w="682"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continue"/>
            <w:vAlign w:val="center"/>
          </w:tcPr>
          <w:p>
            <w:pPr>
              <w:pStyle w:val="63"/>
            </w:pPr>
          </w:p>
        </w:tc>
        <w:tc>
          <w:tcPr>
            <w:tcW w:w="867" w:type="dxa"/>
            <w:vAlign w:val="center"/>
          </w:tcPr>
          <w:p>
            <w:pPr>
              <w:pStyle w:val="63"/>
            </w:pPr>
            <w:r>
              <w:rPr>
                <w:rFonts w:hint="eastAsia"/>
              </w:rPr>
              <w:t>超标率</w:t>
            </w:r>
          </w:p>
          <w:p>
            <w:pPr>
              <w:pStyle w:val="63"/>
            </w:pPr>
            <w:r>
              <w:rPr>
                <w:rFonts w:hint="eastAsia"/>
              </w:rPr>
              <w:t>%</w:t>
            </w:r>
          </w:p>
        </w:tc>
        <w:tc>
          <w:tcPr>
            <w:tcW w:w="711" w:type="dxa"/>
            <w:shd w:val="clear" w:color="auto" w:fill="auto"/>
            <w:noWrap/>
            <w:vAlign w:val="center"/>
          </w:tcPr>
          <w:p>
            <w:pPr>
              <w:pStyle w:val="63"/>
            </w:pPr>
            <w:r>
              <w:rPr>
                <w:rFonts w:hint="eastAsia"/>
              </w:rPr>
              <w:t>/</w:t>
            </w:r>
          </w:p>
        </w:tc>
        <w:tc>
          <w:tcPr>
            <w:tcW w:w="1127" w:type="dxa"/>
            <w:shd w:val="clear" w:color="auto" w:fill="auto"/>
            <w:noWrap/>
            <w:vAlign w:val="center"/>
          </w:tcPr>
          <w:p>
            <w:pPr>
              <w:pStyle w:val="63"/>
            </w:pPr>
            <w:r>
              <w:rPr>
                <w:rFonts w:hint="eastAsia"/>
              </w:rPr>
              <w:t>/</w:t>
            </w:r>
          </w:p>
        </w:tc>
        <w:tc>
          <w:tcPr>
            <w:tcW w:w="711" w:type="dxa"/>
            <w:shd w:val="clear" w:color="auto" w:fill="auto"/>
            <w:noWrap/>
            <w:vAlign w:val="center"/>
          </w:tcPr>
          <w:p>
            <w:pPr>
              <w:pStyle w:val="63"/>
            </w:pPr>
            <w:r>
              <w:rPr>
                <w:rFonts w:hint="eastAsia"/>
              </w:rPr>
              <w:t>/</w:t>
            </w:r>
          </w:p>
        </w:tc>
        <w:tc>
          <w:tcPr>
            <w:tcW w:w="669" w:type="dxa"/>
            <w:shd w:val="clear" w:color="auto" w:fill="auto"/>
            <w:noWrap/>
            <w:vAlign w:val="center"/>
          </w:tcPr>
          <w:p>
            <w:pPr>
              <w:pStyle w:val="63"/>
            </w:pPr>
            <w:r>
              <w:rPr>
                <w:rFonts w:hint="eastAsia"/>
              </w:rPr>
              <w:t>/</w:t>
            </w:r>
          </w:p>
        </w:tc>
        <w:tc>
          <w:tcPr>
            <w:tcW w:w="810" w:type="dxa"/>
            <w:shd w:val="clear" w:color="auto" w:fill="auto"/>
            <w:noWrap/>
            <w:vAlign w:val="center"/>
          </w:tcPr>
          <w:p>
            <w:pPr>
              <w:pStyle w:val="63"/>
            </w:pPr>
            <w:r>
              <w:rPr>
                <w:rFonts w:hint="eastAsia"/>
              </w:rPr>
              <w:t>/</w:t>
            </w:r>
          </w:p>
        </w:tc>
        <w:tc>
          <w:tcPr>
            <w:tcW w:w="1037" w:type="dxa"/>
            <w:shd w:val="clear" w:color="auto" w:fill="auto"/>
            <w:noWrap/>
            <w:vAlign w:val="center"/>
          </w:tcPr>
          <w:p>
            <w:pPr>
              <w:pStyle w:val="63"/>
            </w:pPr>
            <w:r>
              <w:rPr>
                <w:rFonts w:hint="eastAsia"/>
              </w:rPr>
              <w:t>/</w:t>
            </w:r>
          </w:p>
        </w:tc>
        <w:tc>
          <w:tcPr>
            <w:tcW w:w="1200" w:type="dxa"/>
            <w:shd w:val="clear" w:color="auto" w:fill="auto"/>
            <w:noWrap/>
            <w:vAlign w:val="center"/>
          </w:tcPr>
          <w:p>
            <w:pPr>
              <w:pStyle w:val="63"/>
            </w:pPr>
            <w:r>
              <w:rPr>
                <w:rFonts w:hint="eastAsia"/>
              </w:rPr>
              <w:t>/</w:t>
            </w:r>
          </w:p>
        </w:tc>
        <w:tc>
          <w:tcPr>
            <w:tcW w:w="1299" w:type="dxa"/>
            <w:shd w:val="clear" w:color="auto" w:fill="auto"/>
            <w:noWrap/>
            <w:vAlign w:val="center"/>
          </w:tcPr>
          <w:p>
            <w:pPr>
              <w:pStyle w:val="63"/>
            </w:pPr>
            <w:r>
              <w:rPr>
                <w:rFonts w:hint="eastAsia"/>
              </w:rPr>
              <w:t>/</w:t>
            </w:r>
          </w:p>
        </w:tc>
        <w:tc>
          <w:tcPr>
            <w:tcW w:w="973" w:type="dxa"/>
            <w:shd w:val="clear" w:color="auto" w:fill="auto"/>
            <w:noWrap/>
            <w:vAlign w:val="center"/>
          </w:tcPr>
          <w:p>
            <w:pPr>
              <w:pStyle w:val="63"/>
            </w:pPr>
            <w:r>
              <w:rPr>
                <w:rFonts w:hint="eastAsia"/>
              </w:rPr>
              <w:t>/</w:t>
            </w:r>
          </w:p>
        </w:tc>
        <w:tc>
          <w:tcPr>
            <w:tcW w:w="874" w:type="dxa"/>
            <w:shd w:val="clear" w:color="auto" w:fill="auto"/>
            <w:noWrap/>
            <w:vAlign w:val="center"/>
          </w:tcPr>
          <w:p>
            <w:pPr>
              <w:pStyle w:val="63"/>
            </w:pPr>
            <w:r>
              <w:rPr>
                <w:rFonts w:hint="eastAsia"/>
              </w:rPr>
              <w:t>/</w:t>
            </w:r>
          </w:p>
        </w:tc>
        <w:tc>
          <w:tcPr>
            <w:tcW w:w="682" w:type="dxa"/>
            <w:shd w:val="clear" w:color="auto" w:fill="auto"/>
            <w:noWrap/>
            <w:vAlign w:val="center"/>
          </w:tcPr>
          <w:p>
            <w:pPr>
              <w:pStyle w:val="63"/>
            </w:pPr>
          </w:p>
        </w:tc>
        <w:tc>
          <w:tcPr>
            <w:tcW w:w="1037" w:type="dxa"/>
            <w:vAlign w:val="center"/>
          </w:tcPr>
          <w:p>
            <w:pPr>
              <w:pStyle w:val="63"/>
            </w:pPr>
          </w:p>
        </w:tc>
        <w:tc>
          <w:tcPr>
            <w:tcW w:w="682"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restart"/>
            <w:vAlign w:val="center"/>
          </w:tcPr>
          <w:p>
            <w:pPr>
              <w:pStyle w:val="63"/>
            </w:pPr>
            <w:r>
              <w:rPr>
                <w:rFonts w:hint="eastAsia"/>
              </w:rPr>
              <w:t>2#朱衣河</w:t>
            </w:r>
          </w:p>
          <w:p>
            <w:pPr>
              <w:pStyle w:val="63"/>
            </w:pPr>
            <w:r>
              <w:rPr>
                <w:rFonts w:hint="eastAsia"/>
              </w:rPr>
              <w:t>帽峰断面</w:t>
            </w:r>
          </w:p>
        </w:tc>
        <w:tc>
          <w:tcPr>
            <w:tcW w:w="867" w:type="dxa"/>
            <w:vAlign w:val="center"/>
          </w:tcPr>
          <w:p>
            <w:pPr>
              <w:pStyle w:val="63"/>
            </w:pPr>
            <w:r>
              <w:rPr>
                <w:rFonts w:hint="eastAsia"/>
              </w:rPr>
              <w:t>浓度</w:t>
            </w:r>
          </w:p>
          <w:p>
            <w:pPr>
              <w:pStyle w:val="63"/>
            </w:pPr>
            <w:r>
              <w:rPr>
                <w:rFonts w:hint="eastAsia"/>
              </w:rPr>
              <w:t>范围</w:t>
            </w:r>
          </w:p>
        </w:tc>
        <w:tc>
          <w:tcPr>
            <w:tcW w:w="711" w:type="dxa"/>
            <w:shd w:val="clear" w:color="auto" w:fill="auto"/>
            <w:noWrap/>
            <w:vAlign w:val="center"/>
          </w:tcPr>
          <w:p>
            <w:pPr>
              <w:pStyle w:val="63"/>
              <w:rPr>
                <w:spacing w:val="-12"/>
              </w:rPr>
            </w:pPr>
            <w:r>
              <w:rPr>
                <w:rFonts w:hint="eastAsia"/>
                <w:spacing w:val="-12"/>
              </w:rPr>
              <w:t>0.04</w:t>
            </w:r>
          </w:p>
        </w:tc>
        <w:tc>
          <w:tcPr>
            <w:tcW w:w="1127" w:type="dxa"/>
            <w:shd w:val="clear" w:color="auto" w:fill="auto"/>
            <w:noWrap/>
            <w:vAlign w:val="center"/>
          </w:tcPr>
          <w:p>
            <w:pPr>
              <w:pStyle w:val="63"/>
              <w:rPr>
                <w:spacing w:val="-12"/>
              </w:rPr>
            </w:pPr>
            <w:r>
              <w:rPr>
                <w:rFonts w:hint="eastAsia"/>
                <w:szCs w:val="21"/>
              </w:rPr>
              <w:t>40~46MPN/L</w:t>
            </w:r>
          </w:p>
        </w:tc>
        <w:tc>
          <w:tcPr>
            <w:tcW w:w="711" w:type="dxa"/>
            <w:shd w:val="clear" w:color="auto" w:fill="auto"/>
            <w:noWrap/>
            <w:vAlign w:val="center"/>
          </w:tcPr>
          <w:p>
            <w:pPr>
              <w:pStyle w:val="63"/>
              <w:rPr>
                <w:spacing w:val="-12"/>
              </w:rPr>
            </w:pPr>
            <w:r>
              <w:t>0.02L</w:t>
            </w:r>
          </w:p>
        </w:tc>
        <w:tc>
          <w:tcPr>
            <w:tcW w:w="669" w:type="dxa"/>
            <w:shd w:val="clear" w:color="auto" w:fill="auto"/>
            <w:noWrap/>
            <w:vAlign w:val="center"/>
          </w:tcPr>
          <w:p>
            <w:pPr>
              <w:pStyle w:val="63"/>
              <w:rPr>
                <w:spacing w:val="-12"/>
              </w:rPr>
            </w:pPr>
            <w:r>
              <w:t>0.02L</w:t>
            </w:r>
          </w:p>
        </w:tc>
        <w:tc>
          <w:tcPr>
            <w:tcW w:w="810" w:type="dxa"/>
            <w:shd w:val="clear" w:color="auto" w:fill="auto"/>
            <w:noWrap/>
            <w:vAlign w:val="center"/>
          </w:tcPr>
          <w:p>
            <w:pPr>
              <w:pStyle w:val="63"/>
              <w:rPr>
                <w:spacing w:val="-12"/>
              </w:rPr>
            </w:pPr>
            <w:r>
              <w:t>0.0004L</w:t>
            </w:r>
          </w:p>
        </w:tc>
        <w:tc>
          <w:tcPr>
            <w:tcW w:w="1037" w:type="dxa"/>
            <w:shd w:val="clear" w:color="auto" w:fill="auto"/>
            <w:noWrap/>
            <w:vAlign w:val="center"/>
          </w:tcPr>
          <w:p>
            <w:pPr>
              <w:pStyle w:val="63"/>
              <w:rPr>
                <w:spacing w:val="-12"/>
              </w:rPr>
            </w:pPr>
            <w:r>
              <w:t>0.00004L</w:t>
            </w:r>
          </w:p>
        </w:tc>
        <w:tc>
          <w:tcPr>
            <w:tcW w:w="1200" w:type="dxa"/>
            <w:shd w:val="clear" w:color="auto" w:fill="auto"/>
            <w:noWrap/>
            <w:vAlign w:val="center"/>
          </w:tcPr>
          <w:p>
            <w:pPr>
              <w:pStyle w:val="63"/>
              <w:rPr>
                <w:spacing w:val="-12"/>
              </w:rPr>
            </w:pPr>
            <w:r>
              <w:t>0.0005~0.0006</w:t>
            </w:r>
          </w:p>
        </w:tc>
        <w:tc>
          <w:tcPr>
            <w:tcW w:w="1299" w:type="dxa"/>
            <w:shd w:val="clear" w:color="auto" w:fill="auto"/>
            <w:noWrap/>
            <w:vAlign w:val="center"/>
          </w:tcPr>
          <w:p>
            <w:pPr>
              <w:pStyle w:val="63"/>
              <w:rPr>
                <w:spacing w:val="-16"/>
              </w:rPr>
            </w:pPr>
            <w:r>
              <w:t>0.01L</w:t>
            </w:r>
          </w:p>
        </w:tc>
        <w:tc>
          <w:tcPr>
            <w:tcW w:w="973" w:type="dxa"/>
            <w:shd w:val="clear" w:color="auto" w:fill="auto"/>
            <w:noWrap/>
            <w:vAlign w:val="center"/>
          </w:tcPr>
          <w:p>
            <w:pPr>
              <w:pStyle w:val="63"/>
              <w:rPr>
                <w:spacing w:val="-16"/>
              </w:rPr>
            </w:pPr>
            <w:r>
              <w:t>0.001L</w:t>
            </w:r>
          </w:p>
        </w:tc>
        <w:tc>
          <w:tcPr>
            <w:tcW w:w="874" w:type="dxa"/>
            <w:shd w:val="clear" w:color="auto" w:fill="auto"/>
            <w:noWrap/>
            <w:vAlign w:val="center"/>
          </w:tcPr>
          <w:p>
            <w:pPr>
              <w:pStyle w:val="63"/>
              <w:rPr>
                <w:spacing w:val="-16"/>
              </w:rPr>
            </w:pPr>
            <w:r>
              <w:t>1.54~1.90</w:t>
            </w:r>
          </w:p>
        </w:tc>
        <w:tc>
          <w:tcPr>
            <w:tcW w:w="682" w:type="dxa"/>
            <w:shd w:val="clear" w:color="auto" w:fill="auto"/>
            <w:noWrap/>
            <w:vAlign w:val="center"/>
          </w:tcPr>
          <w:p>
            <w:pPr>
              <w:pStyle w:val="63"/>
            </w:pPr>
          </w:p>
        </w:tc>
        <w:tc>
          <w:tcPr>
            <w:tcW w:w="1037" w:type="dxa"/>
            <w:vAlign w:val="center"/>
          </w:tcPr>
          <w:p>
            <w:pPr>
              <w:pStyle w:val="63"/>
              <w:rPr>
                <w:spacing w:val="-12"/>
              </w:rPr>
            </w:pPr>
          </w:p>
        </w:tc>
        <w:tc>
          <w:tcPr>
            <w:tcW w:w="682" w:type="dxa"/>
            <w:vAlign w:val="center"/>
          </w:tcPr>
          <w:p>
            <w:pPr>
              <w:pStyle w:val="63"/>
              <w:rPr>
                <w:spacing w:val="-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continue"/>
            <w:vAlign w:val="center"/>
          </w:tcPr>
          <w:p>
            <w:pPr>
              <w:pStyle w:val="63"/>
            </w:pPr>
          </w:p>
        </w:tc>
        <w:tc>
          <w:tcPr>
            <w:tcW w:w="867" w:type="dxa"/>
            <w:vAlign w:val="center"/>
          </w:tcPr>
          <w:p>
            <w:pPr>
              <w:pStyle w:val="63"/>
            </w:pPr>
            <w:r>
              <w:rPr>
                <w:rFonts w:hint="eastAsia"/>
              </w:rPr>
              <w:t>Pi值</w:t>
            </w:r>
          </w:p>
        </w:tc>
        <w:tc>
          <w:tcPr>
            <w:tcW w:w="711" w:type="dxa"/>
            <w:shd w:val="clear" w:color="auto" w:fill="auto"/>
            <w:noWrap/>
            <w:vAlign w:val="center"/>
          </w:tcPr>
          <w:p>
            <w:pPr>
              <w:pStyle w:val="63"/>
            </w:pPr>
            <w:r>
              <w:rPr>
                <w:rFonts w:hint="eastAsia"/>
              </w:rPr>
              <w:t>0.2</w:t>
            </w:r>
          </w:p>
        </w:tc>
        <w:tc>
          <w:tcPr>
            <w:tcW w:w="1127" w:type="dxa"/>
            <w:shd w:val="clear" w:color="auto" w:fill="auto"/>
            <w:noWrap/>
            <w:vAlign w:val="center"/>
          </w:tcPr>
          <w:p>
            <w:pPr>
              <w:pStyle w:val="63"/>
            </w:pPr>
            <w:r>
              <w:rPr>
                <w:rFonts w:hint="eastAsia"/>
              </w:rPr>
              <w:t>-</w:t>
            </w:r>
          </w:p>
        </w:tc>
        <w:tc>
          <w:tcPr>
            <w:tcW w:w="711" w:type="dxa"/>
            <w:shd w:val="clear" w:color="auto" w:fill="auto"/>
            <w:noWrap/>
            <w:vAlign w:val="center"/>
          </w:tcPr>
          <w:p>
            <w:pPr>
              <w:pStyle w:val="63"/>
            </w:pPr>
            <w:r>
              <w:rPr>
                <w:rFonts w:hint="eastAsia"/>
              </w:rPr>
              <w:t>/</w:t>
            </w:r>
          </w:p>
        </w:tc>
        <w:tc>
          <w:tcPr>
            <w:tcW w:w="669" w:type="dxa"/>
            <w:shd w:val="clear" w:color="auto" w:fill="auto"/>
            <w:noWrap/>
            <w:vAlign w:val="center"/>
          </w:tcPr>
          <w:p>
            <w:pPr>
              <w:pStyle w:val="63"/>
            </w:pPr>
            <w:r>
              <w:rPr>
                <w:rFonts w:hint="eastAsia"/>
              </w:rPr>
              <w:t>/</w:t>
            </w:r>
          </w:p>
        </w:tc>
        <w:tc>
          <w:tcPr>
            <w:tcW w:w="810" w:type="dxa"/>
            <w:shd w:val="clear" w:color="auto" w:fill="auto"/>
            <w:noWrap/>
            <w:vAlign w:val="center"/>
          </w:tcPr>
          <w:p>
            <w:pPr>
              <w:pStyle w:val="63"/>
            </w:pPr>
            <w:r>
              <w:rPr>
                <w:rFonts w:hint="eastAsia"/>
              </w:rPr>
              <w:t>/</w:t>
            </w:r>
          </w:p>
        </w:tc>
        <w:tc>
          <w:tcPr>
            <w:tcW w:w="1037" w:type="dxa"/>
            <w:shd w:val="clear" w:color="auto" w:fill="auto"/>
            <w:noWrap/>
            <w:vAlign w:val="center"/>
          </w:tcPr>
          <w:p>
            <w:pPr>
              <w:pStyle w:val="63"/>
            </w:pPr>
            <w:r>
              <w:rPr>
                <w:rFonts w:hint="eastAsia"/>
              </w:rPr>
              <w:t>/</w:t>
            </w:r>
          </w:p>
        </w:tc>
        <w:tc>
          <w:tcPr>
            <w:tcW w:w="1200" w:type="dxa"/>
            <w:shd w:val="clear" w:color="auto" w:fill="auto"/>
            <w:noWrap/>
            <w:vAlign w:val="center"/>
          </w:tcPr>
          <w:p>
            <w:pPr>
              <w:pStyle w:val="63"/>
            </w:pPr>
            <w:r>
              <w:rPr>
                <w:rFonts w:hint="eastAsia"/>
              </w:rPr>
              <w:t>0.12</w:t>
            </w:r>
          </w:p>
        </w:tc>
        <w:tc>
          <w:tcPr>
            <w:tcW w:w="1299" w:type="dxa"/>
            <w:shd w:val="clear" w:color="auto" w:fill="auto"/>
            <w:noWrap/>
            <w:vAlign w:val="center"/>
          </w:tcPr>
          <w:p>
            <w:pPr>
              <w:pStyle w:val="63"/>
            </w:pPr>
            <w:r>
              <w:rPr>
                <w:rFonts w:hint="eastAsia"/>
              </w:rPr>
              <w:t>/</w:t>
            </w:r>
          </w:p>
        </w:tc>
        <w:tc>
          <w:tcPr>
            <w:tcW w:w="973" w:type="dxa"/>
            <w:shd w:val="clear" w:color="auto" w:fill="auto"/>
            <w:noWrap/>
            <w:vAlign w:val="center"/>
          </w:tcPr>
          <w:p>
            <w:pPr>
              <w:pStyle w:val="63"/>
            </w:pPr>
            <w:r>
              <w:rPr>
                <w:rFonts w:hint="eastAsia"/>
              </w:rPr>
              <w:t>/</w:t>
            </w:r>
          </w:p>
        </w:tc>
        <w:tc>
          <w:tcPr>
            <w:tcW w:w="874" w:type="dxa"/>
            <w:shd w:val="clear" w:color="auto" w:fill="auto"/>
            <w:noWrap/>
            <w:vAlign w:val="center"/>
          </w:tcPr>
          <w:p>
            <w:pPr>
              <w:pStyle w:val="63"/>
            </w:pPr>
          </w:p>
        </w:tc>
        <w:tc>
          <w:tcPr>
            <w:tcW w:w="682" w:type="dxa"/>
            <w:shd w:val="clear" w:color="auto" w:fill="auto"/>
            <w:noWrap/>
            <w:vAlign w:val="center"/>
          </w:tcPr>
          <w:p>
            <w:pPr>
              <w:pStyle w:val="63"/>
            </w:pPr>
          </w:p>
        </w:tc>
        <w:tc>
          <w:tcPr>
            <w:tcW w:w="1037" w:type="dxa"/>
            <w:vAlign w:val="center"/>
          </w:tcPr>
          <w:p>
            <w:pPr>
              <w:pStyle w:val="63"/>
            </w:pPr>
          </w:p>
        </w:tc>
        <w:tc>
          <w:tcPr>
            <w:tcW w:w="682"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0" w:type="dxa"/>
            <w:vMerge w:val="continue"/>
            <w:vAlign w:val="center"/>
          </w:tcPr>
          <w:p>
            <w:pPr>
              <w:pStyle w:val="63"/>
            </w:pPr>
          </w:p>
        </w:tc>
        <w:tc>
          <w:tcPr>
            <w:tcW w:w="867" w:type="dxa"/>
            <w:vAlign w:val="center"/>
          </w:tcPr>
          <w:p>
            <w:pPr>
              <w:pStyle w:val="63"/>
            </w:pPr>
            <w:r>
              <w:rPr>
                <w:rFonts w:hint="eastAsia"/>
              </w:rPr>
              <w:t>超标率</w:t>
            </w:r>
          </w:p>
          <w:p>
            <w:pPr>
              <w:pStyle w:val="63"/>
            </w:pPr>
            <w:r>
              <w:rPr>
                <w:rFonts w:hint="eastAsia"/>
              </w:rPr>
              <w:t>%</w:t>
            </w:r>
          </w:p>
        </w:tc>
        <w:tc>
          <w:tcPr>
            <w:tcW w:w="711" w:type="dxa"/>
            <w:shd w:val="clear" w:color="auto" w:fill="auto"/>
            <w:noWrap/>
            <w:vAlign w:val="center"/>
          </w:tcPr>
          <w:p>
            <w:pPr>
              <w:pStyle w:val="63"/>
            </w:pPr>
            <w:r>
              <w:rPr>
                <w:rFonts w:hint="eastAsia"/>
              </w:rPr>
              <w:t>/</w:t>
            </w:r>
          </w:p>
        </w:tc>
        <w:tc>
          <w:tcPr>
            <w:tcW w:w="1127" w:type="dxa"/>
            <w:shd w:val="clear" w:color="auto" w:fill="auto"/>
            <w:noWrap/>
            <w:vAlign w:val="center"/>
          </w:tcPr>
          <w:p>
            <w:pPr>
              <w:pStyle w:val="63"/>
            </w:pPr>
            <w:r>
              <w:t>/</w:t>
            </w:r>
          </w:p>
        </w:tc>
        <w:tc>
          <w:tcPr>
            <w:tcW w:w="711" w:type="dxa"/>
            <w:shd w:val="clear" w:color="auto" w:fill="auto"/>
            <w:noWrap/>
            <w:vAlign w:val="center"/>
          </w:tcPr>
          <w:p>
            <w:pPr>
              <w:pStyle w:val="63"/>
            </w:pPr>
            <w:r>
              <w:t>/</w:t>
            </w:r>
          </w:p>
        </w:tc>
        <w:tc>
          <w:tcPr>
            <w:tcW w:w="669" w:type="dxa"/>
            <w:shd w:val="clear" w:color="auto" w:fill="auto"/>
            <w:noWrap/>
            <w:vAlign w:val="center"/>
          </w:tcPr>
          <w:p>
            <w:pPr>
              <w:pStyle w:val="63"/>
            </w:pPr>
            <w:r>
              <w:t>/</w:t>
            </w:r>
          </w:p>
        </w:tc>
        <w:tc>
          <w:tcPr>
            <w:tcW w:w="810" w:type="dxa"/>
            <w:shd w:val="clear" w:color="auto" w:fill="auto"/>
            <w:noWrap/>
            <w:vAlign w:val="center"/>
          </w:tcPr>
          <w:p>
            <w:pPr>
              <w:pStyle w:val="63"/>
            </w:pPr>
            <w:r>
              <w:t>/</w:t>
            </w:r>
          </w:p>
        </w:tc>
        <w:tc>
          <w:tcPr>
            <w:tcW w:w="1037" w:type="dxa"/>
            <w:shd w:val="clear" w:color="auto" w:fill="auto"/>
            <w:noWrap/>
            <w:vAlign w:val="center"/>
          </w:tcPr>
          <w:p>
            <w:pPr>
              <w:pStyle w:val="63"/>
            </w:pPr>
            <w:r>
              <w:t>/</w:t>
            </w:r>
          </w:p>
        </w:tc>
        <w:tc>
          <w:tcPr>
            <w:tcW w:w="1200" w:type="dxa"/>
            <w:shd w:val="clear" w:color="auto" w:fill="auto"/>
            <w:noWrap/>
            <w:vAlign w:val="center"/>
          </w:tcPr>
          <w:p>
            <w:pPr>
              <w:pStyle w:val="63"/>
            </w:pPr>
            <w:r>
              <w:t>/</w:t>
            </w:r>
          </w:p>
        </w:tc>
        <w:tc>
          <w:tcPr>
            <w:tcW w:w="1299" w:type="dxa"/>
            <w:shd w:val="clear" w:color="auto" w:fill="auto"/>
            <w:noWrap/>
            <w:vAlign w:val="center"/>
          </w:tcPr>
          <w:p>
            <w:pPr>
              <w:pStyle w:val="63"/>
            </w:pPr>
            <w:r>
              <w:t>/</w:t>
            </w:r>
          </w:p>
        </w:tc>
        <w:tc>
          <w:tcPr>
            <w:tcW w:w="973" w:type="dxa"/>
            <w:shd w:val="clear" w:color="auto" w:fill="auto"/>
            <w:noWrap/>
            <w:vAlign w:val="center"/>
          </w:tcPr>
          <w:p>
            <w:pPr>
              <w:pStyle w:val="63"/>
            </w:pPr>
            <w:r>
              <w:t>/</w:t>
            </w:r>
          </w:p>
        </w:tc>
        <w:tc>
          <w:tcPr>
            <w:tcW w:w="874" w:type="dxa"/>
            <w:shd w:val="clear" w:color="auto" w:fill="auto"/>
            <w:noWrap/>
            <w:vAlign w:val="center"/>
          </w:tcPr>
          <w:p>
            <w:pPr>
              <w:pStyle w:val="63"/>
            </w:pPr>
            <w:r>
              <w:t>/</w:t>
            </w:r>
          </w:p>
        </w:tc>
        <w:tc>
          <w:tcPr>
            <w:tcW w:w="682" w:type="dxa"/>
            <w:shd w:val="clear" w:color="auto" w:fill="auto"/>
            <w:noWrap/>
            <w:vAlign w:val="center"/>
          </w:tcPr>
          <w:p>
            <w:pPr>
              <w:pStyle w:val="63"/>
            </w:pPr>
          </w:p>
        </w:tc>
        <w:tc>
          <w:tcPr>
            <w:tcW w:w="1037" w:type="dxa"/>
            <w:vAlign w:val="center"/>
          </w:tcPr>
          <w:p>
            <w:pPr>
              <w:pStyle w:val="63"/>
            </w:pPr>
          </w:p>
        </w:tc>
        <w:tc>
          <w:tcPr>
            <w:tcW w:w="682"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7" w:type="dxa"/>
            <w:gridSpan w:val="2"/>
            <w:vAlign w:val="center"/>
          </w:tcPr>
          <w:p>
            <w:pPr>
              <w:pStyle w:val="63"/>
            </w:pPr>
            <w:r>
              <w:rPr>
                <w:rFonts w:hint="eastAsia"/>
              </w:rPr>
              <w:t>标准限值</w:t>
            </w:r>
          </w:p>
        </w:tc>
        <w:tc>
          <w:tcPr>
            <w:tcW w:w="711" w:type="dxa"/>
            <w:shd w:val="clear" w:color="auto" w:fill="auto"/>
            <w:noWrap/>
            <w:vAlign w:val="center"/>
          </w:tcPr>
          <w:p>
            <w:pPr>
              <w:pStyle w:val="63"/>
            </w:pPr>
            <w:r>
              <w:rPr>
                <w:rFonts w:hint="eastAsia"/>
              </w:rPr>
              <w:t>0.2</w:t>
            </w:r>
          </w:p>
        </w:tc>
        <w:tc>
          <w:tcPr>
            <w:tcW w:w="1127" w:type="dxa"/>
            <w:shd w:val="clear" w:color="auto" w:fill="auto"/>
            <w:noWrap/>
            <w:vAlign w:val="center"/>
          </w:tcPr>
          <w:p>
            <w:pPr>
              <w:pStyle w:val="63"/>
            </w:pPr>
            <w:r>
              <w:rPr>
                <w:rFonts w:hint="eastAsia"/>
              </w:rPr>
              <w:t>10000</w:t>
            </w:r>
          </w:p>
        </w:tc>
        <w:tc>
          <w:tcPr>
            <w:tcW w:w="711" w:type="dxa"/>
            <w:shd w:val="clear" w:color="auto" w:fill="auto"/>
            <w:noWrap/>
            <w:vAlign w:val="center"/>
          </w:tcPr>
          <w:p>
            <w:pPr>
              <w:pStyle w:val="63"/>
            </w:pPr>
            <w:r>
              <w:rPr>
                <w:rFonts w:hint="eastAsia"/>
              </w:rPr>
              <w:t>1</w:t>
            </w:r>
          </w:p>
        </w:tc>
        <w:tc>
          <w:tcPr>
            <w:tcW w:w="669" w:type="dxa"/>
            <w:shd w:val="clear" w:color="auto" w:fill="auto"/>
            <w:noWrap/>
            <w:vAlign w:val="center"/>
          </w:tcPr>
          <w:p>
            <w:pPr>
              <w:pStyle w:val="63"/>
            </w:pPr>
            <w:r>
              <w:rPr>
                <w:rFonts w:hint="eastAsia"/>
              </w:rPr>
              <w:t>1</w:t>
            </w:r>
          </w:p>
        </w:tc>
        <w:tc>
          <w:tcPr>
            <w:tcW w:w="810" w:type="dxa"/>
            <w:shd w:val="clear" w:color="auto" w:fill="auto"/>
            <w:noWrap/>
            <w:vAlign w:val="center"/>
          </w:tcPr>
          <w:p>
            <w:pPr>
              <w:pStyle w:val="63"/>
            </w:pPr>
            <w:r>
              <w:rPr>
                <w:rFonts w:hint="eastAsia"/>
              </w:rPr>
              <w:t>0.01</w:t>
            </w:r>
          </w:p>
        </w:tc>
        <w:tc>
          <w:tcPr>
            <w:tcW w:w="1037" w:type="dxa"/>
            <w:shd w:val="clear" w:color="auto" w:fill="auto"/>
            <w:noWrap/>
            <w:vAlign w:val="center"/>
          </w:tcPr>
          <w:p>
            <w:pPr>
              <w:pStyle w:val="63"/>
            </w:pPr>
            <w:r>
              <w:rPr>
                <w:rFonts w:hint="eastAsia"/>
              </w:rPr>
              <w:t>0.0001</w:t>
            </w:r>
          </w:p>
        </w:tc>
        <w:tc>
          <w:tcPr>
            <w:tcW w:w="1200" w:type="dxa"/>
            <w:shd w:val="clear" w:color="auto" w:fill="auto"/>
            <w:noWrap/>
            <w:vAlign w:val="center"/>
          </w:tcPr>
          <w:p>
            <w:pPr>
              <w:pStyle w:val="63"/>
            </w:pPr>
            <w:r>
              <w:rPr>
                <w:rFonts w:hint="eastAsia"/>
              </w:rPr>
              <w:t>0.05</w:t>
            </w:r>
          </w:p>
        </w:tc>
        <w:tc>
          <w:tcPr>
            <w:tcW w:w="1299" w:type="dxa"/>
            <w:shd w:val="clear" w:color="auto" w:fill="auto"/>
            <w:noWrap/>
            <w:vAlign w:val="center"/>
          </w:tcPr>
          <w:p>
            <w:pPr>
              <w:pStyle w:val="63"/>
            </w:pPr>
            <w:r>
              <w:rPr>
                <w:rFonts w:hint="eastAsia"/>
              </w:rPr>
              <w:t>0.05</w:t>
            </w:r>
          </w:p>
        </w:tc>
        <w:tc>
          <w:tcPr>
            <w:tcW w:w="973" w:type="dxa"/>
            <w:shd w:val="clear" w:color="auto" w:fill="auto"/>
            <w:noWrap/>
            <w:vAlign w:val="center"/>
          </w:tcPr>
          <w:p>
            <w:pPr>
              <w:pStyle w:val="63"/>
            </w:pPr>
            <w:r>
              <w:rPr>
                <w:rFonts w:hint="eastAsia"/>
              </w:rPr>
              <w:t>0.005</w:t>
            </w:r>
          </w:p>
        </w:tc>
        <w:tc>
          <w:tcPr>
            <w:tcW w:w="874" w:type="dxa"/>
            <w:shd w:val="clear" w:color="auto" w:fill="auto"/>
            <w:noWrap/>
            <w:vAlign w:val="center"/>
          </w:tcPr>
          <w:p>
            <w:pPr>
              <w:pStyle w:val="63"/>
            </w:pPr>
            <w:r>
              <w:rPr>
                <w:rFonts w:hint="eastAsia"/>
              </w:rPr>
              <w:t>10</w:t>
            </w:r>
          </w:p>
        </w:tc>
        <w:tc>
          <w:tcPr>
            <w:tcW w:w="682" w:type="dxa"/>
            <w:shd w:val="clear" w:color="auto" w:fill="auto"/>
            <w:noWrap/>
            <w:vAlign w:val="center"/>
          </w:tcPr>
          <w:p>
            <w:pPr>
              <w:pStyle w:val="63"/>
            </w:pPr>
          </w:p>
        </w:tc>
        <w:tc>
          <w:tcPr>
            <w:tcW w:w="1037" w:type="dxa"/>
            <w:vAlign w:val="center"/>
          </w:tcPr>
          <w:p>
            <w:pPr>
              <w:pStyle w:val="63"/>
            </w:pPr>
          </w:p>
        </w:tc>
        <w:tc>
          <w:tcPr>
            <w:tcW w:w="682"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7" w:type="dxa"/>
            <w:gridSpan w:val="2"/>
            <w:vAlign w:val="center"/>
          </w:tcPr>
          <w:p>
            <w:pPr>
              <w:pStyle w:val="63"/>
            </w:pPr>
            <w:r>
              <w:rPr>
                <w:rFonts w:hint="eastAsia"/>
              </w:rPr>
              <w:t>单位</w:t>
            </w:r>
          </w:p>
        </w:tc>
        <w:tc>
          <w:tcPr>
            <w:tcW w:w="711" w:type="dxa"/>
            <w:shd w:val="clear" w:color="auto" w:fill="auto"/>
            <w:noWrap/>
            <w:vAlign w:val="center"/>
          </w:tcPr>
          <w:p>
            <w:pPr>
              <w:pStyle w:val="63"/>
            </w:pPr>
            <w:r>
              <w:rPr>
                <w:rFonts w:hint="eastAsia"/>
              </w:rPr>
              <w:t>mg/L</w:t>
            </w:r>
          </w:p>
        </w:tc>
        <w:tc>
          <w:tcPr>
            <w:tcW w:w="1127" w:type="dxa"/>
            <w:shd w:val="clear" w:color="auto" w:fill="auto"/>
            <w:noWrap/>
            <w:vAlign w:val="center"/>
          </w:tcPr>
          <w:p>
            <w:pPr>
              <w:pStyle w:val="63"/>
            </w:pPr>
            <w:r>
              <w:rPr>
                <w:rFonts w:hint="eastAsia"/>
              </w:rPr>
              <w:t>个/L</w:t>
            </w:r>
          </w:p>
        </w:tc>
        <w:tc>
          <w:tcPr>
            <w:tcW w:w="711" w:type="dxa"/>
            <w:shd w:val="clear" w:color="auto" w:fill="auto"/>
            <w:noWrap/>
            <w:vAlign w:val="center"/>
          </w:tcPr>
          <w:p>
            <w:pPr>
              <w:pStyle w:val="63"/>
            </w:pPr>
            <w:r>
              <w:rPr>
                <w:rFonts w:hint="eastAsia"/>
              </w:rPr>
              <w:t>mg/L</w:t>
            </w:r>
          </w:p>
        </w:tc>
        <w:tc>
          <w:tcPr>
            <w:tcW w:w="669" w:type="dxa"/>
            <w:shd w:val="clear" w:color="auto" w:fill="auto"/>
            <w:noWrap/>
            <w:vAlign w:val="center"/>
          </w:tcPr>
          <w:p>
            <w:pPr>
              <w:pStyle w:val="63"/>
            </w:pPr>
            <w:r>
              <w:rPr>
                <w:rFonts w:hint="eastAsia"/>
              </w:rPr>
              <w:t>mg/L</w:t>
            </w:r>
          </w:p>
        </w:tc>
        <w:tc>
          <w:tcPr>
            <w:tcW w:w="810" w:type="dxa"/>
            <w:shd w:val="clear" w:color="auto" w:fill="auto"/>
            <w:noWrap/>
            <w:vAlign w:val="center"/>
          </w:tcPr>
          <w:p>
            <w:pPr>
              <w:pStyle w:val="63"/>
            </w:pPr>
            <w:r>
              <w:rPr>
                <w:rFonts w:hint="eastAsia"/>
              </w:rPr>
              <w:t>mg/L</w:t>
            </w:r>
          </w:p>
        </w:tc>
        <w:tc>
          <w:tcPr>
            <w:tcW w:w="1037" w:type="dxa"/>
            <w:shd w:val="clear" w:color="auto" w:fill="auto"/>
            <w:noWrap/>
            <w:vAlign w:val="center"/>
          </w:tcPr>
          <w:p>
            <w:pPr>
              <w:pStyle w:val="63"/>
            </w:pPr>
            <w:r>
              <w:rPr>
                <w:rFonts w:hint="eastAsia"/>
              </w:rPr>
              <w:t>mg/L</w:t>
            </w:r>
          </w:p>
        </w:tc>
        <w:tc>
          <w:tcPr>
            <w:tcW w:w="1200" w:type="dxa"/>
            <w:shd w:val="clear" w:color="auto" w:fill="auto"/>
            <w:noWrap/>
            <w:vAlign w:val="center"/>
          </w:tcPr>
          <w:p>
            <w:pPr>
              <w:pStyle w:val="63"/>
            </w:pPr>
            <w:r>
              <w:rPr>
                <w:rFonts w:hint="eastAsia"/>
              </w:rPr>
              <w:t>mg/L</w:t>
            </w:r>
          </w:p>
        </w:tc>
        <w:tc>
          <w:tcPr>
            <w:tcW w:w="1299" w:type="dxa"/>
            <w:shd w:val="clear" w:color="auto" w:fill="auto"/>
            <w:noWrap/>
            <w:vAlign w:val="center"/>
          </w:tcPr>
          <w:p>
            <w:pPr>
              <w:pStyle w:val="63"/>
            </w:pPr>
            <w:r>
              <w:rPr>
                <w:rFonts w:hint="eastAsia"/>
              </w:rPr>
              <w:t>mg/L</w:t>
            </w:r>
          </w:p>
        </w:tc>
        <w:tc>
          <w:tcPr>
            <w:tcW w:w="973" w:type="dxa"/>
            <w:shd w:val="clear" w:color="auto" w:fill="auto"/>
            <w:noWrap/>
            <w:vAlign w:val="center"/>
          </w:tcPr>
          <w:p>
            <w:pPr>
              <w:pStyle w:val="63"/>
            </w:pPr>
            <w:r>
              <w:rPr>
                <w:rFonts w:hint="eastAsia"/>
              </w:rPr>
              <w:t>mg/L</w:t>
            </w:r>
          </w:p>
        </w:tc>
        <w:tc>
          <w:tcPr>
            <w:tcW w:w="874" w:type="dxa"/>
            <w:shd w:val="clear" w:color="auto" w:fill="auto"/>
            <w:noWrap/>
            <w:vAlign w:val="center"/>
          </w:tcPr>
          <w:p>
            <w:pPr>
              <w:pStyle w:val="63"/>
            </w:pPr>
            <w:r>
              <w:rPr>
                <w:rFonts w:hint="eastAsia"/>
              </w:rPr>
              <w:t>mg/L</w:t>
            </w:r>
          </w:p>
        </w:tc>
        <w:tc>
          <w:tcPr>
            <w:tcW w:w="682" w:type="dxa"/>
            <w:shd w:val="clear" w:color="auto" w:fill="auto"/>
            <w:noWrap/>
            <w:vAlign w:val="center"/>
          </w:tcPr>
          <w:p>
            <w:pPr>
              <w:pStyle w:val="63"/>
            </w:pPr>
          </w:p>
        </w:tc>
        <w:tc>
          <w:tcPr>
            <w:tcW w:w="1037" w:type="dxa"/>
            <w:vAlign w:val="center"/>
          </w:tcPr>
          <w:p>
            <w:pPr>
              <w:pStyle w:val="63"/>
            </w:pPr>
          </w:p>
        </w:tc>
        <w:tc>
          <w:tcPr>
            <w:tcW w:w="682" w:type="dxa"/>
            <w:vAlign w:val="center"/>
          </w:tcPr>
          <w:p>
            <w:pPr>
              <w:pStyle w:val="63"/>
            </w:pPr>
          </w:p>
        </w:tc>
      </w:tr>
    </w:tbl>
    <w:p>
      <w:pPr>
        <w:pStyle w:val="63"/>
        <w:jc w:val="left"/>
        <w:sectPr>
          <w:pgSz w:w="16838" w:h="11906" w:orient="landscape"/>
          <w:pgMar w:top="1474" w:right="1701" w:bottom="1474" w:left="1418" w:header="851" w:footer="992" w:gutter="0"/>
          <w:cols w:space="425" w:num="1"/>
          <w:titlePg/>
          <w:docGrid w:type="lines" w:linePitch="326" w:charSpace="0"/>
        </w:sectPr>
      </w:pPr>
    </w:p>
    <w:p>
      <w:pPr>
        <w:pStyle w:val="4"/>
        <w:spacing w:before="156" w:after="156"/>
      </w:pPr>
      <w:r>
        <w:rPr>
          <w:rFonts w:hint="eastAsia"/>
        </w:rPr>
        <w:t>水资源开发利用状况调查</w:t>
      </w:r>
    </w:p>
    <w:p>
      <w:pPr>
        <w:pStyle w:val="5"/>
        <w:numPr>
          <w:ilvl w:val="0"/>
          <w:numId w:val="22"/>
        </w:numPr>
        <w:ind w:firstLineChars="0"/>
      </w:pPr>
      <w:r>
        <w:rPr>
          <w:rFonts w:hint="eastAsia"/>
        </w:rPr>
        <w:t>水资源现状</w:t>
      </w:r>
    </w:p>
    <w:p>
      <w:pPr>
        <w:pStyle w:val="5"/>
        <w:ind w:firstLine="480"/>
      </w:pPr>
      <w:r>
        <w:rPr>
          <w:rFonts w:hint="eastAsia"/>
        </w:rPr>
        <w:t>本次评价引用《</w:t>
      </w:r>
      <w:r>
        <w:t>2022年重庆市水资源公报》进行奉节县水资源评价。</w:t>
      </w:r>
    </w:p>
    <w:p>
      <w:pPr>
        <w:pStyle w:val="5"/>
        <w:ind w:firstLine="480"/>
      </w:pPr>
      <w:r>
        <w:rPr>
          <w:rFonts w:hint="eastAsia"/>
        </w:rPr>
        <w:t>2022年奉节县水资源量见</w:t>
      </w:r>
      <w:r>
        <w:fldChar w:fldCharType="begin"/>
      </w:r>
      <w:r>
        <w:instrText xml:space="preserve"> </w:instrText>
      </w:r>
      <w:r>
        <w:rPr>
          <w:rFonts w:hint="eastAsia"/>
        </w:rPr>
        <w:instrText xml:space="preserve">REF _Ref167975902 \h</w:instrText>
      </w:r>
      <w:r>
        <w:instrText xml:space="preserve">  \* MERGEFORMAT </w:instrText>
      </w:r>
      <w:r>
        <w:fldChar w:fldCharType="separate"/>
      </w:r>
      <w:r>
        <w:rPr>
          <w:rFonts w:hint="eastAsia"/>
        </w:rPr>
        <w:t xml:space="preserve">表 </w:t>
      </w:r>
      <w:r>
        <w:t>3.2</w:t>
      </w:r>
      <w:r>
        <w:noBreakHyphen/>
      </w:r>
      <w:r>
        <w:t>4</w:t>
      </w:r>
      <w:r>
        <w:fldChar w:fldCharType="end"/>
      </w:r>
      <w:r>
        <w:rPr>
          <w:rFonts w:hint="eastAsia"/>
        </w:rPr>
        <w:t>。</w:t>
      </w:r>
    </w:p>
    <w:p>
      <w:pPr>
        <w:pStyle w:val="14"/>
        <w:keepNext/>
      </w:pPr>
      <w:bookmarkStart w:id="106" w:name="_Ref167975902"/>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106"/>
      <w:r>
        <w:rPr>
          <w:rFonts w:hint="eastAsia"/>
        </w:rPr>
        <w:t xml:space="preserve">   2022年奉节县水资源量  mm，亿m</w:t>
      </w:r>
      <w:r>
        <w:rPr>
          <w:rFonts w:hint="eastAsia"/>
          <w:vertAlign w:val="superscript"/>
        </w:rPr>
        <w:t>3</w:t>
      </w:r>
      <w:r>
        <w:rPr>
          <w:rFonts w:hint="eastAsia"/>
        </w:rPr>
        <w:t>、亿m</w:t>
      </w:r>
      <w:r>
        <w:rPr>
          <w:rFonts w:hint="eastAsia"/>
          <w:vertAlign w:val="superscript"/>
        </w:rPr>
        <w:t>3</w:t>
      </w:r>
      <w:r>
        <w:rPr>
          <w:rFonts w:hint="eastAsia"/>
        </w:rPr>
        <w:t>/km</w:t>
      </w:r>
      <w:r>
        <w:rPr>
          <w:rFonts w:hint="eastAsia"/>
          <w:vertAlign w:val="superscript"/>
        </w:rPr>
        <w:t>2</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118"/>
        <w:gridCol w:w="1118"/>
        <w:gridCol w:w="1118"/>
        <w:gridCol w:w="1119"/>
        <w:gridCol w:w="1119"/>
        <w:gridCol w:w="1119"/>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8" w:type="dxa"/>
            <w:vAlign w:val="center"/>
          </w:tcPr>
          <w:p>
            <w:pPr>
              <w:pStyle w:val="63"/>
            </w:pPr>
            <w:r>
              <w:rPr>
                <w:rFonts w:hint="eastAsia"/>
              </w:rPr>
              <w:t>区县</w:t>
            </w:r>
          </w:p>
        </w:tc>
        <w:tc>
          <w:tcPr>
            <w:tcW w:w="1118" w:type="dxa"/>
            <w:vAlign w:val="center"/>
          </w:tcPr>
          <w:p>
            <w:pPr>
              <w:pStyle w:val="63"/>
            </w:pPr>
            <w:r>
              <w:rPr>
                <w:rFonts w:hint="eastAsia"/>
              </w:rPr>
              <w:t>降水深</w:t>
            </w:r>
          </w:p>
        </w:tc>
        <w:tc>
          <w:tcPr>
            <w:tcW w:w="1118" w:type="dxa"/>
            <w:vAlign w:val="center"/>
          </w:tcPr>
          <w:p>
            <w:pPr>
              <w:pStyle w:val="63"/>
            </w:pPr>
            <w:r>
              <w:rPr>
                <w:rFonts w:hint="eastAsia"/>
              </w:rPr>
              <w:t>地表水</w:t>
            </w:r>
          </w:p>
          <w:p>
            <w:pPr>
              <w:pStyle w:val="63"/>
            </w:pPr>
            <w:r>
              <w:rPr>
                <w:rFonts w:hint="eastAsia"/>
              </w:rPr>
              <w:t>资源量</w:t>
            </w:r>
          </w:p>
        </w:tc>
        <w:tc>
          <w:tcPr>
            <w:tcW w:w="1118" w:type="dxa"/>
            <w:vAlign w:val="center"/>
          </w:tcPr>
          <w:p>
            <w:pPr>
              <w:pStyle w:val="63"/>
            </w:pPr>
            <w:r>
              <w:rPr>
                <w:rFonts w:hint="eastAsia"/>
              </w:rPr>
              <w:t>地下水</w:t>
            </w:r>
          </w:p>
          <w:p>
            <w:pPr>
              <w:pStyle w:val="63"/>
            </w:pPr>
            <w:r>
              <w:rPr>
                <w:rFonts w:hint="eastAsia"/>
              </w:rPr>
              <w:t>资源量</w:t>
            </w:r>
          </w:p>
        </w:tc>
        <w:tc>
          <w:tcPr>
            <w:tcW w:w="1119" w:type="dxa"/>
            <w:vAlign w:val="center"/>
          </w:tcPr>
          <w:p>
            <w:pPr>
              <w:pStyle w:val="63"/>
            </w:pPr>
            <w:r>
              <w:rPr>
                <w:rFonts w:hint="eastAsia"/>
              </w:rPr>
              <w:t>重复</w:t>
            </w:r>
          </w:p>
          <w:p>
            <w:pPr>
              <w:pStyle w:val="63"/>
            </w:pPr>
            <w:r>
              <w:rPr>
                <w:rFonts w:hint="eastAsia"/>
              </w:rPr>
              <w:t>计算量</w:t>
            </w:r>
          </w:p>
        </w:tc>
        <w:tc>
          <w:tcPr>
            <w:tcW w:w="1119" w:type="dxa"/>
            <w:vAlign w:val="center"/>
          </w:tcPr>
          <w:p>
            <w:pPr>
              <w:pStyle w:val="63"/>
            </w:pPr>
            <w:r>
              <w:rPr>
                <w:rFonts w:hint="eastAsia"/>
              </w:rPr>
              <w:t>水资源</w:t>
            </w:r>
          </w:p>
          <w:p>
            <w:pPr>
              <w:pStyle w:val="63"/>
            </w:pPr>
            <w:r>
              <w:rPr>
                <w:rFonts w:hint="eastAsia"/>
              </w:rPr>
              <w:t>总量</w:t>
            </w:r>
          </w:p>
        </w:tc>
        <w:tc>
          <w:tcPr>
            <w:tcW w:w="1119" w:type="dxa"/>
            <w:vAlign w:val="center"/>
          </w:tcPr>
          <w:p>
            <w:pPr>
              <w:pStyle w:val="63"/>
            </w:pPr>
            <w:r>
              <w:rPr>
                <w:rFonts w:hint="eastAsia"/>
              </w:rPr>
              <w:t>产水系数</w:t>
            </w:r>
          </w:p>
        </w:tc>
        <w:tc>
          <w:tcPr>
            <w:tcW w:w="1119" w:type="dxa"/>
            <w:vAlign w:val="center"/>
          </w:tcPr>
          <w:p>
            <w:pPr>
              <w:pStyle w:val="63"/>
            </w:pPr>
            <w:r>
              <w:rPr>
                <w:rFonts w:hint="eastAsia"/>
              </w:rPr>
              <w:t>产水模数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8" w:type="dxa"/>
            <w:vAlign w:val="center"/>
          </w:tcPr>
          <w:p>
            <w:pPr>
              <w:pStyle w:val="63"/>
            </w:pPr>
            <w:r>
              <w:rPr>
                <w:rFonts w:hint="eastAsia"/>
              </w:rPr>
              <w:t>奉节县</w:t>
            </w:r>
          </w:p>
        </w:tc>
        <w:tc>
          <w:tcPr>
            <w:tcW w:w="1118" w:type="dxa"/>
            <w:vAlign w:val="center"/>
          </w:tcPr>
          <w:p>
            <w:pPr>
              <w:pStyle w:val="63"/>
            </w:pPr>
            <w:r>
              <w:rPr>
                <w:rFonts w:hint="eastAsia"/>
              </w:rPr>
              <w:t>781.4</w:t>
            </w:r>
          </w:p>
        </w:tc>
        <w:tc>
          <w:tcPr>
            <w:tcW w:w="1118" w:type="dxa"/>
            <w:vAlign w:val="center"/>
          </w:tcPr>
          <w:p>
            <w:pPr>
              <w:pStyle w:val="63"/>
            </w:pPr>
            <w:r>
              <w:rPr>
                <w:rFonts w:hint="eastAsia"/>
              </w:rPr>
              <w:t>8.87</w:t>
            </w:r>
          </w:p>
        </w:tc>
        <w:tc>
          <w:tcPr>
            <w:tcW w:w="1118" w:type="dxa"/>
            <w:vAlign w:val="center"/>
          </w:tcPr>
          <w:p>
            <w:pPr>
              <w:pStyle w:val="63"/>
            </w:pPr>
            <w:r>
              <w:rPr>
                <w:rFonts w:hint="eastAsia"/>
              </w:rPr>
              <w:t>5.86</w:t>
            </w:r>
          </w:p>
        </w:tc>
        <w:tc>
          <w:tcPr>
            <w:tcW w:w="1119" w:type="dxa"/>
            <w:vAlign w:val="center"/>
          </w:tcPr>
          <w:p>
            <w:pPr>
              <w:pStyle w:val="63"/>
            </w:pPr>
            <w:r>
              <w:rPr>
                <w:rFonts w:hint="eastAsia"/>
              </w:rPr>
              <w:t>5.86</w:t>
            </w:r>
          </w:p>
        </w:tc>
        <w:tc>
          <w:tcPr>
            <w:tcW w:w="1119" w:type="dxa"/>
            <w:vAlign w:val="center"/>
          </w:tcPr>
          <w:p>
            <w:pPr>
              <w:pStyle w:val="63"/>
            </w:pPr>
            <w:r>
              <w:rPr>
                <w:rFonts w:hint="eastAsia"/>
              </w:rPr>
              <w:t>8.87</w:t>
            </w:r>
          </w:p>
        </w:tc>
        <w:tc>
          <w:tcPr>
            <w:tcW w:w="1119" w:type="dxa"/>
            <w:vAlign w:val="center"/>
          </w:tcPr>
          <w:p>
            <w:pPr>
              <w:pStyle w:val="63"/>
            </w:pPr>
            <w:r>
              <w:rPr>
                <w:rFonts w:hint="eastAsia"/>
              </w:rPr>
              <w:t>0.28</w:t>
            </w:r>
          </w:p>
        </w:tc>
        <w:tc>
          <w:tcPr>
            <w:tcW w:w="1119" w:type="dxa"/>
            <w:vAlign w:val="center"/>
          </w:tcPr>
          <w:p>
            <w:pPr>
              <w:pStyle w:val="63"/>
            </w:pPr>
            <w:r>
              <w:rPr>
                <w:rFonts w:hint="eastAsia"/>
              </w:rPr>
              <w:t>21.71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gridSpan w:val="8"/>
          </w:tcPr>
          <w:p>
            <w:pPr>
              <w:pStyle w:val="64"/>
            </w:pPr>
            <w:r>
              <w:rPr>
                <w:rFonts w:hint="eastAsia"/>
              </w:rPr>
              <w:t>水资源总量指评价区内当地降水形成的地表和地下产水量，不包括外来水量，由地表水资源量和地下水资源量相加，扣除两者间相互转换的重复计算量而得；</w:t>
            </w:r>
          </w:p>
        </w:tc>
      </w:tr>
    </w:tbl>
    <w:p>
      <w:pPr>
        <w:pStyle w:val="63"/>
      </w:pPr>
    </w:p>
    <w:p>
      <w:pPr>
        <w:pStyle w:val="5"/>
        <w:ind w:firstLine="480"/>
      </w:pPr>
      <w:r>
        <w:rPr>
          <w:rFonts w:hint="eastAsia"/>
        </w:rPr>
        <w:t>2022年奉节县供水和用水量见</w:t>
      </w:r>
      <w:r>
        <w:fldChar w:fldCharType="begin"/>
      </w:r>
      <w:r>
        <w:instrText xml:space="preserve"> </w:instrText>
      </w:r>
      <w:r>
        <w:rPr>
          <w:rFonts w:hint="eastAsia"/>
        </w:rPr>
        <w:instrText xml:space="preserve">REF _Ref167976294 \h</w:instrText>
      </w:r>
      <w:r>
        <w:instrText xml:space="preserve"> </w:instrText>
      </w:r>
      <w:r>
        <w:fldChar w:fldCharType="separate"/>
      </w:r>
      <w:r>
        <w:rPr>
          <w:rFonts w:hint="eastAsia"/>
        </w:rPr>
        <w:t xml:space="preserve">表 </w:t>
      </w:r>
      <w:r>
        <w:t>3.2</w:t>
      </w:r>
      <w:r>
        <w:noBreakHyphen/>
      </w:r>
      <w:r>
        <w:t>5</w:t>
      </w:r>
      <w:r>
        <w:fldChar w:fldCharType="end"/>
      </w:r>
      <w:r>
        <w:rPr>
          <w:rFonts w:hint="eastAsia"/>
        </w:rPr>
        <w:t>。</w:t>
      </w:r>
    </w:p>
    <w:p>
      <w:pPr>
        <w:pStyle w:val="14"/>
        <w:keepNext/>
      </w:pPr>
      <w:bookmarkStart w:id="107" w:name="_Ref167976294"/>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bookmarkEnd w:id="107"/>
      <w:r>
        <w:rPr>
          <w:rFonts w:hint="eastAsia"/>
        </w:rPr>
        <w:t xml:space="preserve">   2022年奉节县供水量和用水量表  亿m</w:t>
      </w:r>
      <w:r>
        <w:rPr>
          <w:rFonts w:hint="eastAsia"/>
          <w:vertAlign w:val="superscript"/>
        </w:rPr>
        <w:t>3</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22"/>
        <w:gridCol w:w="650"/>
        <w:gridCol w:w="538"/>
        <w:gridCol w:w="934"/>
        <w:gridCol w:w="794"/>
        <w:gridCol w:w="794"/>
        <w:gridCol w:w="794"/>
        <w:gridCol w:w="794"/>
        <w:gridCol w:w="1495"/>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9" w:type="dxa"/>
            <w:vMerge w:val="restart"/>
            <w:vAlign w:val="center"/>
          </w:tcPr>
          <w:p>
            <w:pPr>
              <w:pStyle w:val="63"/>
            </w:pPr>
            <w:r>
              <w:rPr>
                <w:rFonts w:hint="eastAsia"/>
              </w:rPr>
              <w:t>区县</w:t>
            </w:r>
          </w:p>
        </w:tc>
        <w:tc>
          <w:tcPr>
            <w:tcW w:w="2944" w:type="dxa"/>
            <w:gridSpan w:val="4"/>
            <w:vAlign w:val="center"/>
          </w:tcPr>
          <w:p>
            <w:pPr>
              <w:pStyle w:val="63"/>
            </w:pPr>
            <w:r>
              <w:rPr>
                <w:rFonts w:hint="eastAsia"/>
              </w:rPr>
              <w:t>供水量</w:t>
            </w:r>
          </w:p>
        </w:tc>
        <w:tc>
          <w:tcPr>
            <w:tcW w:w="5465" w:type="dxa"/>
            <w:gridSpan w:val="6"/>
            <w:vAlign w:val="center"/>
          </w:tcPr>
          <w:p>
            <w:pPr>
              <w:pStyle w:val="63"/>
            </w:pPr>
            <w:r>
              <w:rPr>
                <w:rFonts w:hint="eastAsia"/>
              </w:rPr>
              <w:t>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9" w:type="dxa"/>
            <w:vMerge w:val="continue"/>
            <w:vAlign w:val="center"/>
          </w:tcPr>
          <w:p>
            <w:pPr>
              <w:pStyle w:val="63"/>
            </w:pPr>
          </w:p>
        </w:tc>
        <w:tc>
          <w:tcPr>
            <w:tcW w:w="822" w:type="dxa"/>
            <w:vMerge w:val="restart"/>
            <w:vAlign w:val="center"/>
          </w:tcPr>
          <w:p>
            <w:pPr>
              <w:pStyle w:val="63"/>
            </w:pPr>
            <w:r>
              <w:rPr>
                <w:rFonts w:hint="eastAsia"/>
              </w:rPr>
              <w:t>地表水</w:t>
            </w:r>
          </w:p>
        </w:tc>
        <w:tc>
          <w:tcPr>
            <w:tcW w:w="650" w:type="dxa"/>
            <w:vMerge w:val="restart"/>
            <w:vAlign w:val="center"/>
          </w:tcPr>
          <w:p>
            <w:pPr>
              <w:pStyle w:val="63"/>
            </w:pPr>
            <w:r>
              <w:rPr>
                <w:rFonts w:hint="eastAsia"/>
              </w:rPr>
              <w:t>地下水</w:t>
            </w:r>
          </w:p>
        </w:tc>
        <w:tc>
          <w:tcPr>
            <w:tcW w:w="538" w:type="dxa"/>
            <w:vMerge w:val="restart"/>
            <w:vAlign w:val="center"/>
          </w:tcPr>
          <w:p>
            <w:pPr>
              <w:pStyle w:val="63"/>
            </w:pPr>
            <w:r>
              <w:rPr>
                <w:rFonts w:hint="eastAsia"/>
              </w:rPr>
              <w:t>其他</w:t>
            </w:r>
          </w:p>
        </w:tc>
        <w:tc>
          <w:tcPr>
            <w:tcW w:w="934" w:type="dxa"/>
            <w:vMerge w:val="restart"/>
            <w:vAlign w:val="center"/>
          </w:tcPr>
          <w:p>
            <w:pPr>
              <w:pStyle w:val="63"/>
            </w:pPr>
            <w:r>
              <w:rPr>
                <w:rFonts w:hint="eastAsia"/>
              </w:rPr>
              <w:t>总供水量</w:t>
            </w:r>
          </w:p>
        </w:tc>
        <w:tc>
          <w:tcPr>
            <w:tcW w:w="794" w:type="dxa"/>
            <w:vMerge w:val="restart"/>
            <w:vAlign w:val="center"/>
          </w:tcPr>
          <w:p>
            <w:pPr>
              <w:pStyle w:val="63"/>
            </w:pPr>
            <w:r>
              <w:rPr>
                <w:rFonts w:hint="eastAsia"/>
              </w:rPr>
              <w:t>生活</w:t>
            </w:r>
          </w:p>
        </w:tc>
        <w:tc>
          <w:tcPr>
            <w:tcW w:w="2382" w:type="dxa"/>
            <w:gridSpan w:val="3"/>
            <w:vAlign w:val="center"/>
          </w:tcPr>
          <w:p>
            <w:pPr>
              <w:pStyle w:val="63"/>
            </w:pPr>
            <w:r>
              <w:rPr>
                <w:rFonts w:hint="eastAsia"/>
              </w:rPr>
              <w:t>生产</w:t>
            </w:r>
          </w:p>
        </w:tc>
        <w:tc>
          <w:tcPr>
            <w:tcW w:w="1495" w:type="dxa"/>
            <w:vMerge w:val="restart"/>
            <w:vAlign w:val="center"/>
          </w:tcPr>
          <w:p>
            <w:pPr>
              <w:pStyle w:val="63"/>
            </w:pPr>
            <w:r>
              <w:rPr>
                <w:rFonts w:hint="eastAsia"/>
              </w:rPr>
              <w:t>人工生态环境补水量</w:t>
            </w:r>
          </w:p>
        </w:tc>
        <w:tc>
          <w:tcPr>
            <w:tcW w:w="794" w:type="dxa"/>
            <w:vMerge w:val="restart"/>
            <w:vAlign w:val="center"/>
          </w:tcPr>
          <w:p>
            <w:pPr>
              <w:pStyle w:val="63"/>
            </w:pPr>
            <w:r>
              <w:rPr>
                <w:rFonts w:hint="eastAsia"/>
              </w:rPr>
              <w:t>总用</w:t>
            </w:r>
          </w:p>
          <w:p>
            <w:pPr>
              <w:pStyle w:val="63"/>
            </w:pPr>
            <w:r>
              <w:rPr>
                <w:rFonts w:hint="eastAsia"/>
              </w:rPr>
              <w:t>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9" w:type="dxa"/>
            <w:vMerge w:val="continue"/>
            <w:vAlign w:val="center"/>
          </w:tcPr>
          <w:p>
            <w:pPr>
              <w:pStyle w:val="63"/>
            </w:pPr>
          </w:p>
        </w:tc>
        <w:tc>
          <w:tcPr>
            <w:tcW w:w="822" w:type="dxa"/>
            <w:vMerge w:val="continue"/>
            <w:vAlign w:val="center"/>
          </w:tcPr>
          <w:p>
            <w:pPr>
              <w:pStyle w:val="63"/>
            </w:pPr>
          </w:p>
        </w:tc>
        <w:tc>
          <w:tcPr>
            <w:tcW w:w="650" w:type="dxa"/>
            <w:vMerge w:val="continue"/>
            <w:vAlign w:val="center"/>
          </w:tcPr>
          <w:p>
            <w:pPr>
              <w:pStyle w:val="63"/>
            </w:pPr>
          </w:p>
        </w:tc>
        <w:tc>
          <w:tcPr>
            <w:tcW w:w="538" w:type="dxa"/>
            <w:vMerge w:val="continue"/>
            <w:vAlign w:val="center"/>
          </w:tcPr>
          <w:p>
            <w:pPr>
              <w:pStyle w:val="63"/>
            </w:pPr>
          </w:p>
        </w:tc>
        <w:tc>
          <w:tcPr>
            <w:tcW w:w="934" w:type="dxa"/>
            <w:vMerge w:val="continue"/>
            <w:vAlign w:val="center"/>
          </w:tcPr>
          <w:p>
            <w:pPr>
              <w:pStyle w:val="63"/>
            </w:pPr>
          </w:p>
        </w:tc>
        <w:tc>
          <w:tcPr>
            <w:tcW w:w="794" w:type="dxa"/>
            <w:vMerge w:val="continue"/>
            <w:vAlign w:val="center"/>
          </w:tcPr>
          <w:p>
            <w:pPr>
              <w:pStyle w:val="63"/>
            </w:pPr>
          </w:p>
        </w:tc>
        <w:tc>
          <w:tcPr>
            <w:tcW w:w="794" w:type="dxa"/>
            <w:vAlign w:val="center"/>
          </w:tcPr>
          <w:p>
            <w:pPr>
              <w:pStyle w:val="63"/>
            </w:pPr>
            <w:r>
              <w:rPr>
                <w:rFonts w:hint="eastAsia"/>
              </w:rPr>
              <w:t>第一</w:t>
            </w:r>
          </w:p>
          <w:p>
            <w:pPr>
              <w:pStyle w:val="63"/>
            </w:pPr>
            <w:r>
              <w:rPr>
                <w:rFonts w:hint="eastAsia"/>
              </w:rPr>
              <w:t>产业</w:t>
            </w:r>
          </w:p>
        </w:tc>
        <w:tc>
          <w:tcPr>
            <w:tcW w:w="794" w:type="dxa"/>
            <w:vAlign w:val="center"/>
          </w:tcPr>
          <w:p>
            <w:pPr>
              <w:pStyle w:val="63"/>
            </w:pPr>
            <w:r>
              <w:rPr>
                <w:rFonts w:hint="eastAsia"/>
              </w:rPr>
              <w:t>第二</w:t>
            </w:r>
          </w:p>
          <w:p>
            <w:pPr>
              <w:pStyle w:val="63"/>
            </w:pPr>
            <w:r>
              <w:rPr>
                <w:rFonts w:hint="eastAsia"/>
              </w:rPr>
              <w:t>产业</w:t>
            </w:r>
          </w:p>
        </w:tc>
        <w:tc>
          <w:tcPr>
            <w:tcW w:w="794" w:type="dxa"/>
            <w:vAlign w:val="center"/>
          </w:tcPr>
          <w:p>
            <w:pPr>
              <w:pStyle w:val="63"/>
            </w:pPr>
            <w:r>
              <w:rPr>
                <w:rFonts w:hint="eastAsia"/>
              </w:rPr>
              <w:t>第三</w:t>
            </w:r>
          </w:p>
          <w:p>
            <w:pPr>
              <w:pStyle w:val="63"/>
            </w:pPr>
            <w:r>
              <w:rPr>
                <w:rFonts w:hint="eastAsia"/>
              </w:rPr>
              <w:t>产业</w:t>
            </w:r>
          </w:p>
        </w:tc>
        <w:tc>
          <w:tcPr>
            <w:tcW w:w="1495" w:type="dxa"/>
            <w:vMerge w:val="continue"/>
            <w:vAlign w:val="center"/>
          </w:tcPr>
          <w:p>
            <w:pPr>
              <w:pStyle w:val="63"/>
            </w:pPr>
          </w:p>
        </w:tc>
        <w:tc>
          <w:tcPr>
            <w:tcW w:w="794"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9" w:type="dxa"/>
            <w:vAlign w:val="center"/>
          </w:tcPr>
          <w:p>
            <w:pPr>
              <w:pStyle w:val="63"/>
            </w:pPr>
            <w:r>
              <w:rPr>
                <w:rFonts w:hint="eastAsia"/>
              </w:rPr>
              <w:t>奉节县</w:t>
            </w:r>
          </w:p>
        </w:tc>
        <w:tc>
          <w:tcPr>
            <w:tcW w:w="822" w:type="dxa"/>
            <w:vAlign w:val="center"/>
          </w:tcPr>
          <w:p>
            <w:pPr>
              <w:pStyle w:val="63"/>
            </w:pPr>
            <w:r>
              <w:rPr>
                <w:rFonts w:hint="eastAsia"/>
              </w:rPr>
              <w:t>0.8920</w:t>
            </w:r>
          </w:p>
        </w:tc>
        <w:tc>
          <w:tcPr>
            <w:tcW w:w="650" w:type="dxa"/>
            <w:vAlign w:val="center"/>
          </w:tcPr>
          <w:p>
            <w:pPr>
              <w:pStyle w:val="63"/>
            </w:pPr>
            <w:r>
              <w:rPr>
                <w:rFonts w:hint="eastAsia"/>
              </w:rPr>
              <w:t>0.0018</w:t>
            </w:r>
          </w:p>
        </w:tc>
        <w:tc>
          <w:tcPr>
            <w:tcW w:w="538" w:type="dxa"/>
            <w:vAlign w:val="center"/>
          </w:tcPr>
          <w:p>
            <w:pPr>
              <w:pStyle w:val="63"/>
            </w:pPr>
            <w:r>
              <w:rPr>
                <w:rFonts w:hint="eastAsia"/>
              </w:rPr>
              <w:t>0.0528</w:t>
            </w:r>
          </w:p>
        </w:tc>
        <w:tc>
          <w:tcPr>
            <w:tcW w:w="934" w:type="dxa"/>
            <w:vAlign w:val="center"/>
          </w:tcPr>
          <w:p>
            <w:pPr>
              <w:pStyle w:val="63"/>
            </w:pPr>
            <w:r>
              <w:rPr>
                <w:rFonts w:hint="eastAsia"/>
              </w:rPr>
              <w:t>0.9466</w:t>
            </w:r>
          </w:p>
        </w:tc>
        <w:tc>
          <w:tcPr>
            <w:tcW w:w="794" w:type="dxa"/>
            <w:vAlign w:val="center"/>
          </w:tcPr>
          <w:p>
            <w:pPr>
              <w:pStyle w:val="63"/>
            </w:pPr>
            <w:r>
              <w:rPr>
                <w:rFonts w:hint="eastAsia"/>
              </w:rPr>
              <w:t>0.2509</w:t>
            </w:r>
          </w:p>
        </w:tc>
        <w:tc>
          <w:tcPr>
            <w:tcW w:w="794" w:type="dxa"/>
            <w:vAlign w:val="center"/>
          </w:tcPr>
          <w:p>
            <w:pPr>
              <w:pStyle w:val="63"/>
            </w:pPr>
            <w:r>
              <w:rPr>
                <w:rFonts w:hint="eastAsia"/>
              </w:rPr>
              <w:t>0.4336</w:t>
            </w:r>
          </w:p>
        </w:tc>
        <w:tc>
          <w:tcPr>
            <w:tcW w:w="794" w:type="dxa"/>
            <w:vAlign w:val="center"/>
          </w:tcPr>
          <w:p>
            <w:pPr>
              <w:pStyle w:val="63"/>
            </w:pPr>
            <w:r>
              <w:rPr>
                <w:rFonts w:hint="eastAsia"/>
              </w:rPr>
              <w:t>0.1808</w:t>
            </w:r>
          </w:p>
        </w:tc>
        <w:tc>
          <w:tcPr>
            <w:tcW w:w="794" w:type="dxa"/>
            <w:vAlign w:val="center"/>
          </w:tcPr>
          <w:p>
            <w:pPr>
              <w:pStyle w:val="63"/>
            </w:pPr>
            <w:r>
              <w:rPr>
                <w:rFonts w:hint="eastAsia"/>
              </w:rPr>
              <w:t>0.0531</w:t>
            </w:r>
          </w:p>
        </w:tc>
        <w:tc>
          <w:tcPr>
            <w:tcW w:w="1495" w:type="dxa"/>
            <w:vAlign w:val="center"/>
          </w:tcPr>
          <w:p>
            <w:pPr>
              <w:pStyle w:val="63"/>
            </w:pPr>
            <w:r>
              <w:rPr>
                <w:rFonts w:hint="eastAsia"/>
              </w:rPr>
              <w:t>0.0282</w:t>
            </w:r>
          </w:p>
        </w:tc>
        <w:tc>
          <w:tcPr>
            <w:tcW w:w="794" w:type="dxa"/>
            <w:vAlign w:val="center"/>
          </w:tcPr>
          <w:p>
            <w:pPr>
              <w:pStyle w:val="63"/>
            </w:pPr>
            <w:r>
              <w:rPr>
                <w:rFonts w:hint="eastAsia"/>
              </w:rPr>
              <w:t>0.9466</w:t>
            </w:r>
          </w:p>
        </w:tc>
      </w:tr>
    </w:tbl>
    <w:p/>
    <w:p>
      <w:pPr>
        <w:pStyle w:val="5"/>
        <w:ind w:left="480" w:firstLine="0" w:firstLineChars="0"/>
      </w:pPr>
      <w:r>
        <w:rPr>
          <w:rFonts w:hint="eastAsia"/>
        </w:rPr>
        <w:t>2022年奉节县主要用水指标</w:t>
      </w:r>
      <w:r>
        <w:fldChar w:fldCharType="begin"/>
      </w:r>
      <w:r>
        <w:instrText xml:space="preserve"> </w:instrText>
      </w:r>
      <w:r>
        <w:rPr>
          <w:rFonts w:hint="eastAsia"/>
        </w:rPr>
        <w:instrText xml:space="preserve">REF _Ref167976690 \h</w:instrText>
      </w:r>
      <w:r>
        <w:instrText xml:space="preserve"> </w:instrText>
      </w:r>
      <w:r>
        <w:fldChar w:fldCharType="separate"/>
      </w:r>
      <w:r>
        <w:rPr>
          <w:rFonts w:hint="eastAsia"/>
        </w:rPr>
        <w:t xml:space="preserve">表 </w:t>
      </w:r>
      <w:r>
        <w:t>3.2</w:t>
      </w:r>
      <w:r>
        <w:noBreakHyphen/>
      </w:r>
      <w:r>
        <w:t>6</w:t>
      </w:r>
      <w:r>
        <w:fldChar w:fldCharType="end"/>
      </w:r>
      <w:r>
        <w:rPr>
          <w:rFonts w:hint="eastAsia"/>
        </w:rPr>
        <w:t>。</w:t>
      </w:r>
    </w:p>
    <w:p>
      <w:pPr>
        <w:pStyle w:val="14"/>
        <w:keepNext/>
      </w:pPr>
      <w:bookmarkStart w:id="108" w:name="_Ref167976690"/>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bookmarkEnd w:id="108"/>
      <w:r>
        <w:rPr>
          <w:rFonts w:hint="eastAsia"/>
        </w:rPr>
        <w:t xml:space="preserve">   2022年奉节县主要用水指标</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902"/>
        <w:gridCol w:w="914"/>
        <w:gridCol w:w="902"/>
        <w:gridCol w:w="902"/>
        <w:gridCol w:w="888"/>
        <w:gridCol w:w="888"/>
        <w:gridCol w:w="888"/>
        <w:gridCol w:w="889"/>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87" w:type="dxa"/>
            <w:vMerge w:val="restart"/>
            <w:vAlign w:val="center"/>
          </w:tcPr>
          <w:p>
            <w:pPr>
              <w:pStyle w:val="63"/>
            </w:pPr>
            <w:r>
              <w:rPr>
                <w:rFonts w:hint="eastAsia"/>
              </w:rPr>
              <w:t>行政区</w:t>
            </w:r>
          </w:p>
        </w:tc>
        <w:tc>
          <w:tcPr>
            <w:tcW w:w="902" w:type="dxa"/>
            <w:vMerge w:val="restart"/>
            <w:vAlign w:val="center"/>
          </w:tcPr>
          <w:p>
            <w:pPr>
              <w:pStyle w:val="63"/>
            </w:pPr>
            <w:r>
              <w:rPr>
                <w:rFonts w:hint="eastAsia"/>
              </w:rPr>
              <w:t>人均综合用水量/m</w:t>
            </w:r>
            <w:r>
              <w:rPr>
                <w:rFonts w:hint="eastAsia"/>
                <w:vertAlign w:val="superscript"/>
              </w:rPr>
              <w:t>3</w:t>
            </w:r>
          </w:p>
        </w:tc>
        <w:tc>
          <w:tcPr>
            <w:tcW w:w="914" w:type="dxa"/>
            <w:vMerge w:val="restart"/>
            <w:vAlign w:val="center"/>
          </w:tcPr>
          <w:p>
            <w:pPr>
              <w:pStyle w:val="63"/>
            </w:pPr>
            <w:r>
              <w:rPr>
                <w:rFonts w:hint="eastAsia"/>
              </w:rPr>
              <w:t>万元GDP用水量/m</w:t>
            </w:r>
            <w:r>
              <w:rPr>
                <w:rFonts w:hint="eastAsia"/>
                <w:vertAlign w:val="superscript"/>
              </w:rPr>
              <w:t>3</w:t>
            </w:r>
          </w:p>
        </w:tc>
        <w:tc>
          <w:tcPr>
            <w:tcW w:w="902" w:type="dxa"/>
            <w:vMerge w:val="restart"/>
            <w:vAlign w:val="center"/>
          </w:tcPr>
          <w:p>
            <w:pPr>
              <w:pStyle w:val="63"/>
            </w:pPr>
            <w:r>
              <w:rPr>
                <w:rFonts w:hint="eastAsia"/>
              </w:rPr>
              <w:t>万元工业增加值用水量/m</w:t>
            </w:r>
            <w:r>
              <w:rPr>
                <w:rFonts w:hint="eastAsia"/>
                <w:vertAlign w:val="superscript"/>
              </w:rPr>
              <w:t>3</w:t>
            </w:r>
          </w:p>
        </w:tc>
        <w:tc>
          <w:tcPr>
            <w:tcW w:w="902" w:type="dxa"/>
            <w:vMerge w:val="restart"/>
            <w:vAlign w:val="center"/>
          </w:tcPr>
          <w:p>
            <w:pPr>
              <w:pStyle w:val="63"/>
            </w:pPr>
            <w:r>
              <w:rPr>
                <w:rFonts w:hint="eastAsia"/>
              </w:rPr>
              <w:t>农田灌溉亩均用水量/m</w:t>
            </w:r>
            <w:r>
              <w:rPr>
                <w:rFonts w:hint="eastAsia"/>
                <w:vertAlign w:val="superscript"/>
              </w:rPr>
              <w:t>3</w:t>
            </w:r>
          </w:p>
        </w:tc>
        <w:tc>
          <w:tcPr>
            <w:tcW w:w="888" w:type="dxa"/>
            <w:vMerge w:val="restart"/>
            <w:vAlign w:val="center"/>
          </w:tcPr>
          <w:p>
            <w:pPr>
              <w:pStyle w:val="63"/>
            </w:pPr>
            <w:r>
              <w:rPr>
                <w:rFonts w:hint="eastAsia"/>
              </w:rPr>
              <w:t>农田灌溉水有效利用系数</w:t>
            </w:r>
          </w:p>
        </w:tc>
        <w:tc>
          <w:tcPr>
            <w:tcW w:w="2665" w:type="dxa"/>
            <w:gridSpan w:val="3"/>
            <w:vAlign w:val="center"/>
          </w:tcPr>
          <w:p>
            <w:pPr>
              <w:pStyle w:val="63"/>
            </w:pPr>
            <w:r>
              <w:rPr>
                <w:rFonts w:hint="eastAsia"/>
              </w:rPr>
              <w:t>居民生活用水指标/L</w:t>
            </w:r>
          </w:p>
        </w:tc>
        <w:tc>
          <w:tcPr>
            <w:tcW w:w="888" w:type="dxa"/>
            <w:vMerge w:val="restart"/>
            <w:vAlign w:val="center"/>
          </w:tcPr>
          <w:p>
            <w:pPr>
              <w:pStyle w:val="63"/>
            </w:pPr>
            <w:r>
              <w:rPr>
                <w:rFonts w:hint="eastAsia"/>
              </w:rPr>
              <w:t>城镇公共人均日用水量/L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7" w:type="dxa"/>
            <w:vMerge w:val="continue"/>
            <w:vAlign w:val="center"/>
          </w:tcPr>
          <w:p>
            <w:pPr>
              <w:pStyle w:val="63"/>
            </w:pPr>
          </w:p>
        </w:tc>
        <w:tc>
          <w:tcPr>
            <w:tcW w:w="902" w:type="dxa"/>
            <w:vMerge w:val="continue"/>
            <w:vAlign w:val="center"/>
          </w:tcPr>
          <w:p>
            <w:pPr>
              <w:pStyle w:val="63"/>
            </w:pPr>
          </w:p>
        </w:tc>
        <w:tc>
          <w:tcPr>
            <w:tcW w:w="914" w:type="dxa"/>
            <w:vMerge w:val="continue"/>
            <w:vAlign w:val="center"/>
          </w:tcPr>
          <w:p>
            <w:pPr>
              <w:pStyle w:val="63"/>
            </w:pPr>
          </w:p>
        </w:tc>
        <w:tc>
          <w:tcPr>
            <w:tcW w:w="902" w:type="dxa"/>
            <w:vMerge w:val="continue"/>
            <w:vAlign w:val="center"/>
          </w:tcPr>
          <w:p>
            <w:pPr>
              <w:pStyle w:val="63"/>
            </w:pPr>
          </w:p>
        </w:tc>
        <w:tc>
          <w:tcPr>
            <w:tcW w:w="902" w:type="dxa"/>
            <w:vMerge w:val="continue"/>
            <w:vAlign w:val="center"/>
          </w:tcPr>
          <w:p>
            <w:pPr>
              <w:pStyle w:val="63"/>
            </w:pPr>
          </w:p>
        </w:tc>
        <w:tc>
          <w:tcPr>
            <w:tcW w:w="888" w:type="dxa"/>
            <w:vMerge w:val="continue"/>
            <w:vAlign w:val="center"/>
          </w:tcPr>
          <w:p>
            <w:pPr>
              <w:pStyle w:val="63"/>
            </w:pPr>
          </w:p>
        </w:tc>
        <w:tc>
          <w:tcPr>
            <w:tcW w:w="888" w:type="dxa"/>
            <w:vAlign w:val="center"/>
          </w:tcPr>
          <w:p>
            <w:pPr>
              <w:pStyle w:val="63"/>
            </w:pPr>
            <w:r>
              <w:rPr>
                <w:rFonts w:hint="eastAsia"/>
              </w:rPr>
              <w:t>城镇居民</w:t>
            </w:r>
          </w:p>
        </w:tc>
        <w:tc>
          <w:tcPr>
            <w:tcW w:w="888" w:type="dxa"/>
            <w:vAlign w:val="center"/>
          </w:tcPr>
          <w:p>
            <w:pPr>
              <w:pStyle w:val="63"/>
            </w:pPr>
            <w:r>
              <w:rPr>
                <w:rFonts w:hint="eastAsia"/>
              </w:rPr>
              <w:t>农村居民</w:t>
            </w:r>
          </w:p>
        </w:tc>
        <w:tc>
          <w:tcPr>
            <w:tcW w:w="889" w:type="dxa"/>
            <w:vAlign w:val="center"/>
          </w:tcPr>
          <w:p>
            <w:pPr>
              <w:pStyle w:val="63"/>
            </w:pPr>
            <w:r>
              <w:rPr>
                <w:rFonts w:hint="eastAsia"/>
              </w:rPr>
              <w:t>城乡居民</w:t>
            </w:r>
          </w:p>
        </w:tc>
        <w:tc>
          <w:tcPr>
            <w:tcW w:w="888"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7" w:type="dxa"/>
            <w:vAlign w:val="center"/>
          </w:tcPr>
          <w:p>
            <w:pPr>
              <w:pStyle w:val="63"/>
            </w:pPr>
            <w:r>
              <w:rPr>
                <w:rFonts w:hint="eastAsia"/>
              </w:rPr>
              <w:t>奉节县</w:t>
            </w:r>
          </w:p>
        </w:tc>
        <w:tc>
          <w:tcPr>
            <w:tcW w:w="902" w:type="dxa"/>
            <w:vAlign w:val="center"/>
          </w:tcPr>
          <w:p>
            <w:pPr>
              <w:pStyle w:val="63"/>
            </w:pPr>
            <w:r>
              <w:rPr>
                <w:rFonts w:hint="eastAsia"/>
              </w:rPr>
              <w:t>127</w:t>
            </w:r>
          </w:p>
        </w:tc>
        <w:tc>
          <w:tcPr>
            <w:tcW w:w="914" w:type="dxa"/>
            <w:vAlign w:val="center"/>
          </w:tcPr>
          <w:p>
            <w:pPr>
              <w:pStyle w:val="63"/>
            </w:pPr>
            <w:r>
              <w:rPr>
                <w:rFonts w:hint="eastAsia"/>
              </w:rPr>
              <w:t>23.9</w:t>
            </w:r>
          </w:p>
        </w:tc>
        <w:tc>
          <w:tcPr>
            <w:tcW w:w="902" w:type="dxa"/>
            <w:vAlign w:val="center"/>
          </w:tcPr>
          <w:p>
            <w:pPr>
              <w:pStyle w:val="63"/>
            </w:pPr>
            <w:r>
              <w:rPr>
                <w:rFonts w:hint="eastAsia"/>
              </w:rPr>
              <w:t>31.4</w:t>
            </w:r>
          </w:p>
        </w:tc>
        <w:tc>
          <w:tcPr>
            <w:tcW w:w="902" w:type="dxa"/>
            <w:vAlign w:val="center"/>
          </w:tcPr>
          <w:p>
            <w:pPr>
              <w:pStyle w:val="63"/>
            </w:pPr>
            <w:r>
              <w:rPr>
                <w:rFonts w:hint="eastAsia"/>
              </w:rPr>
              <w:t>275</w:t>
            </w:r>
          </w:p>
        </w:tc>
        <w:tc>
          <w:tcPr>
            <w:tcW w:w="888" w:type="dxa"/>
            <w:vAlign w:val="center"/>
          </w:tcPr>
          <w:p>
            <w:pPr>
              <w:pStyle w:val="63"/>
            </w:pPr>
            <w:r>
              <w:rPr>
                <w:rFonts w:hint="eastAsia"/>
              </w:rPr>
              <w:t>0.5441</w:t>
            </w:r>
          </w:p>
        </w:tc>
        <w:tc>
          <w:tcPr>
            <w:tcW w:w="888" w:type="dxa"/>
            <w:vAlign w:val="center"/>
          </w:tcPr>
          <w:p>
            <w:pPr>
              <w:pStyle w:val="63"/>
            </w:pPr>
            <w:r>
              <w:rPr>
                <w:rFonts w:hint="eastAsia"/>
              </w:rPr>
              <w:t>114</w:t>
            </w:r>
          </w:p>
        </w:tc>
        <w:tc>
          <w:tcPr>
            <w:tcW w:w="888" w:type="dxa"/>
            <w:vAlign w:val="center"/>
          </w:tcPr>
          <w:p>
            <w:pPr>
              <w:pStyle w:val="63"/>
            </w:pPr>
            <w:r>
              <w:rPr>
                <w:rFonts w:hint="eastAsia"/>
              </w:rPr>
              <w:t>70</w:t>
            </w:r>
          </w:p>
        </w:tc>
        <w:tc>
          <w:tcPr>
            <w:tcW w:w="889" w:type="dxa"/>
            <w:vAlign w:val="center"/>
          </w:tcPr>
          <w:p>
            <w:pPr>
              <w:pStyle w:val="63"/>
            </w:pPr>
            <w:r>
              <w:rPr>
                <w:rFonts w:hint="eastAsia"/>
              </w:rPr>
              <w:t>92</w:t>
            </w:r>
          </w:p>
        </w:tc>
        <w:tc>
          <w:tcPr>
            <w:tcW w:w="888" w:type="dxa"/>
            <w:vAlign w:val="center"/>
          </w:tcPr>
          <w:p>
            <w:pPr>
              <w:pStyle w:val="63"/>
            </w:pPr>
            <w:r>
              <w:rPr>
                <w:rFonts w:hint="eastAsi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gridSpan w:val="10"/>
            <w:vAlign w:val="center"/>
          </w:tcPr>
          <w:p>
            <w:pPr>
              <w:pStyle w:val="64"/>
            </w:pPr>
            <w:r>
              <w:rPr>
                <w:rFonts w:hint="eastAsia"/>
              </w:rPr>
              <w:t>注：1、万元GDP用水量、万元工业增加值用水量按2022年价计算；</w:t>
            </w:r>
          </w:p>
          <w:p>
            <w:pPr>
              <w:pStyle w:val="64"/>
            </w:pPr>
            <w:r>
              <w:rPr>
                <w:rFonts w:hint="eastAsia"/>
              </w:rPr>
              <w:t xml:space="preserve">    2、人口为2022年常住人口；</w:t>
            </w:r>
          </w:p>
        </w:tc>
      </w:tr>
    </w:tbl>
    <w:p/>
    <w:p>
      <w:pPr>
        <w:pStyle w:val="5"/>
        <w:ind w:firstLine="480"/>
      </w:pPr>
      <w:r>
        <w:rPr>
          <w:rFonts w:hint="eastAsia"/>
        </w:rPr>
        <w:t>水资源承载状况分析评价标准见</w:t>
      </w:r>
      <w:r>
        <w:fldChar w:fldCharType="begin"/>
      </w:r>
      <w:r>
        <w:instrText xml:space="preserve"> </w:instrText>
      </w:r>
      <w:r>
        <w:rPr>
          <w:rFonts w:hint="eastAsia"/>
        </w:rPr>
        <w:instrText xml:space="preserve">REF _Ref167978006 \h</w:instrText>
      </w:r>
      <w:r>
        <w:instrText xml:space="preserve"> </w:instrText>
      </w:r>
      <w:r>
        <w:fldChar w:fldCharType="separate"/>
      </w:r>
      <w:r>
        <w:rPr>
          <w:rFonts w:hint="eastAsia"/>
        </w:rPr>
        <w:t xml:space="preserve">表 </w:t>
      </w:r>
      <w:r>
        <w:t>3.2</w:t>
      </w:r>
      <w:r>
        <w:noBreakHyphen/>
      </w:r>
      <w:r>
        <w:t>7</w:t>
      </w:r>
      <w:r>
        <w:fldChar w:fldCharType="end"/>
      </w:r>
      <w:r>
        <w:rPr>
          <w:rFonts w:hint="eastAsia"/>
        </w:rPr>
        <w:t>。</w:t>
      </w:r>
    </w:p>
    <w:p>
      <w:pPr>
        <w:pStyle w:val="14"/>
        <w:keepNext/>
      </w:pPr>
      <w:bookmarkStart w:id="109" w:name="_Ref167978006"/>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7</w:t>
      </w:r>
      <w:r>
        <w:fldChar w:fldCharType="end"/>
      </w:r>
      <w:bookmarkEnd w:id="109"/>
      <w:r>
        <w:rPr>
          <w:rFonts w:hint="eastAsia"/>
        </w:rPr>
        <w:t xml:space="preserve">   水资源承载状况分析评价标准</w:t>
      </w:r>
    </w:p>
    <w:tbl>
      <w:tblPr>
        <w:tblStyle w:val="38"/>
        <w:tblW w:w="8948" w:type="dxa"/>
        <w:jc w:val="center"/>
        <w:tblInd w:w="0" w:type="dxa"/>
        <w:tblLayout w:type="fixed"/>
        <w:tblCellMar>
          <w:top w:w="0" w:type="dxa"/>
          <w:left w:w="0" w:type="dxa"/>
          <w:bottom w:w="0" w:type="dxa"/>
          <w:right w:w="0" w:type="dxa"/>
        </w:tblCellMar>
      </w:tblPr>
      <w:tblGrid>
        <w:gridCol w:w="496"/>
        <w:gridCol w:w="1462"/>
        <w:gridCol w:w="1260"/>
        <w:gridCol w:w="1680"/>
        <w:gridCol w:w="2652"/>
        <w:gridCol w:w="1398"/>
      </w:tblGrid>
      <w:tr>
        <w:tblPrEx>
          <w:tblLayout w:type="fixed"/>
        </w:tblPrEx>
        <w:trPr>
          <w:jc w:val="center"/>
        </w:trPr>
        <w:tc>
          <w:tcPr>
            <w:tcW w:w="496" w:type="dxa"/>
            <w:vMerge w:val="restart"/>
            <w:tcBorders>
              <w:top w:val="single" w:color="auto" w:sz="4" w:space="0"/>
              <w:left w:val="single" w:color="auto" w:sz="4" w:space="0"/>
              <w:right w:val="single" w:color="000000" w:sz="4" w:space="0"/>
            </w:tcBorders>
            <w:vAlign w:val="center"/>
          </w:tcPr>
          <w:p>
            <w:pPr>
              <w:pStyle w:val="63"/>
            </w:pPr>
            <w:r>
              <w:t>要</w:t>
            </w:r>
          </w:p>
          <w:p>
            <w:pPr>
              <w:pStyle w:val="63"/>
            </w:pPr>
            <w:r>
              <w:t>素</w:t>
            </w:r>
          </w:p>
        </w:tc>
        <w:tc>
          <w:tcPr>
            <w:tcW w:w="1462" w:type="dxa"/>
            <w:vMerge w:val="restart"/>
            <w:tcBorders>
              <w:top w:val="single" w:color="auto" w:sz="4" w:space="0"/>
              <w:left w:val="single" w:color="000000" w:sz="4" w:space="0"/>
              <w:right w:val="single" w:color="000000" w:sz="4" w:space="0"/>
            </w:tcBorders>
            <w:vAlign w:val="center"/>
          </w:tcPr>
          <w:p>
            <w:pPr>
              <w:pStyle w:val="63"/>
            </w:pPr>
            <w:r>
              <w:t>评价指标</w:t>
            </w:r>
          </w:p>
        </w:tc>
        <w:tc>
          <w:tcPr>
            <w:tcW w:w="1260" w:type="dxa"/>
            <w:vMerge w:val="restart"/>
            <w:tcBorders>
              <w:top w:val="single" w:color="auto" w:sz="4" w:space="0"/>
              <w:left w:val="single" w:color="000000" w:sz="4" w:space="0"/>
              <w:right w:val="single" w:color="000000" w:sz="4" w:space="0"/>
            </w:tcBorders>
            <w:vAlign w:val="center"/>
          </w:tcPr>
          <w:p>
            <w:pPr>
              <w:pStyle w:val="63"/>
            </w:pPr>
            <w:r>
              <w:t>承载能力</w:t>
            </w:r>
          </w:p>
          <w:p>
            <w:pPr>
              <w:pStyle w:val="63"/>
            </w:pPr>
            <w:r>
              <w:t>基线</w:t>
            </w:r>
          </w:p>
        </w:tc>
        <w:tc>
          <w:tcPr>
            <w:tcW w:w="5730" w:type="dxa"/>
            <w:gridSpan w:val="3"/>
            <w:tcBorders>
              <w:top w:val="single" w:color="auto" w:sz="4" w:space="0"/>
              <w:left w:val="single" w:color="000000" w:sz="4" w:space="0"/>
              <w:bottom w:val="single" w:color="000000" w:sz="4" w:space="0"/>
              <w:right w:val="single" w:color="auto" w:sz="4" w:space="0"/>
            </w:tcBorders>
            <w:vAlign w:val="center"/>
          </w:tcPr>
          <w:p>
            <w:pPr>
              <w:pStyle w:val="63"/>
            </w:pPr>
            <w:r>
              <w:t>承载状况评价</w:t>
            </w:r>
          </w:p>
        </w:tc>
      </w:tr>
      <w:tr>
        <w:tblPrEx>
          <w:tblLayout w:type="fixed"/>
          <w:tblCellMar>
            <w:top w:w="0" w:type="dxa"/>
            <w:left w:w="0" w:type="dxa"/>
            <w:bottom w:w="0" w:type="dxa"/>
            <w:right w:w="0" w:type="dxa"/>
          </w:tblCellMar>
        </w:tblPrEx>
        <w:trPr>
          <w:jc w:val="center"/>
        </w:trPr>
        <w:tc>
          <w:tcPr>
            <w:tcW w:w="496" w:type="dxa"/>
            <w:vMerge w:val="continue"/>
            <w:tcBorders>
              <w:left w:val="single" w:color="auto" w:sz="4" w:space="0"/>
              <w:bottom w:val="single" w:color="000000" w:sz="4" w:space="0"/>
              <w:right w:val="single" w:color="000000" w:sz="4" w:space="0"/>
            </w:tcBorders>
            <w:vAlign w:val="center"/>
          </w:tcPr>
          <w:p>
            <w:pPr>
              <w:pStyle w:val="63"/>
            </w:pPr>
          </w:p>
        </w:tc>
        <w:tc>
          <w:tcPr>
            <w:tcW w:w="1462" w:type="dxa"/>
            <w:vMerge w:val="continue"/>
            <w:tcBorders>
              <w:left w:val="single" w:color="000000" w:sz="4" w:space="0"/>
              <w:bottom w:val="single" w:color="000000" w:sz="4" w:space="0"/>
              <w:right w:val="single" w:color="000000" w:sz="4" w:space="0"/>
            </w:tcBorders>
            <w:vAlign w:val="center"/>
          </w:tcPr>
          <w:p>
            <w:pPr>
              <w:pStyle w:val="63"/>
            </w:pPr>
          </w:p>
        </w:tc>
        <w:tc>
          <w:tcPr>
            <w:tcW w:w="1260" w:type="dxa"/>
            <w:vMerge w:val="continue"/>
            <w:tcBorders>
              <w:left w:val="single" w:color="000000" w:sz="4" w:space="0"/>
              <w:bottom w:val="single" w:color="000000" w:sz="4" w:space="0"/>
              <w:right w:val="single" w:color="000000" w:sz="4" w:space="0"/>
            </w:tcBorders>
            <w:vAlign w:val="center"/>
          </w:tcPr>
          <w:p>
            <w:pPr>
              <w:pStyle w:val="63"/>
            </w:pPr>
          </w:p>
        </w:tc>
        <w:tc>
          <w:tcPr>
            <w:tcW w:w="1680" w:type="dxa"/>
            <w:tcBorders>
              <w:top w:val="single" w:color="000000" w:sz="4" w:space="0"/>
              <w:left w:val="single" w:color="000000" w:sz="4" w:space="0"/>
              <w:bottom w:val="single" w:color="000000" w:sz="4" w:space="0"/>
              <w:right w:val="single" w:color="000000" w:sz="4" w:space="0"/>
            </w:tcBorders>
            <w:vAlign w:val="center"/>
          </w:tcPr>
          <w:p>
            <w:pPr>
              <w:pStyle w:val="63"/>
            </w:pPr>
            <w:r>
              <w:t>超载</w:t>
            </w:r>
          </w:p>
        </w:tc>
        <w:tc>
          <w:tcPr>
            <w:tcW w:w="2652" w:type="dxa"/>
            <w:tcBorders>
              <w:top w:val="single" w:color="000000" w:sz="4" w:space="0"/>
              <w:left w:val="single" w:color="000000" w:sz="4" w:space="0"/>
              <w:bottom w:val="single" w:color="000000" w:sz="4" w:space="0"/>
              <w:right w:val="single" w:color="000000" w:sz="4" w:space="0"/>
            </w:tcBorders>
            <w:vAlign w:val="center"/>
          </w:tcPr>
          <w:p>
            <w:pPr>
              <w:pStyle w:val="63"/>
            </w:pPr>
            <w:r>
              <w:t>临界超载</w:t>
            </w:r>
          </w:p>
        </w:tc>
        <w:tc>
          <w:tcPr>
            <w:tcW w:w="1398" w:type="dxa"/>
            <w:tcBorders>
              <w:top w:val="single" w:color="000000" w:sz="4" w:space="0"/>
              <w:left w:val="single" w:color="000000" w:sz="4" w:space="0"/>
              <w:bottom w:val="single" w:color="000000" w:sz="4" w:space="0"/>
              <w:right w:val="single" w:color="auto" w:sz="4" w:space="0"/>
            </w:tcBorders>
            <w:vAlign w:val="center"/>
          </w:tcPr>
          <w:p>
            <w:pPr>
              <w:pStyle w:val="63"/>
            </w:pPr>
            <w:r>
              <w:t>不超载</w:t>
            </w:r>
          </w:p>
        </w:tc>
      </w:tr>
      <w:tr>
        <w:tblPrEx>
          <w:tblLayout w:type="fixed"/>
          <w:tblCellMar>
            <w:top w:w="0" w:type="dxa"/>
            <w:left w:w="0" w:type="dxa"/>
            <w:bottom w:w="0" w:type="dxa"/>
            <w:right w:w="0" w:type="dxa"/>
          </w:tblCellMar>
        </w:tblPrEx>
        <w:trPr>
          <w:jc w:val="center"/>
        </w:trPr>
        <w:tc>
          <w:tcPr>
            <w:tcW w:w="496" w:type="dxa"/>
            <w:vMerge w:val="restart"/>
            <w:tcBorders>
              <w:top w:val="single" w:color="000000" w:sz="4" w:space="0"/>
              <w:left w:val="single" w:color="auto" w:sz="4" w:space="0"/>
              <w:right w:val="single" w:color="000000" w:sz="4" w:space="0"/>
            </w:tcBorders>
            <w:vAlign w:val="center"/>
          </w:tcPr>
          <w:p>
            <w:pPr>
              <w:pStyle w:val="63"/>
            </w:pPr>
            <w:r>
              <w:t>水量</w:t>
            </w: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63"/>
            </w:pPr>
            <w:r>
              <w:t>用水总量W</w:t>
            </w:r>
          </w:p>
        </w:tc>
        <w:tc>
          <w:tcPr>
            <w:tcW w:w="1260" w:type="dxa"/>
            <w:tcBorders>
              <w:top w:val="single" w:color="000000" w:sz="4" w:space="0"/>
              <w:left w:val="single" w:color="000000" w:sz="4" w:space="0"/>
              <w:bottom w:val="single" w:color="000000" w:sz="4" w:space="0"/>
              <w:right w:val="single" w:color="000000" w:sz="4" w:space="0"/>
            </w:tcBorders>
            <w:vAlign w:val="center"/>
          </w:tcPr>
          <w:p>
            <w:pPr>
              <w:pStyle w:val="63"/>
            </w:pPr>
            <w:r>
              <w:t>用水总量</w:t>
            </w:r>
          </w:p>
          <w:p>
            <w:pPr>
              <w:pStyle w:val="63"/>
            </w:pPr>
            <w:r>
              <w:t>指标W</w:t>
            </w:r>
            <w:r>
              <w:rPr>
                <w:vertAlign w:val="subscript"/>
              </w:rPr>
              <w:t>0</w:t>
            </w:r>
          </w:p>
        </w:tc>
        <w:tc>
          <w:tcPr>
            <w:tcW w:w="1680" w:type="dxa"/>
            <w:tcBorders>
              <w:top w:val="single" w:color="000000" w:sz="4" w:space="0"/>
              <w:left w:val="single" w:color="000000" w:sz="4" w:space="0"/>
              <w:bottom w:val="single" w:color="000000" w:sz="4" w:space="0"/>
              <w:right w:val="single" w:color="000000" w:sz="4" w:space="0"/>
            </w:tcBorders>
            <w:vAlign w:val="center"/>
          </w:tcPr>
          <w:p>
            <w:pPr>
              <w:pStyle w:val="63"/>
            </w:pPr>
            <w:r>
              <w:t>W&gt;W</w:t>
            </w:r>
            <w:r>
              <w:rPr>
                <w:vertAlign w:val="subscript"/>
              </w:rPr>
              <w:t>0</w:t>
            </w:r>
          </w:p>
        </w:tc>
        <w:tc>
          <w:tcPr>
            <w:tcW w:w="2652" w:type="dxa"/>
            <w:tcBorders>
              <w:top w:val="single" w:color="000000" w:sz="4" w:space="0"/>
              <w:left w:val="single" w:color="000000" w:sz="4" w:space="0"/>
              <w:bottom w:val="single" w:color="000000" w:sz="4" w:space="0"/>
              <w:right w:val="single" w:color="000000" w:sz="4" w:space="0"/>
            </w:tcBorders>
            <w:vAlign w:val="center"/>
          </w:tcPr>
          <w:p>
            <w:pPr>
              <w:pStyle w:val="63"/>
            </w:pPr>
            <w:r>
              <w:t>0.9*W</w:t>
            </w:r>
            <w:r>
              <w:rPr>
                <w:vertAlign w:val="subscript"/>
              </w:rPr>
              <w:t>0</w:t>
            </w:r>
            <w:r>
              <w:t>≤W≤W</w:t>
            </w:r>
            <w:r>
              <w:rPr>
                <w:vertAlign w:val="subscript"/>
              </w:rPr>
              <w:t>0</w:t>
            </w:r>
            <w:r>
              <w:t>且G≤G</w:t>
            </w:r>
            <w:r>
              <w:rPr>
                <w:vertAlign w:val="subscript"/>
              </w:rPr>
              <w:t>0</w:t>
            </w:r>
          </w:p>
        </w:tc>
        <w:tc>
          <w:tcPr>
            <w:tcW w:w="1398" w:type="dxa"/>
            <w:vMerge w:val="restart"/>
            <w:tcBorders>
              <w:top w:val="single" w:color="000000" w:sz="4" w:space="0"/>
              <w:left w:val="single" w:color="000000" w:sz="4" w:space="0"/>
              <w:right w:val="single" w:color="auto" w:sz="4" w:space="0"/>
            </w:tcBorders>
            <w:vAlign w:val="center"/>
          </w:tcPr>
          <w:p>
            <w:pPr>
              <w:pStyle w:val="63"/>
            </w:pPr>
            <w:r>
              <w:t>W＜0.9</w:t>
            </w:r>
            <m:oMath>
              <m:r>
                <w:rPr>
                  <w:rFonts w:ascii="Cambria Math" w:hAnsi="Cambria Math"/>
                </w:rPr>
                <m:t>×</m:t>
              </m:r>
            </m:oMath>
            <w:r>
              <w:t>W</w:t>
            </w:r>
            <w:r>
              <w:rPr>
                <w:vertAlign w:val="subscript"/>
              </w:rPr>
              <w:t>0</w:t>
            </w:r>
          </w:p>
          <w:p>
            <w:pPr>
              <w:pStyle w:val="63"/>
            </w:pPr>
            <w:r>
              <w:t>且G＜0.9</w:t>
            </w:r>
            <m:oMath>
              <m:r>
                <w:rPr>
                  <w:rFonts w:ascii="Cambria Math" w:hAnsi="Cambria Math"/>
                </w:rPr>
                <m:t>×</m:t>
              </m:r>
            </m:oMath>
            <w:r>
              <w:t>G</w:t>
            </w:r>
            <w:r>
              <w:rPr>
                <w:vertAlign w:val="subscript"/>
              </w:rPr>
              <w:t>0</w:t>
            </w:r>
          </w:p>
        </w:tc>
      </w:tr>
      <w:tr>
        <w:tblPrEx>
          <w:tblLayout w:type="fixed"/>
          <w:tblCellMar>
            <w:top w:w="0" w:type="dxa"/>
            <w:left w:w="0" w:type="dxa"/>
            <w:bottom w:w="0" w:type="dxa"/>
            <w:right w:w="0" w:type="dxa"/>
          </w:tblCellMar>
        </w:tblPrEx>
        <w:trPr>
          <w:jc w:val="center"/>
        </w:trPr>
        <w:tc>
          <w:tcPr>
            <w:tcW w:w="496" w:type="dxa"/>
            <w:vMerge w:val="continue"/>
            <w:tcBorders>
              <w:left w:val="single" w:color="auto" w:sz="4" w:space="0"/>
              <w:bottom w:val="single" w:color="auto" w:sz="4" w:space="0"/>
              <w:right w:val="single" w:color="000000" w:sz="4" w:space="0"/>
            </w:tcBorders>
            <w:vAlign w:val="center"/>
          </w:tcPr>
          <w:p>
            <w:pPr>
              <w:pStyle w:val="63"/>
            </w:pPr>
          </w:p>
        </w:tc>
        <w:tc>
          <w:tcPr>
            <w:tcW w:w="1462" w:type="dxa"/>
            <w:tcBorders>
              <w:top w:val="single" w:color="000000" w:sz="4" w:space="0"/>
              <w:left w:val="single" w:color="000000" w:sz="4" w:space="0"/>
              <w:bottom w:val="single" w:color="auto" w:sz="4" w:space="0"/>
              <w:right w:val="single" w:color="000000" w:sz="4" w:space="0"/>
            </w:tcBorders>
            <w:vAlign w:val="center"/>
          </w:tcPr>
          <w:p>
            <w:pPr>
              <w:pStyle w:val="63"/>
            </w:pPr>
            <w:r>
              <w:t>地下水供水</w:t>
            </w:r>
          </w:p>
          <w:p>
            <w:pPr>
              <w:pStyle w:val="63"/>
            </w:pPr>
            <w:r>
              <w:t>量G</w:t>
            </w:r>
          </w:p>
        </w:tc>
        <w:tc>
          <w:tcPr>
            <w:tcW w:w="1260" w:type="dxa"/>
            <w:tcBorders>
              <w:top w:val="single" w:color="000000" w:sz="4" w:space="0"/>
              <w:left w:val="single" w:color="000000" w:sz="4" w:space="0"/>
              <w:bottom w:val="single" w:color="auto" w:sz="4" w:space="0"/>
              <w:right w:val="single" w:color="000000" w:sz="4" w:space="0"/>
            </w:tcBorders>
            <w:vAlign w:val="center"/>
          </w:tcPr>
          <w:p>
            <w:pPr>
              <w:pStyle w:val="63"/>
            </w:pPr>
            <w:r>
              <w:t>地下水供水量指标G</w:t>
            </w:r>
            <w:r>
              <w:rPr>
                <w:vertAlign w:val="subscript"/>
              </w:rPr>
              <w:t>0</w:t>
            </w:r>
          </w:p>
        </w:tc>
        <w:tc>
          <w:tcPr>
            <w:tcW w:w="1680" w:type="dxa"/>
            <w:tcBorders>
              <w:top w:val="single" w:color="000000" w:sz="4" w:space="0"/>
              <w:left w:val="single" w:color="000000" w:sz="4" w:space="0"/>
              <w:bottom w:val="single" w:color="auto" w:sz="4" w:space="0"/>
              <w:right w:val="single" w:color="000000" w:sz="4" w:space="0"/>
            </w:tcBorders>
            <w:vAlign w:val="center"/>
          </w:tcPr>
          <w:p>
            <w:pPr>
              <w:pStyle w:val="63"/>
            </w:pPr>
            <w:r>
              <w:t>G&gt;G</w:t>
            </w:r>
            <w:r>
              <w:rPr>
                <w:vertAlign w:val="subscript"/>
              </w:rPr>
              <w:t>0</w:t>
            </w:r>
            <w:r>
              <w:t>或</w:t>
            </w:r>
          </w:p>
          <w:p>
            <w:pPr>
              <w:pStyle w:val="63"/>
            </w:pPr>
            <w:r>
              <w:t>地下水超采</w:t>
            </w:r>
          </w:p>
        </w:tc>
        <w:tc>
          <w:tcPr>
            <w:tcW w:w="2652" w:type="dxa"/>
            <w:tcBorders>
              <w:top w:val="single" w:color="000000" w:sz="4" w:space="0"/>
              <w:left w:val="single" w:color="000000" w:sz="4" w:space="0"/>
              <w:bottom w:val="single" w:color="auto" w:sz="4" w:space="0"/>
              <w:right w:val="single" w:color="000000" w:sz="4" w:space="0"/>
            </w:tcBorders>
            <w:vAlign w:val="center"/>
          </w:tcPr>
          <w:p>
            <w:pPr>
              <w:pStyle w:val="63"/>
            </w:pPr>
            <w:r>
              <w:t>0.9*G</w:t>
            </w:r>
            <w:r>
              <w:rPr>
                <w:vertAlign w:val="subscript"/>
              </w:rPr>
              <w:t>0</w:t>
            </w:r>
            <w:r>
              <w:t>≤G≤G</w:t>
            </w:r>
            <w:r>
              <w:rPr>
                <w:vertAlign w:val="subscript"/>
              </w:rPr>
              <w:t>0</w:t>
            </w:r>
            <w:r>
              <w:t>且W≤W</w:t>
            </w:r>
            <w:r>
              <w:rPr>
                <w:vertAlign w:val="subscript"/>
              </w:rPr>
              <w:t>0</w:t>
            </w:r>
          </w:p>
        </w:tc>
        <w:tc>
          <w:tcPr>
            <w:tcW w:w="1398" w:type="dxa"/>
            <w:vMerge w:val="continue"/>
            <w:tcBorders>
              <w:left w:val="single" w:color="000000" w:sz="4" w:space="0"/>
              <w:bottom w:val="single" w:color="auto" w:sz="4" w:space="0"/>
              <w:right w:val="single" w:color="auto" w:sz="4" w:space="0"/>
            </w:tcBorders>
            <w:vAlign w:val="center"/>
          </w:tcPr>
          <w:p>
            <w:pPr>
              <w:pStyle w:val="63"/>
            </w:pPr>
          </w:p>
        </w:tc>
      </w:tr>
    </w:tbl>
    <w:p/>
    <w:p>
      <w:pPr>
        <w:pStyle w:val="5"/>
        <w:ind w:firstLine="480"/>
      </w:pPr>
      <w:r>
        <w:rPr>
          <w:rFonts w:hint="eastAsia"/>
        </w:rPr>
        <w:t>根据《重庆市人民政府办公厅关于调整各区县2030年用水总量控制目标的通知》（渝府办发〔2021〕147号），奉节县2030年用水总量控制目标W</w:t>
      </w:r>
      <w:r>
        <w:rPr>
          <w:rFonts w:hint="eastAsia"/>
          <w:vertAlign w:val="subscript"/>
        </w:rPr>
        <w:t>0</w:t>
      </w:r>
      <w:r>
        <w:rPr>
          <w:rFonts w:hint="eastAsia"/>
        </w:rPr>
        <w:t>为1.5552亿m</w:t>
      </w:r>
      <w:r>
        <w:rPr>
          <w:rFonts w:hint="eastAsia"/>
          <w:vertAlign w:val="superscript"/>
        </w:rPr>
        <w:t>3</w:t>
      </w:r>
      <w:r>
        <w:rPr>
          <w:rFonts w:hint="eastAsia"/>
        </w:rPr>
        <w:t>。奉节县2022年总用水量为0.9466亿m</w:t>
      </w:r>
      <w:r>
        <w:rPr>
          <w:rFonts w:hint="eastAsia"/>
          <w:vertAlign w:val="superscript"/>
        </w:rPr>
        <w:t>3</w:t>
      </w:r>
      <w:r>
        <w:rPr>
          <w:rFonts w:hint="eastAsia"/>
        </w:rPr>
        <w:t>，属于W=0.9466＜</w:t>
      </w:r>
      <w:r>
        <w:t>0.9</w:t>
      </w:r>
      <m:oMath>
        <m:r>
          <w:rPr>
            <w:rFonts w:ascii="Cambria Math" w:hAnsi="Cambria Math"/>
          </w:rPr>
          <m:t>×</m:t>
        </m:r>
      </m:oMath>
      <w:r>
        <w:t>W</w:t>
      </w:r>
      <w:r>
        <w:rPr>
          <w:vertAlign w:val="subscript"/>
        </w:rPr>
        <w:t>0</w:t>
      </w:r>
      <w:r>
        <w:rPr>
          <w:rFonts w:hint="eastAsia"/>
        </w:rPr>
        <w:t>=1.39968，且G</w:t>
      </w:r>
      <w:r>
        <w:t>＜0.9</w:t>
      </w:r>
      <m:oMath>
        <m:r>
          <w:rPr>
            <w:rFonts w:ascii="Cambria Math" w:hAnsi="Cambria Math"/>
          </w:rPr>
          <m:t>×</m:t>
        </m:r>
      </m:oMath>
      <w:r>
        <w:t>G</w:t>
      </w:r>
      <w:r>
        <w:rPr>
          <w:vertAlign w:val="subscript"/>
        </w:rPr>
        <w:t>0</w:t>
      </w:r>
      <w:r>
        <w:rPr>
          <w:rFonts w:hint="eastAsia"/>
        </w:rPr>
        <w:t>情形，区域水资源承载状况为不超载。</w:t>
      </w:r>
    </w:p>
    <w:p>
      <w:pPr>
        <w:pStyle w:val="5"/>
        <w:ind w:firstLine="480"/>
      </w:pPr>
      <w:r>
        <w:rPr>
          <w:rFonts w:hint="eastAsia"/>
        </w:rPr>
        <w:t>奉节县境内在总量上基本有效缓解了水资源供需矛盾，在“十三五”期间，基本完成了长江南岸片区水资源配置规划和长江北岸片区水资源配置规划，保障奉节县各流域水资源的有效供给及合理配置。在水利工程方面，具体到乡镇仍然存在供水缺口。长江南岸片区共规划新增大小水利工程</w:t>
      </w:r>
      <w:r>
        <w:t>1600余处（包含大溪河流域和长滩河流域奉节段），合计新增可供水量5396万m</w:t>
      </w:r>
      <w:r>
        <w:rPr>
          <w:vertAlign w:val="superscript"/>
        </w:rPr>
        <w:t>3</w:t>
      </w:r>
      <w:r>
        <w:t>。长江北岸片区将草坪河水库、百岛湖水库的建设作为重点，连通草坪河水库与青莲溪水库，形成上游水资源合理、有序、高效开发，中下游河谷有效贯通，有力补充朱衣河、草堂河两流域用水的水资源</w:t>
      </w:r>
      <w:r>
        <w:rPr>
          <w:rFonts w:hint="eastAsia"/>
        </w:rPr>
        <w:t>配置架构，继而满足朱衣河流域中下游西部新城河道内生态（景观）用水以及县城区、西部新城、草堂工业园区的生产生活用水，支撑县城形成了“双水三源”（“双水”指奉节县城市供水形成水库水和长江水组合的常备水源体系，“三源”是未来形成由草坪河水库、青莲溪水库和百岛湖水库等</w:t>
      </w:r>
      <w:r>
        <w:t>3座中型水库形成的县城供水水源体系）的日常供水和城市备用水源体系。</w:t>
      </w:r>
    </w:p>
    <w:p>
      <w:pPr>
        <w:pStyle w:val="5"/>
        <w:ind w:firstLine="480"/>
      </w:pPr>
      <w:r>
        <w:rPr>
          <w:rFonts w:hint="eastAsia"/>
        </w:rPr>
        <w:t>奉节县境内在总量上基本有效缓解了水资源供需矛盾，在“十三五”期间，基本完成了长江南岸片区水资源配置规划和长江北岸片区水资源配置规划，保障奉节县各流域水资源的有效供给及合理配置。在水利工程方面，具体到乡镇仍然存在供水缺口。长江南岸片区共规划新增大小水利工程</w:t>
      </w:r>
      <w:r>
        <w:t>1600余处（包含大溪河流域和长滩河流域奉节段），合计新增可供水量5396万m</w:t>
      </w:r>
      <w:r>
        <w:rPr>
          <w:vertAlign w:val="superscript"/>
        </w:rPr>
        <w:t>3</w:t>
      </w:r>
      <w:r>
        <w:t>。长江北岸片区将草坪河水库、百岛湖水库的建设作为重点，连通草坪河水库与青莲溪水库，形成上游水资源合理、有序、高效开发，中下游河谷有效贯通，有力补充朱衣河、草堂河两流域用水的水资源</w:t>
      </w:r>
      <w:r>
        <w:rPr>
          <w:rFonts w:hint="eastAsia"/>
        </w:rPr>
        <w:t>配置架构，继而满足朱衣河流域中下游西部新城河道内生态（景观）用水以及县城区、西部新城、草堂工业园区的生产生活用水，支撑县城形成了“双水三源”（“双水”指奉节县城市供水形成水库水和长江水组合的常备水源体系，“三源”是未来形成由草坪河水库、青莲溪水库和百岛湖水库等</w:t>
      </w:r>
      <w:r>
        <w:t>3座中型水库形成的县城供水水源体系）的日常供水和城市备用水源体系。</w:t>
      </w:r>
      <w:r>
        <w:rPr>
          <w:rFonts w:hint="eastAsia"/>
        </w:rPr>
        <w:t>朱衣河河道天然落差</w:t>
      </w:r>
      <w:r>
        <w:t>1138.7m，朱衣河流域理论出力35.6MW，理论水能资源可开发量31169万kw·h。</w:t>
      </w:r>
    </w:p>
    <w:p>
      <w:pPr>
        <w:pStyle w:val="5"/>
        <w:ind w:firstLine="480"/>
      </w:pPr>
      <w:r>
        <w:rPr>
          <w:rFonts w:hint="eastAsia"/>
        </w:rPr>
        <w:t>朱衣镇建设有西部新城污水处理厂，朱衣镇大部分区域均已纳入西部新城污水处理厂。</w:t>
      </w:r>
    </w:p>
    <w:p>
      <w:pPr>
        <w:pStyle w:val="5"/>
        <w:numPr>
          <w:ilvl w:val="0"/>
          <w:numId w:val="22"/>
        </w:numPr>
        <w:ind w:firstLineChars="0"/>
      </w:pPr>
      <w:r>
        <w:rPr>
          <w:rFonts w:hint="eastAsia"/>
        </w:rPr>
        <w:t>水资源利用状况</w:t>
      </w:r>
    </w:p>
    <w:p>
      <w:pPr>
        <w:pStyle w:val="5"/>
        <w:ind w:firstLine="480"/>
      </w:pPr>
      <w:r>
        <w:rPr>
          <w:rFonts w:hint="eastAsia"/>
        </w:rPr>
        <w:t>项目区域各类用水量见报告污水量估计章节。</w:t>
      </w:r>
    </w:p>
    <w:p>
      <w:pPr>
        <w:pStyle w:val="4"/>
        <w:spacing w:before="156" w:after="156"/>
      </w:pPr>
      <w:r>
        <w:rPr>
          <w:rFonts w:hint="eastAsia"/>
        </w:rPr>
        <w:t>区域污染源调查</w:t>
      </w:r>
    </w:p>
    <w:p>
      <w:pPr>
        <w:pStyle w:val="5"/>
        <w:numPr>
          <w:ilvl w:val="0"/>
          <w:numId w:val="23"/>
        </w:numPr>
        <w:ind w:firstLineChars="0"/>
      </w:pPr>
      <w:r>
        <w:rPr>
          <w:rFonts w:hint="eastAsia"/>
        </w:rPr>
        <w:t>污水处理厂</w:t>
      </w:r>
    </w:p>
    <w:p>
      <w:pPr>
        <w:pStyle w:val="5"/>
        <w:ind w:firstLine="480"/>
      </w:pPr>
      <w:r>
        <w:rPr>
          <w:rFonts w:hint="eastAsia"/>
        </w:rPr>
        <w:t>西部新城污水处理厂位于朱衣镇胡家坝，位于本项目排放口下游4.0km朱衣河右岸，</w:t>
      </w:r>
      <w:r>
        <w:t>污水处理能力为1.5万m</w:t>
      </w:r>
      <w:r>
        <w:rPr>
          <w:vertAlign w:val="superscript"/>
        </w:rPr>
        <w:t>3</w:t>
      </w:r>
      <w:r>
        <w:t>/d</w:t>
      </w:r>
      <w:r>
        <w:rPr>
          <w:rFonts w:hint="eastAsia"/>
        </w:rPr>
        <w:t>，</w:t>
      </w:r>
      <w:r>
        <w:t>服务范围包括奉节县西部新区和朱衣两个功能片区，服务总面积10.87km</w:t>
      </w:r>
      <w:r>
        <w:rPr>
          <w:vertAlign w:val="superscript"/>
        </w:rPr>
        <w:t>2</w:t>
      </w:r>
      <w:r>
        <w:rPr>
          <w:rFonts w:hint="eastAsia"/>
        </w:rPr>
        <w:t>，排放标准为《城镇污水处理厂污染物排放标准》（GB18918-2002）一级A标准，受纳水体为朱衣河</w:t>
      </w:r>
      <w:r>
        <w:t>。西部新城污水处理厂已经办理了排污许可证（</w:t>
      </w:r>
      <w:r>
        <w:rPr>
          <w:rFonts w:hint="eastAsia"/>
        </w:rPr>
        <w:t>编号：</w:t>
      </w:r>
      <w:r>
        <w:t>91500236</w:t>
      </w:r>
      <w:r>
        <w:rPr>
          <w:rFonts w:hint="eastAsia"/>
        </w:rPr>
        <w:t>MAC4B2QB3W001Q</w:t>
      </w:r>
      <w:r>
        <w:t>）</w:t>
      </w:r>
      <w:r>
        <w:rPr>
          <w:rFonts w:hint="eastAsia"/>
        </w:rPr>
        <w:t>，</w:t>
      </w:r>
      <w:r>
        <w:t>根据202</w:t>
      </w:r>
      <w:r>
        <w:rPr>
          <w:rFonts w:hint="eastAsia"/>
        </w:rPr>
        <w:t>3</w:t>
      </w:r>
      <w:r>
        <w:t>年西部新城污水处理厂排污许可证执行报告</w:t>
      </w:r>
      <w:r>
        <w:rPr>
          <w:rFonts w:hint="eastAsia"/>
        </w:rPr>
        <w:t>，</w:t>
      </w:r>
      <w:r>
        <w:t>污染物</w:t>
      </w:r>
      <w:r>
        <w:rPr>
          <w:rFonts w:hint="eastAsia"/>
        </w:rPr>
        <w:t>排放</w:t>
      </w:r>
      <w:r>
        <w:t>情况</w:t>
      </w:r>
      <w:r>
        <w:rPr>
          <w:rFonts w:hint="eastAsia"/>
        </w:rPr>
        <w:t>见</w:t>
      </w:r>
      <w:r>
        <w:fldChar w:fldCharType="begin"/>
      </w:r>
      <w:r>
        <w:instrText xml:space="preserve"> </w:instrText>
      </w:r>
      <w:r>
        <w:rPr>
          <w:rFonts w:hint="eastAsia"/>
        </w:rPr>
        <w:instrText xml:space="preserve">REF _Ref170140776 \h</w:instrText>
      </w:r>
      <w:r>
        <w:instrText xml:space="preserve"> </w:instrText>
      </w:r>
      <w:r>
        <w:fldChar w:fldCharType="separate"/>
      </w:r>
      <w:r>
        <w:t>表 3.2</w:t>
      </w:r>
      <w:r>
        <w:noBreakHyphen/>
      </w:r>
      <w:r>
        <w:t>8</w:t>
      </w:r>
      <w:r>
        <w:fldChar w:fldCharType="end"/>
      </w:r>
      <w:r>
        <w:t>。</w:t>
      </w:r>
    </w:p>
    <w:p>
      <w:pPr>
        <w:pStyle w:val="14"/>
        <w:keepNext/>
      </w:pPr>
      <w:bookmarkStart w:id="110" w:name="_Ref170140776"/>
      <w:r>
        <w:t xml:space="preserve">表 </w:t>
      </w:r>
      <w:r>
        <w:fldChar w:fldCharType="begin"/>
      </w:r>
      <w:r>
        <w:instrText xml:space="preserve"> STYLEREF 2 \s </w:instrText>
      </w:r>
      <w:r>
        <w:fldChar w:fldCharType="separate"/>
      </w:r>
      <w:r>
        <w:t>3.2</w:t>
      </w:r>
      <w:r>
        <w:fldChar w:fldCharType="end"/>
      </w:r>
      <w:r>
        <w:noBreakHyphen/>
      </w:r>
      <w:r>
        <w:fldChar w:fldCharType="begin"/>
      </w:r>
      <w:r>
        <w:instrText xml:space="preserve"> SEQ 表 \* ARABIC \s 2 </w:instrText>
      </w:r>
      <w:r>
        <w:fldChar w:fldCharType="separate"/>
      </w:r>
      <w:r>
        <w:t>8</w:t>
      </w:r>
      <w:r>
        <w:fldChar w:fldCharType="end"/>
      </w:r>
      <w:bookmarkEnd w:id="110"/>
      <w:r>
        <w:rPr>
          <w:rFonts w:hint="eastAsia"/>
        </w:rPr>
        <w:t xml:space="preserve">   2023年西部新城污水处理厂主要水污染物排放情况</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2103"/>
        <w:gridCol w:w="2330"/>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5" w:type="dxa"/>
            <w:vAlign w:val="center"/>
          </w:tcPr>
          <w:p>
            <w:pPr>
              <w:pStyle w:val="63"/>
            </w:pPr>
            <w:r>
              <w:rPr>
                <w:rFonts w:hint="eastAsia"/>
              </w:rPr>
              <w:t>污染物</w:t>
            </w:r>
          </w:p>
        </w:tc>
        <w:tc>
          <w:tcPr>
            <w:tcW w:w="2103" w:type="dxa"/>
            <w:vAlign w:val="center"/>
          </w:tcPr>
          <w:p>
            <w:pPr>
              <w:pStyle w:val="63"/>
            </w:pPr>
            <w:r>
              <w:rPr>
                <w:rFonts w:hint="eastAsia"/>
              </w:rPr>
              <w:t>水量m</w:t>
            </w:r>
            <w:r>
              <w:rPr>
                <w:rFonts w:hint="eastAsia"/>
                <w:vertAlign w:val="superscript"/>
              </w:rPr>
              <w:t>3</w:t>
            </w:r>
            <w:r>
              <w:rPr>
                <w:rFonts w:hint="eastAsia"/>
              </w:rPr>
              <w:t>/a</w:t>
            </w:r>
          </w:p>
        </w:tc>
        <w:tc>
          <w:tcPr>
            <w:tcW w:w="2330" w:type="dxa"/>
            <w:vAlign w:val="center"/>
          </w:tcPr>
          <w:p>
            <w:pPr>
              <w:pStyle w:val="63"/>
            </w:pPr>
            <w:r>
              <w:rPr>
                <w:rFonts w:hint="eastAsia"/>
              </w:rPr>
              <w:t>平均浓度mg/L</w:t>
            </w:r>
          </w:p>
        </w:tc>
        <w:tc>
          <w:tcPr>
            <w:tcW w:w="2330" w:type="dxa"/>
            <w:vAlign w:val="center"/>
          </w:tcPr>
          <w:p>
            <w:pPr>
              <w:pStyle w:val="63"/>
            </w:pPr>
            <w:r>
              <w:rPr>
                <w:rFonts w:hint="eastAsia"/>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5" w:type="dxa"/>
            <w:vAlign w:val="center"/>
          </w:tcPr>
          <w:p>
            <w:pPr>
              <w:pStyle w:val="63"/>
            </w:pPr>
            <w:r>
              <w:rPr>
                <w:rFonts w:hint="eastAsia"/>
              </w:rPr>
              <w:t>COD</w:t>
            </w:r>
          </w:p>
        </w:tc>
        <w:tc>
          <w:tcPr>
            <w:tcW w:w="2103" w:type="dxa"/>
            <w:vMerge w:val="restart"/>
            <w:vAlign w:val="center"/>
          </w:tcPr>
          <w:p>
            <w:pPr>
              <w:pStyle w:val="63"/>
            </w:pPr>
            <w:r>
              <w:rPr>
                <w:rFonts w:hint="eastAsia"/>
              </w:rPr>
              <w:t>857161</w:t>
            </w:r>
          </w:p>
        </w:tc>
        <w:tc>
          <w:tcPr>
            <w:tcW w:w="2330" w:type="dxa"/>
            <w:vAlign w:val="center"/>
          </w:tcPr>
          <w:p>
            <w:pPr>
              <w:pStyle w:val="63"/>
            </w:pPr>
            <w:r>
              <w:rPr>
                <w:rFonts w:hint="eastAsia"/>
              </w:rPr>
              <w:t>34.06</w:t>
            </w:r>
          </w:p>
        </w:tc>
        <w:tc>
          <w:tcPr>
            <w:tcW w:w="2330" w:type="dxa"/>
          </w:tcPr>
          <w:p>
            <w:pPr>
              <w:pStyle w:val="63"/>
            </w:pPr>
            <w:r>
              <w:t xml:space="preserve">29.19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5" w:type="dxa"/>
            <w:vAlign w:val="center"/>
          </w:tcPr>
          <w:p>
            <w:pPr>
              <w:pStyle w:val="63"/>
            </w:pPr>
            <w:r>
              <w:rPr>
                <w:rFonts w:hint="eastAsia"/>
              </w:rPr>
              <w:t>氨氮</w:t>
            </w:r>
          </w:p>
        </w:tc>
        <w:tc>
          <w:tcPr>
            <w:tcW w:w="2103" w:type="dxa"/>
            <w:vMerge w:val="continue"/>
            <w:vAlign w:val="center"/>
          </w:tcPr>
          <w:p>
            <w:pPr>
              <w:pStyle w:val="63"/>
            </w:pPr>
          </w:p>
        </w:tc>
        <w:tc>
          <w:tcPr>
            <w:tcW w:w="2330" w:type="dxa"/>
            <w:vAlign w:val="center"/>
          </w:tcPr>
          <w:p>
            <w:pPr>
              <w:pStyle w:val="63"/>
            </w:pPr>
            <w:r>
              <w:rPr>
                <w:rFonts w:hint="eastAsia"/>
              </w:rPr>
              <w:t>2.39</w:t>
            </w:r>
          </w:p>
        </w:tc>
        <w:tc>
          <w:tcPr>
            <w:tcW w:w="2330" w:type="dxa"/>
          </w:tcPr>
          <w:p>
            <w:pPr>
              <w:pStyle w:val="63"/>
            </w:pPr>
            <w:r>
              <w:t xml:space="preserve">2.05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5" w:type="dxa"/>
            <w:vAlign w:val="center"/>
          </w:tcPr>
          <w:p>
            <w:pPr>
              <w:pStyle w:val="63"/>
            </w:pPr>
            <w:r>
              <w:rPr>
                <w:rFonts w:hint="eastAsia"/>
              </w:rPr>
              <w:t>总磷</w:t>
            </w:r>
          </w:p>
        </w:tc>
        <w:tc>
          <w:tcPr>
            <w:tcW w:w="2103" w:type="dxa"/>
            <w:vMerge w:val="continue"/>
            <w:vAlign w:val="center"/>
          </w:tcPr>
          <w:p>
            <w:pPr>
              <w:pStyle w:val="63"/>
            </w:pPr>
          </w:p>
        </w:tc>
        <w:tc>
          <w:tcPr>
            <w:tcW w:w="2330" w:type="dxa"/>
            <w:vAlign w:val="center"/>
          </w:tcPr>
          <w:p>
            <w:pPr>
              <w:pStyle w:val="63"/>
            </w:pPr>
            <w:r>
              <w:rPr>
                <w:rFonts w:hint="eastAsia"/>
              </w:rPr>
              <w:t>0.36</w:t>
            </w:r>
          </w:p>
        </w:tc>
        <w:tc>
          <w:tcPr>
            <w:tcW w:w="2330" w:type="dxa"/>
          </w:tcPr>
          <w:p>
            <w:pPr>
              <w:pStyle w:val="63"/>
            </w:pPr>
            <w:r>
              <w:t xml:space="preserve">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85" w:type="dxa"/>
            <w:vAlign w:val="center"/>
          </w:tcPr>
          <w:p>
            <w:pPr>
              <w:pStyle w:val="63"/>
            </w:pPr>
            <w:r>
              <w:rPr>
                <w:rFonts w:hint="eastAsia"/>
              </w:rPr>
              <w:t>总氮</w:t>
            </w:r>
          </w:p>
        </w:tc>
        <w:tc>
          <w:tcPr>
            <w:tcW w:w="2103" w:type="dxa"/>
            <w:vMerge w:val="continue"/>
            <w:vAlign w:val="center"/>
          </w:tcPr>
          <w:p>
            <w:pPr>
              <w:pStyle w:val="63"/>
            </w:pPr>
          </w:p>
        </w:tc>
        <w:tc>
          <w:tcPr>
            <w:tcW w:w="2330" w:type="dxa"/>
            <w:vAlign w:val="center"/>
          </w:tcPr>
          <w:p>
            <w:pPr>
              <w:pStyle w:val="63"/>
            </w:pPr>
            <w:r>
              <w:rPr>
                <w:rFonts w:hint="eastAsia"/>
              </w:rPr>
              <w:t>12.48</w:t>
            </w:r>
          </w:p>
        </w:tc>
        <w:tc>
          <w:tcPr>
            <w:tcW w:w="2330" w:type="dxa"/>
          </w:tcPr>
          <w:p>
            <w:pPr>
              <w:pStyle w:val="63"/>
            </w:pPr>
            <w:r>
              <w:rPr>
                <w:rFonts w:hint="eastAsia"/>
              </w:rPr>
              <w:t>10.70</w:t>
            </w:r>
          </w:p>
        </w:tc>
      </w:tr>
    </w:tbl>
    <w:p/>
    <w:p>
      <w:pPr>
        <w:pStyle w:val="5"/>
        <w:numPr>
          <w:ilvl w:val="0"/>
          <w:numId w:val="23"/>
        </w:numPr>
        <w:ind w:firstLineChars="0"/>
      </w:pPr>
      <w:r>
        <w:rPr>
          <w:rFonts w:hint="eastAsia"/>
        </w:rPr>
        <w:t>面源污染源</w:t>
      </w:r>
    </w:p>
    <w:p>
      <w:pPr>
        <w:pStyle w:val="5"/>
        <w:ind w:firstLine="480"/>
      </w:pPr>
      <w:r>
        <w:rPr>
          <w:rFonts w:hint="eastAsia"/>
        </w:rPr>
        <w:t>项目周围主要为城市建成区，产生的污水收集后进入污水处理厂处理达标后排放，因此本次评价不考虑面源污染源。</w:t>
      </w:r>
    </w:p>
    <w:p>
      <w:pPr>
        <w:pStyle w:val="2"/>
      </w:pPr>
      <w:r>
        <w:rPr>
          <w:rFonts w:hint="eastAsia"/>
        </w:rPr>
        <w:t>环境影响预测与评价</w:t>
      </w:r>
    </w:p>
    <w:p>
      <w:pPr>
        <w:pStyle w:val="3"/>
        <w:spacing w:before="156" w:after="156"/>
      </w:pPr>
      <w:r>
        <w:rPr>
          <w:rFonts w:hint="eastAsia"/>
        </w:rPr>
        <w:t>施工期环境影响预测与评价</w:t>
      </w:r>
    </w:p>
    <w:p>
      <w:pPr>
        <w:pStyle w:val="5"/>
        <w:ind w:firstLine="480"/>
      </w:pPr>
      <w:r>
        <w:rPr>
          <w:rFonts w:hint="eastAsia"/>
        </w:rPr>
        <w:t>由工程分析可知，施工期的污水主要是施工人员少量的生活污水和少量施工废水。</w:t>
      </w:r>
    </w:p>
    <w:p>
      <w:pPr>
        <w:pStyle w:val="5"/>
        <w:ind w:firstLine="480"/>
      </w:pPr>
      <w:r>
        <w:rPr>
          <w:rFonts w:hint="eastAsia"/>
        </w:rPr>
        <w:t>（</w:t>
      </w:r>
      <w:r>
        <w:t>1）生活污水</w:t>
      </w:r>
    </w:p>
    <w:p>
      <w:pPr>
        <w:pStyle w:val="5"/>
        <w:ind w:firstLine="480"/>
      </w:pPr>
      <w:r>
        <w:rPr>
          <w:rFonts w:hint="eastAsia"/>
        </w:rPr>
        <w:t>施工场地设置施工营地，施工人员生活污水通过施工营地内设置的化粪池处理后，周围果园利用。</w:t>
      </w:r>
    </w:p>
    <w:p>
      <w:pPr>
        <w:pStyle w:val="5"/>
        <w:ind w:firstLine="480"/>
      </w:pPr>
      <w:r>
        <w:rPr>
          <w:rFonts w:hint="eastAsia"/>
        </w:rPr>
        <w:t>（</w:t>
      </w:r>
      <w:r>
        <w:t>2）施工废水</w:t>
      </w:r>
    </w:p>
    <w:p>
      <w:pPr>
        <w:pStyle w:val="5"/>
        <w:ind w:firstLine="480"/>
      </w:pPr>
      <w:r>
        <w:rPr>
          <w:rFonts w:hint="eastAsia"/>
        </w:rPr>
        <w:t>混凝土采用商品混凝土，不在现场设混凝土搅拌站；施工场地设置沉砂池等，施工废水经场地内沉淀池经沉淀后回用于施工场地喷洒降尘，不外排。</w:t>
      </w:r>
    </w:p>
    <w:p>
      <w:pPr>
        <w:pStyle w:val="3"/>
        <w:spacing w:before="156" w:after="156"/>
      </w:pPr>
      <w:r>
        <w:rPr>
          <w:rFonts w:hint="eastAsia"/>
        </w:rPr>
        <w:t>营运期环境影响预测与评价</w:t>
      </w:r>
    </w:p>
    <w:p>
      <w:pPr>
        <w:pStyle w:val="4"/>
        <w:spacing w:before="156" w:after="156"/>
      </w:pPr>
      <w:r>
        <w:rPr>
          <w:rFonts w:hint="eastAsia"/>
        </w:rPr>
        <w:t>对区域地表水环境正效应分析</w:t>
      </w:r>
    </w:p>
    <w:p>
      <w:pPr>
        <w:pStyle w:val="5"/>
        <w:ind w:firstLine="480"/>
      </w:pPr>
      <w:r>
        <w:rPr>
          <w:rFonts w:hint="eastAsia"/>
        </w:rPr>
        <w:t>本项目收集区域的工业废水及生活污水进行集中处理达《城镇污水处理厂污染物排放标准》（</w:t>
      </w:r>
      <w:r>
        <w:t>GB18918 2002）一级 A 标准</w:t>
      </w:r>
      <w:r>
        <w:rPr>
          <w:rFonts w:hint="eastAsia"/>
        </w:rPr>
        <w:t>后排入朱衣河，减少因区域发展排入水体的污染物量。对区域地表水体来说，本项目的实施满足了社会、经济的发展对环境保护的要求，项目的实施利于水体水质的保护，具有较大的环境正效益。</w:t>
      </w:r>
    </w:p>
    <w:p>
      <w:pPr>
        <w:pStyle w:val="4"/>
        <w:spacing w:before="156" w:after="156"/>
      </w:pPr>
      <w:r>
        <w:rPr>
          <w:rFonts w:hint="eastAsia"/>
        </w:rPr>
        <w:t>预测因子、时段和内容</w:t>
      </w:r>
    </w:p>
    <w:p>
      <w:pPr>
        <w:pStyle w:val="5"/>
        <w:ind w:firstLine="480"/>
      </w:pPr>
      <w:r>
        <w:rPr>
          <w:rFonts w:hint="eastAsia"/>
        </w:rPr>
        <w:t>（</w:t>
      </w:r>
      <w:r>
        <w:t>1）预测因子</w:t>
      </w:r>
    </w:p>
    <w:p>
      <w:pPr>
        <w:pStyle w:val="5"/>
        <w:ind w:firstLine="480"/>
      </w:pPr>
      <w:r>
        <w:rPr>
          <w:rFonts w:hint="eastAsia"/>
        </w:rPr>
        <w:t>项目预测因子为</w:t>
      </w:r>
      <w:r>
        <w:t>COD、NH</w:t>
      </w:r>
      <w:r>
        <w:rPr>
          <w:vertAlign w:val="subscript"/>
        </w:rPr>
        <w:t>3</w:t>
      </w:r>
      <w:r>
        <w:t>-N、TP。</w:t>
      </w:r>
    </w:p>
    <w:p>
      <w:pPr>
        <w:pStyle w:val="5"/>
        <w:ind w:firstLine="480"/>
      </w:pPr>
      <w:r>
        <w:rPr>
          <w:rFonts w:hint="eastAsia"/>
        </w:rPr>
        <w:t>（</w:t>
      </w:r>
      <w:r>
        <w:t>2）</w:t>
      </w:r>
      <w:r>
        <w:rPr>
          <w:rFonts w:hint="eastAsia"/>
        </w:rPr>
        <w:t>预测时期</w:t>
      </w:r>
    </w:p>
    <w:p>
      <w:pPr>
        <w:pStyle w:val="5"/>
        <w:ind w:firstLine="480"/>
      </w:pPr>
      <w:r>
        <w:rPr>
          <w:rFonts w:hint="eastAsia"/>
        </w:rPr>
        <w:t>根据《环境影响评价技术导则</w:t>
      </w:r>
      <w:r>
        <w:t xml:space="preserve"> 地表水环境》（HJ/T2.3-2018），建设项目地表水环境影响评价时期根据受影响地表水体类型、评价等级等确定。</w:t>
      </w:r>
      <w:r>
        <w:rPr>
          <w:rFonts w:hint="eastAsia"/>
        </w:rPr>
        <w:t>根据</w:t>
      </w:r>
      <w:r>
        <w:t>HJ/T2.3-2018</w:t>
      </w:r>
      <w:r>
        <w:rPr>
          <w:rFonts w:hint="eastAsia"/>
        </w:rPr>
        <w:t>（1）本项目地表水评价等级为二级，至少枯水期；（2）本项目为水污染影响型建设项目，根据</w:t>
      </w:r>
      <w:r>
        <w:t>HJ/T2.3-2018</w:t>
      </w:r>
      <w:r>
        <w:rPr>
          <w:rFonts w:hint="eastAsia"/>
        </w:rPr>
        <w:t xml:space="preserve"> 7.3 要求，水污染影响型建设项目，水体自净能力最不利以及水质状况相对较差的不利时期、水环境现状补充监测时期应作为重点预测时期。</w:t>
      </w:r>
    </w:p>
    <w:p>
      <w:pPr>
        <w:pStyle w:val="5"/>
        <w:ind w:firstLine="480"/>
      </w:pPr>
      <w:r>
        <w:rPr>
          <w:rFonts w:hint="eastAsia"/>
        </w:rPr>
        <w:t>综合考虑，本项目预测时期选择为朱衣河枯水期和水环境现状补充监测时期（7月）</w:t>
      </w:r>
      <w:r>
        <w:t>。</w:t>
      </w:r>
    </w:p>
    <w:p>
      <w:pPr>
        <w:pStyle w:val="5"/>
        <w:ind w:firstLine="480"/>
      </w:pPr>
      <w:r>
        <w:rPr>
          <w:rFonts w:hint="eastAsia"/>
        </w:rPr>
        <w:t>（</w:t>
      </w:r>
      <w:r>
        <w:t>3）预测范围</w:t>
      </w:r>
    </w:p>
    <w:p>
      <w:pPr>
        <w:pStyle w:val="5"/>
        <w:ind w:firstLine="480"/>
      </w:pPr>
      <w:r>
        <w:rPr>
          <w:rFonts w:hint="eastAsia"/>
        </w:rPr>
        <w:t>预测范围为项目排污口至朱衣河汇入长江口10.0</w:t>
      </w:r>
      <w:r>
        <w:t>km河段。</w:t>
      </w:r>
    </w:p>
    <w:p>
      <w:pPr>
        <w:pStyle w:val="5"/>
        <w:ind w:firstLine="480"/>
      </w:pPr>
      <w:r>
        <w:rPr>
          <w:rFonts w:hint="eastAsia"/>
        </w:rPr>
        <w:t>（</w:t>
      </w:r>
      <w:r>
        <w:t>4）预测情景</w:t>
      </w:r>
    </w:p>
    <w:p>
      <w:pPr>
        <w:pStyle w:val="5"/>
        <w:ind w:firstLine="480"/>
      </w:pPr>
      <w:r>
        <w:rPr>
          <w:rFonts w:hint="eastAsia"/>
        </w:rPr>
        <w:t>预测情景为运行期正常排放、非正常排放两种工况对水环境的影响。</w:t>
      </w:r>
    </w:p>
    <w:p>
      <w:pPr>
        <w:pStyle w:val="5"/>
        <w:ind w:firstLine="480"/>
      </w:pPr>
      <w:r>
        <w:rPr>
          <w:rFonts w:hint="eastAsia"/>
        </w:rPr>
        <w:t>（</w:t>
      </w:r>
      <w:r>
        <w:t>5）预测内容</w:t>
      </w:r>
    </w:p>
    <w:p>
      <w:pPr>
        <w:pStyle w:val="5"/>
        <w:ind w:firstLine="480"/>
      </w:pPr>
      <w:r>
        <w:rPr>
          <w:rFonts w:hint="eastAsia"/>
        </w:rPr>
        <w:t>预测内容主要为：</w:t>
      </w:r>
      <w:r>
        <w:t>排污口下游不同距离断面水质预测因子的浓度及变化</w:t>
      </w:r>
      <w:r>
        <w:rPr>
          <w:rFonts w:hint="eastAsia"/>
        </w:rPr>
        <w:t>。其中10~12月份三峡水库蓄水位至175m，朱衣河河口至冒峰村河段受长江回水的影响（长度为距离河口约6.0km河道），该河段水位保持在175m，形成河道型水库，其他月份下降至145m，形成河流。朱衣河枯水期为12月~次年3月，所以项目枯水期朱衣河排口至冒峰村河段采用河流模式预测，冒峰村河段至朱衣河河口采用湖库均匀混合模型预测。水环境现状补充监测时期（7月）采用河流模式预测。</w:t>
      </w:r>
    </w:p>
    <w:p>
      <w:pPr>
        <w:pStyle w:val="4"/>
        <w:spacing w:before="156" w:after="156"/>
      </w:pPr>
      <w:r>
        <w:rPr>
          <w:rFonts w:hint="eastAsia"/>
        </w:rPr>
        <w:t>源强</w:t>
      </w:r>
    </w:p>
    <w:p>
      <w:pPr>
        <w:pStyle w:val="5"/>
        <w:ind w:firstLine="480"/>
      </w:pPr>
      <w:r>
        <w:rPr>
          <w:rFonts w:hint="eastAsia"/>
        </w:rPr>
        <w:t>项目源强详见</w:t>
      </w:r>
      <w:r>
        <w:fldChar w:fldCharType="begin"/>
      </w:r>
      <w:r>
        <w:instrText xml:space="preserve"> </w:instrText>
      </w:r>
      <w:r>
        <w:rPr>
          <w:rFonts w:hint="eastAsia"/>
        </w:rPr>
        <w:instrText xml:space="preserve">REF _Ref169794498 \h</w:instrText>
      </w:r>
      <w:r>
        <w:instrText xml:space="preserve"> </w:instrText>
      </w:r>
      <w:r>
        <w:fldChar w:fldCharType="separate"/>
      </w:r>
      <w:r>
        <w:t>表 2.1</w:t>
      </w:r>
      <w:r>
        <w:noBreakHyphen/>
      </w:r>
      <w:r>
        <w:t>1</w:t>
      </w:r>
      <w:r>
        <w:fldChar w:fldCharType="end"/>
      </w:r>
      <w:r>
        <w:rPr>
          <w:rFonts w:hint="eastAsia"/>
        </w:rPr>
        <w:t>，西部新城污水处理厂污染物排放情况按满负荷达标排放情况预测。</w:t>
      </w:r>
    </w:p>
    <w:p>
      <w:pPr>
        <w:pStyle w:val="4"/>
        <w:spacing w:before="156" w:after="156"/>
      </w:pPr>
      <w:r>
        <w:rPr>
          <w:rFonts w:hint="eastAsia"/>
        </w:rPr>
        <w:t>水文参数</w:t>
      </w:r>
    </w:p>
    <w:p>
      <w:pPr>
        <w:pStyle w:val="5"/>
        <w:ind w:firstLine="480"/>
      </w:pPr>
      <w:r>
        <w:rPr>
          <w:rFonts w:hint="eastAsia"/>
        </w:rPr>
        <w:t>根据本项目地表水专项评价3.1节，本次评价水文参数见</w:t>
      </w:r>
      <w:r>
        <w:fldChar w:fldCharType="begin"/>
      </w:r>
      <w:r>
        <w:instrText xml:space="preserve"> </w:instrText>
      </w:r>
      <w:r>
        <w:rPr>
          <w:rFonts w:hint="eastAsia"/>
        </w:rPr>
        <w:instrText xml:space="preserve">REF _Ref143239499 \h</w:instrText>
      </w:r>
      <w:r>
        <w:instrText xml:space="preserve"> </w:instrText>
      </w:r>
      <w:r>
        <w:fldChar w:fldCharType="separate"/>
      </w:r>
      <w:r>
        <w:rPr>
          <w:rFonts w:hint="eastAsia"/>
        </w:rPr>
        <w:t xml:space="preserve">表 </w:t>
      </w:r>
      <w:r>
        <w:t>4.2</w:t>
      </w:r>
      <w:r>
        <w:noBreakHyphen/>
      </w:r>
      <w:r>
        <w:t>1</w:t>
      </w:r>
      <w:r>
        <w:fldChar w:fldCharType="end"/>
      </w:r>
      <w:r>
        <w:rPr>
          <w:rFonts w:hint="eastAsia"/>
        </w:rPr>
        <w:t>。</w:t>
      </w:r>
    </w:p>
    <w:p>
      <w:pPr>
        <w:pStyle w:val="14"/>
        <w:keepNext/>
      </w:pPr>
      <w:bookmarkStart w:id="111" w:name="_Ref143239499"/>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11"/>
      <w:r>
        <w:t xml:space="preserve">   </w:t>
      </w:r>
      <w:r>
        <w:rPr>
          <w:rFonts w:hint="eastAsia"/>
        </w:rPr>
        <w:t>本次评价水文参数</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701"/>
        <w:gridCol w:w="1843"/>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rPr>
                <w:rFonts w:hint="eastAsia"/>
              </w:rPr>
              <w:t>项目</w:t>
            </w:r>
          </w:p>
        </w:tc>
        <w:tc>
          <w:tcPr>
            <w:tcW w:w="1701" w:type="dxa"/>
          </w:tcPr>
          <w:p>
            <w:pPr>
              <w:pStyle w:val="63"/>
            </w:pPr>
            <w:r>
              <w:rPr>
                <w:rFonts w:hint="eastAsia"/>
              </w:rPr>
              <w:t>补充监测期</w:t>
            </w:r>
          </w:p>
          <w:p>
            <w:pPr>
              <w:pStyle w:val="63"/>
            </w:pPr>
            <w:r>
              <w:rPr>
                <w:rFonts w:hint="eastAsia"/>
              </w:rPr>
              <w:t>（7月，145m）</w:t>
            </w:r>
          </w:p>
        </w:tc>
        <w:tc>
          <w:tcPr>
            <w:tcW w:w="1843" w:type="dxa"/>
            <w:vAlign w:val="center"/>
          </w:tcPr>
          <w:p>
            <w:pPr>
              <w:pStyle w:val="63"/>
            </w:pPr>
            <w:r>
              <w:rPr>
                <w:rFonts w:hint="eastAsia"/>
              </w:rPr>
              <w:t>枯水期</w:t>
            </w:r>
          </w:p>
          <w:p>
            <w:pPr>
              <w:pStyle w:val="63"/>
            </w:pPr>
            <w:r>
              <w:rPr>
                <w:rFonts w:hint="eastAsia"/>
              </w:rPr>
              <w:t>（12月，175m）</w:t>
            </w:r>
          </w:p>
        </w:tc>
        <w:tc>
          <w:tcPr>
            <w:tcW w:w="3424" w:type="dxa"/>
            <w:vAlign w:val="center"/>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rPr>
                <w:rFonts w:hint="eastAsia"/>
              </w:rPr>
              <w:t>河流流量（m</w:t>
            </w:r>
            <w:r>
              <w:rPr>
                <w:rFonts w:hint="eastAsia"/>
                <w:vertAlign w:val="superscript"/>
              </w:rPr>
              <w:t>3</w:t>
            </w:r>
            <w:r>
              <w:rPr>
                <w:rFonts w:hint="eastAsia"/>
              </w:rPr>
              <w:t>/s）</w:t>
            </w:r>
          </w:p>
        </w:tc>
        <w:tc>
          <w:tcPr>
            <w:tcW w:w="1701" w:type="dxa"/>
          </w:tcPr>
          <w:p>
            <w:pPr>
              <w:pStyle w:val="63"/>
            </w:pPr>
            <w:r>
              <w:rPr>
                <w:rFonts w:hint="eastAsia"/>
              </w:rPr>
              <w:t>7.82</w:t>
            </w:r>
          </w:p>
        </w:tc>
        <w:tc>
          <w:tcPr>
            <w:tcW w:w="1843" w:type="dxa"/>
            <w:vAlign w:val="center"/>
          </w:tcPr>
          <w:p>
            <w:pPr>
              <w:pStyle w:val="63"/>
            </w:pPr>
            <w:r>
              <w:rPr>
                <w:rFonts w:hint="eastAsia"/>
              </w:rPr>
              <w:t>0.72</w:t>
            </w:r>
          </w:p>
        </w:tc>
        <w:tc>
          <w:tcPr>
            <w:tcW w:w="3424" w:type="dxa"/>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rPr>
                <w:rFonts w:hint="eastAsia"/>
              </w:rPr>
              <w:t>河宽B（m）</w:t>
            </w:r>
          </w:p>
        </w:tc>
        <w:tc>
          <w:tcPr>
            <w:tcW w:w="1701" w:type="dxa"/>
          </w:tcPr>
          <w:p>
            <w:pPr>
              <w:pStyle w:val="63"/>
            </w:pPr>
            <w:r>
              <w:rPr>
                <w:rFonts w:hint="eastAsia"/>
              </w:rPr>
              <w:t>20</w:t>
            </w:r>
          </w:p>
        </w:tc>
        <w:tc>
          <w:tcPr>
            <w:tcW w:w="1843" w:type="dxa"/>
            <w:vAlign w:val="center"/>
          </w:tcPr>
          <w:p>
            <w:pPr>
              <w:pStyle w:val="63"/>
            </w:pPr>
            <w:r>
              <w:rPr>
                <w:rFonts w:hint="eastAsia"/>
              </w:rPr>
              <w:t>12</w:t>
            </w:r>
          </w:p>
        </w:tc>
        <w:tc>
          <w:tcPr>
            <w:tcW w:w="3424"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rPr>
                <w:rFonts w:hint="eastAsia"/>
              </w:rPr>
              <w:t>流速u（m/s）</w:t>
            </w:r>
          </w:p>
        </w:tc>
        <w:tc>
          <w:tcPr>
            <w:tcW w:w="1701" w:type="dxa"/>
          </w:tcPr>
          <w:p>
            <w:pPr>
              <w:pStyle w:val="63"/>
            </w:pPr>
            <w:r>
              <w:rPr>
                <w:rFonts w:hint="eastAsia"/>
              </w:rPr>
              <w:t>0.391</w:t>
            </w:r>
          </w:p>
        </w:tc>
        <w:tc>
          <w:tcPr>
            <w:tcW w:w="1843" w:type="dxa"/>
            <w:vAlign w:val="center"/>
          </w:tcPr>
          <w:p>
            <w:pPr>
              <w:pStyle w:val="63"/>
            </w:pPr>
            <w:r>
              <w:t>0.</w:t>
            </w:r>
            <w:r>
              <w:rPr>
                <w:rFonts w:hint="eastAsia"/>
              </w:rPr>
              <w:t>118</w:t>
            </w:r>
          </w:p>
        </w:tc>
        <w:tc>
          <w:tcPr>
            <w:tcW w:w="3424"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rPr>
                <w:rFonts w:hint="eastAsia"/>
              </w:rPr>
              <w:t>平均水深H（m）</w:t>
            </w:r>
          </w:p>
        </w:tc>
        <w:tc>
          <w:tcPr>
            <w:tcW w:w="1701" w:type="dxa"/>
          </w:tcPr>
          <w:p>
            <w:pPr>
              <w:pStyle w:val="63"/>
            </w:pPr>
            <w:r>
              <w:rPr>
                <w:rFonts w:hint="eastAsia"/>
              </w:rPr>
              <w:t>1</w:t>
            </w:r>
          </w:p>
        </w:tc>
        <w:tc>
          <w:tcPr>
            <w:tcW w:w="1843" w:type="dxa"/>
            <w:vAlign w:val="center"/>
          </w:tcPr>
          <w:p>
            <w:pPr>
              <w:pStyle w:val="63"/>
            </w:pPr>
            <w:r>
              <w:rPr>
                <w:rFonts w:hint="eastAsia"/>
              </w:rPr>
              <w:t>0.51</w:t>
            </w:r>
          </w:p>
        </w:tc>
        <w:tc>
          <w:tcPr>
            <w:tcW w:w="3424"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rPr>
                <w:rFonts w:hint="eastAsia"/>
              </w:rPr>
              <w:t>水面坡降I（‰）</w:t>
            </w:r>
          </w:p>
        </w:tc>
        <w:tc>
          <w:tcPr>
            <w:tcW w:w="1701" w:type="dxa"/>
          </w:tcPr>
          <w:p>
            <w:pPr>
              <w:pStyle w:val="63"/>
            </w:pPr>
            <w:r>
              <w:rPr>
                <w:rFonts w:hint="eastAsia"/>
              </w:rPr>
              <w:t>0.0085</w:t>
            </w:r>
          </w:p>
        </w:tc>
        <w:tc>
          <w:tcPr>
            <w:tcW w:w="1843" w:type="dxa"/>
            <w:vAlign w:val="center"/>
          </w:tcPr>
          <w:p>
            <w:pPr>
              <w:pStyle w:val="63"/>
            </w:pPr>
            <w:r>
              <w:rPr>
                <w:rFonts w:hint="eastAsia"/>
              </w:rPr>
              <w:t>0.0075</w:t>
            </w:r>
          </w:p>
        </w:tc>
        <w:tc>
          <w:tcPr>
            <w:tcW w:w="3424"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rPr>
                <w:rFonts w:hint="eastAsia"/>
              </w:rPr>
              <w:t>排污口离岸边距离（m）</w:t>
            </w:r>
          </w:p>
        </w:tc>
        <w:tc>
          <w:tcPr>
            <w:tcW w:w="1701" w:type="dxa"/>
            <w:vAlign w:val="center"/>
          </w:tcPr>
          <w:p>
            <w:pPr>
              <w:pStyle w:val="63"/>
            </w:pPr>
            <w:r>
              <w:rPr>
                <w:rFonts w:hint="eastAsia"/>
              </w:rPr>
              <w:t>0</w:t>
            </w:r>
          </w:p>
        </w:tc>
        <w:tc>
          <w:tcPr>
            <w:tcW w:w="1843" w:type="dxa"/>
            <w:vAlign w:val="center"/>
          </w:tcPr>
          <w:p>
            <w:pPr>
              <w:pStyle w:val="63"/>
            </w:pPr>
            <w:r>
              <w:rPr>
                <w:rFonts w:hint="eastAsia"/>
              </w:rPr>
              <w:t>0</w:t>
            </w:r>
          </w:p>
        </w:tc>
        <w:tc>
          <w:tcPr>
            <w:tcW w:w="3424" w:type="dxa"/>
            <w:vAlign w:val="center"/>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t>K</w:t>
            </w:r>
            <w:r>
              <w:rPr>
                <w:rFonts w:hint="eastAsia"/>
                <w:vertAlign w:val="subscript"/>
              </w:rPr>
              <w:t>C</w:t>
            </w:r>
            <w:r>
              <w:rPr>
                <w:vertAlign w:val="subscript"/>
              </w:rPr>
              <w:t>OD</w:t>
            </w:r>
            <w:r>
              <w:t>(1/d</w:t>
            </w:r>
            <w:r>
              <w:rPr>
                <w:rFonts w:hint="eastAsia"/>
              </w:rPr>
              <w:t>)</w:t>
            </w:r>
          </w:p>
        </w:tc>
        <w:tc>
          <w:tcPr>
            <w:tcW w:w="1701" w:type="dxa"/>
            <w:vAlign w:val="center"/>
          </w:tcPr>
          <w:p>
            <w:pPr>
              <w:pStyle w:val="63"/>
            </w:pPr>
            <w:r>
              <w:rPr>
                <w:rFonts w:hint="eastAsia"/>
              </w:rPr>
              <w:t>0</w:t>
            </w:r>
            <w:r>
              <w:t>.</w:t>
            </w:r>
            <w:r>
              <w:rPr>
                <w:rFonts w:hint="eastAsia"/>
              </w:rPr>
              <w:t>25</w:t>
            </w:r>
          </w:p>
        </w:tc>
        <w:tc>
          <w:tcPr>
            <w:tcW w:w="1843" w:type="dxa"/>
            <w:vAlign w:val="center"/>
          </w:tcPr>
          <w:p>
            <w:pPr>
              <w:pStyle w:val="63"/>
            </w:pPr>
            <w:r>
              <w:rPr>
                <w:rFonts w:hint="eastAsia"/>
              </w:rPr>
              <w:t>0</w:t>
            </w:r>
            <w:r>
              <w:t>.</w:t>
            </w:r>
            <w:r>
              <w:rPr>
                <w:rFonts w:hint="eastAsia"/>
              </w:rPr>
              <w:t>08</w:t>
            </w:r>
          </w:p>
        </w:tc>
        <w:tc>
          <w:tcPr>
            <w:tcW w:w="3424" w:type="dxa"/>
            <w:vMerge w:val="restart"/>
            <w:vAlign w:val="center"/>
          </w:tcPr>
          <w:p>
            <w:pPr>
              <w:pStyle w:val="63"/>
            </w:pPr>
            <w:r>
              <w:rPr>
                <w:rFonts w:hint="eastAsia"/>
              </w:rPr>
              <w:t>COD、氨氮、总磷降解系数参考《奉节县水功能区水域纳污能力核定及提出限制排污总量报告》、《三峡水库水质预测和水环境容量计算》、《长江、嘉陵江重庆段水污染控制规划研究》、《奉节县长江北岸片区水资源配置规划》、《奉节县“三线一单”生态环境分区管控调整技术方案》、《重庆市三线一单调整研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t>K</w:t>
            </w:r>
            <w:r>
              <w:rPr>
                <w:vertAlign w:val="subscript"/>
              </w:rPr>
              <w:t>NH3-N</w:t>
            </w:r>
            <w:r>
              <w:t>(1/d</w:t>
            </w:r>
            <w:r>
              <w:rPr>
                <w:rFonts w:hint="eastAsia"/>
              </w:rPr>
              <w:t>)</w:t>
            </w:r>
          </w:p>
        </w:tc>
        <w:tc>
          <w:tcPr>
            <w:tcW w:w="1701" w:type="dxa"/>
            <w:vAlign w:val="center"/>
          </w:tcPr>
          <w:p>
            <w:pPr>
              <w:pStyle w:val="63"/>
            </w:pPr>
            <w:r>
              <w:rPr>
                <w:rFonts w:hint="eastAsia"/>
              </w:rPr>
              <w:t>0</w:t>
            </w:r>
            <w:r>
              <w:t>.</w:t>
            </w:r>
            <w:r>
              <w:rPr>
                <w:rFonts w:hint="eastAsia"/>
              </w:rPr>
              <w:t>15</w:t>
            </w:r>
          </w:p>
        </w:tc>
        <w:tc>
          <w:tcPr>
            <w:tcW w:w="1843" w:type="dxa"/>
            <w:vAlign w:val="center"/>
          </w:tcPr>
          <w:p>
            <w:pPr>
              <w:pStyle w:val="63"/>
            </w:pPr>
            <w:r>
              <w:rPr>
                <w:rFonts w:hint="eastAsia"/>
              </w:rPr>
              <w:t>0</w:t>
            </w:r>
            <w:r>
              <w:t>.</w:t>
            </w:r>
            <w:r>
              <w:rPr>
                <w:rFonts w:hint="eastAsia"/>
              </w:rPr>
              <w:t>10</w:t>
            </w:r>
          </w:p>
        </w:tc>
        <w:tc>
          <w:tcPr>
            <w:tcW w:w="3424" w:type="dxa"/>
            <w:vMerge w:val="continue"/>
            <w:vAlign w:val="center"/>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vAlign w:val="center"/>
          </w:tcPr>
          <w:p>
            <w:pPr>
              <w:pStyle w:val="63"/>
            </w:pPr>
            <w:r>
              <w:rPr>
                <w:rFonts w:hint="eastAsia"/>
              </w:rPr>
              <w:t>K</w:t>
            </w:r>
            <w:r>
              <w:rPr>
                <w:vertAlign w:val="subscript"/>
              </w:rPr>
              <w:t>TP</w:t>
            </w:r>
            <w:r>
              <w:t>(1/d</w:t>
            </w:r>
            <w:r>
              <w:rPr>
                <w:rFonts w:hint="eastAsia"/>
              </w:rPr>
              <w:t>)</w:t>
            </w:r>
          </w:p>
        </w:tc>
        <w:tc>
          <w:tcPr>
            <w:tcW w:w="3544" w:type="dxa"/>
            <w:gridSpan w:val="2"/>
            <w:vAlign w:val="center"/>
          </w:tcPr>
          <w:p>
            <w:pPr>
              <w:pStyle w:val="63"/>
            </w:pPr>
            <w:r>
              <w:rPr>
                <w:rFonts w:hint="eastAsia"/>
              </w:rPr>
              <w:t>0</w:t>
            </w:r>
            <w:r>
              <w:t>.02</w:t>
            </w:r>
          </w:p>
        </w:tc>
        <w:tc>
          <w:tcPr>
            <w:tcW w:w="3424" w:type="dxa"/>
            <w:vMerge w:val="continue"/>
            <w:vAlign w:val="center"/>
          </w:tcPr>
          <w:p>
            <w:pPr>
              <w:pStyle w:val="63"/>
            </w:pPr>
          </w:p>
        </w:tc>
      </w:tr>
    </w:tbl>
    <w:p/>
    <w:p>
      <w:pPr>
        <w:pStyle w:val="5"/>
        <w:ind w:firstLine="480"/>
      </w:pPr>
      <w:r>
        <w:t xml:space="preserve">横向扩散系数 Ey计算公式为： </w:t>
      </w:r>
    </w:p>
    <w:p>
      <w:pPr>
        <w:pStyle w:val="5"/>
        <w:ind w:firstLine="480"/>
        <w:jc w:val="center"/>
      </w:pPr>
      <w:r>
        <w:t xml:space="preserve">Ey=(0.058H+0.0065B)(gHi) </w:t>
      </w:r>
      <w:r>
        <w:rPr>
          <w:vertAlign w:val="superscript"/>
        </w:rPr>
        <w:t>1/2</w:t>
      </w:r>
    </w:p>
    <w:p>
      <w:pPr>
        <w:pStyle w:val="5"/>
        <w:ind w:firstLine="480"/>
      </w:pPr>
      <w:r>
        <w:t>纵向扩散系数 Ex计算公式为；</w:t>
      </w:r>
    </w:p>
    <w:p>
      <w:pPr>
        <w:pStyle w:val="5"/>
        <w:ind w:firstLine="480"/>
        <w:jc w:val="center"/>
      </w:pPr>
      <w:r>
        <w:t xml:space="preserve">Ex=0.011u </w:t>
      </w:r>
      <w:r>
        <w:rPr>
          <w:vertAlign w:val="superscript"/>
        </w:rPr>
        <w:t>2</w:t>
      </w:r>
      <w:r>
        <w:t>B</w:t>
      </w:r>
      <w:r>
        <w:rPr>
          <w:vertAlign w:val="superscript"/>
        </w:rPr>
        <w:t>2</w:t>
      </w:r>
      <w:r>
        <w:t xml:space="preserve"> /H(gHi) </w:t>
      </w:r>
      <w:r>
        <w:rPr>
          <w:vertAlign w:val="superscript"/>
        </w:rPr>
        <w:t>1/2</w:t>
      </w:r>
    </w:p>
    <w:p>
      <w:pPr>
        <w:pStyle w:val="5"/>
        <w:ind w:firstLine="480"/>
      </w:pPr>
      <w:r>
        <w:t>式中：Ey—纵向扩散系数，m</w:t>
      </w:r>
      <w:r>
        <w:rPr>
          <w:vertAlign w:val="superscript"/>
        </w:rPr>
        <w:t>2</w:t>
      </w:r>
      <w:r>
        <w:t xml:space="preserve"> /s；Ex—纵向扩散系数，m</w:t>
      </w:r>
      <w:r>
        <w:rPr>
          <w:vertAlign w:val="superscript"/>
        </w:rPr>
        <w:t>2</w:t>
      </w:r>
      <w:r>
        <w:t xml:space="preserve"> /s； H—平均水深； B—水面宽度，m； g—重力加速度，m/s</w:t>
      </w:r>
      <w:r>
        <w:rPr>
          <w:vertAlign w:val="superscript"/>
        </w:rPr>
        <w:t>2</w:t>
      </w:r>
      <w:r>
        <w:t>； i—水力坡降，m/m； u—断面平均流速，m/s。</w:t>
      </w:r>
    </w:p>
    <w:p>
      <w:pPr>
        <w:pStyle w:val="5"/>
        <w:ind w:firstLine="480"/>
      </w:pPr>
      <w:r>
        <w:t>经计算，</w:t>
      </w:r>
      <w:r>
        <w:rPr>
          <w:rFonts w:hint="eastAsia"/>
        </w:rPr>
        <w:t>朱衣河</w:t>
      </w:r>
      <w:r>
        <w:t>枯水期的 Ey 值为</w:t>
      </w:r>
      <w:r>
        <w:rPr>
          <w:rFonts w:hint="eastAsia"/>
        </w:rPr>
        <w:t>0.021</w:t>
      </w:r>
      <w:r>
        <w:t>m</w:t>
      </w:r>
      <w:r>
        <w:rPr>
          <w:vertAlign w:val="superscript"/>
        </w:rPr>
        <w:t>2</w:t>
      </w:r>
      <w:r>
        <w:t xml:space="preserve"> /s</w:t>
      </w:r>
      <w:r>
        <w:rPr>
          <w:rFonts w:hint="eastAsia"/>
        </w:rPr>
        <w:t>，</w:t>
      </w:r>
      <w:r>
        <w:t xml:space="preserve">Ex 值为 </w:t>
      </w:r>
      <w:r>
        <w:rPr>
          <w:rFonts w:hint="eastAsia"/>
        </w:rPr>
        <w:t>0.222</w:t>
      </w:r>
      <w:r>
        <w:t>m</w:t>
      </w:r>
      <w:r>
        <w:rPr>
          <w:vertAlign w:val="superscript"/>
        </w:rPr>
        <w:t>2</w:t>
      </w:r>
      <w:r>
        <w:t xml:space="preserve"> /s。</w:t>
      </w:r>
      <w:r>
        <w:rPr>
          <w:rFonts w:hint="eastAsia"/>
        </w:rPr>
        <w:t>朱衣河补充监测时段</w:t>
      </w:r>
      <w:r>
        <w:t xml:space="preserve">的 Ey 值为 </w:t>
      </w:r>
      <w:r>
        <w:rPr>
          <w:rFonts w:hint="eastAsia"/>
        </w:rPr>
        <w:t>0.0543</w:t>
      </w:r>
      <w:r>
        <w:t>m</w:t>
      </w:r>
      <w:r>
        <w:rPr>
          <w:vertAlign w:val="superscript"/>
        </w:rPr>
        <w:t>2</w:t>
      </w:r>
      <w:r>
        <w:t xml:space="preserve"> /s</w:t>
      </w:r>
      <w:r>
        <w:rPr>
          <w:rFonts w:hint="eastAsia"/>
        </w:rPr>
        <w:t>，</w:t>
      </w:r>
      <w:r>
        <w:t xml:space="preserve">Ex 值为 </w:t>
      </w:r>
      <w:r>
        <w:rPr>
          <w:rFonts w:hint="eastAsia"/>
        </w:rPr>
        <w:t>2.33</w:t>
      </w:r>
      <w:r>
        <w:t>m</w:t>
      </w:r>
      <w:r>
        <w:rPr>
          <w:vertAlign w:val="superscript"/>
        </w:rPr>
        <w:t>2</w:t>
      </w:r>
      <w:r>
        <w:t xml:space="preserve"> /s</w:t>
      </w:r>
      <w:r>
        <w:rPr>
          <w:rFonts w:hint="eastAsia"/>
        </w:rPr>
        <w:t>。</w:t>
      </w:r>
    </w:p>
    <w:p>
      <w:pPr>
        <w:pStyle w:val="5"/>
        <w:ind w:firstLine="480"/>
      </w:pPr>
      <w:r>
        <w:t xml:space="preserve">混合过程段长度 L 混合过程段的长度计算公式如下所示： </w:t>
      </w:r>
    </w:p>
    <w:p>
      <w:pPr>
        <w:jc w:val="center"/>
        <w:rPr>
          <w:rFonts w:cs="Times New Roman"/>
          <w:b/>
          <w:bCs/>
          <w:lang w:bidi="en-US"/>
        </w:rPr>
      </w:pPr>
      <w:r>
        <w:rPr>
          <w:rFonts w:cs="Times New Roman"/>
          <w:b/>
          <w:bCs/>
        </w:rPr>
        <w:drawing>
          <wp:inline distT="0" distB="0" distL="0" distR="0">
            <wp:extent cx="3267710" cy="655955"/>
            <wp:effectExtent l="0" t="0" r="0" b="0"/>
            <wp:docPr id="24" name="图片 2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图示&#10;&#10;描述已自动生成"/>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269672" cy="656683"/>
                    </a:xfrm>
                    <a:prstGeom prst="rect">
                      <a:avLst/>
                    </a:prstGeom>
                    <a:noFill/>
                    <a:ln>
                      <a:noFill/>
                    </a:ln>
                  </pic:spPr>
                </pic:pic>
              </a:graphicData>
            </a:graphic>
          </wp:inline>
        </w:drawing>
      </w:r>
    </w:p>
    <w:p>
      <w:pPr>
        <w:pStyle w:val="5"/>
        <w:ind w:firstLine="480"/>
      </w:pPr>
      <w:r>
        <w:t>式中：Lm—混合段长度，m； B—水面宽度，m； a—排放口到岸边距离，m； u—断面流速，m/s； Ey—污染物横向扩散系数，m</w:t>
      </w:r>
      <w:r>
        <w:rPr>
          <w:vertAlign w:val="superscript"/>
        </w:rPr>
        <w:t>2</w:t>
      </w:r>
      <w:r>
        <w:t xml:space="preserve"> /s。</w:t>
      </w:r>
    </w:p>
    <w:p>
      <w:pPr>
        <w:pStyle w:val="5"/>
        <w:ind w:firstLine="480"/>
        <w:rPr>
          <w:b/>
          <w:bCs/>
        </w:rPr>
      </w:pPr>
      <w:r>
        <w:t>根据计算</w:t>
      </w:r>
      <w:r>
        <w:rPr>
          <w:rFonts w:hint="eastAsia"/>
        </w:rPr>
        <w:t>朱衣河枯水期</w:t>
      </w:r>
      <w:r>
        <w:t>混合过程长度</w:t>
      </w:r>
      <w:r>
        <w:rPr>
          <w:rFonts w:hint="eastAsia"/>
        </w:rPr>
        <w:t>约为360</w:t>
      </w:r>
      <w:r>
        <w:t>m</w:t>
      </w:r>
      <w:r>
        <w:rPr>
          <w:rFonts w:hint="eastAsia"/>
        </w:rPr>
        <w:t>，补充监测期混合过程长度1274m</w:t>
      </w:r>
      <w:r>
        <w:t>。</w:t>
      </w:r>
    </w:p>
    <w:p>
      <w:pPr>
        <w:pStyle w:val="5"/>
        <w:ind w:firstLine="480"/>
      </w:pPr>
      <w:r>
        <w:rPr>
          <w:rFonts w:hint="eastAsia"/>
        </w:rPr>
        <w:t>采用排口上游3</w:t>
      </w:r>
      <w:r>
        <w:t>00</w:t>
      </w:r>
      <w:r>
        <w:rPr>
          <w:rFonts w:hint="eastAsia"/>
        </w:rPr>
        <w:t>m衣河例行监测断面监测结果作为预测背景值，背景值见</w:t>
      </w:r>
      <w:r>
        <w:fldChar w:fldCharType="begin"/>
      </w:r>
      <w:r>
        <w:instrText xml:space="preserve"> </w:instrText>
      </w:r>
      <w:r>
        <w:rPr>
          <w:rFonts w:hint="eastAsia"/>
        </w:rPr>
        <w:instrText xml:space="preserve">REF _Ref144709474 \h</w:instrText>
      </w:r>
      <w:r>
        <w:instrText xml:space="preserve"> </w:instrText>
      </w:r>
      <w:r>
        <w:fldChar w:fldCharType="separate"/>
      </w:r>
      <w:r>
        <w:rPr>
          <w:rFonts w:hint="eastAsia"/>
        </w:rPr>
        <w:t xml:space="preserve">表 </w:t>
      </w:r>
      <w:r>
        <w:t>4.2</w:t>
      </w:r>
      <w:r>
        <w:noBreakHyphen/>
      </w:r>
      <w:r>
        <w:t>2</w:t>
      </w:r>
      <w:r>
        <w:fldChar w:fldCharType="end"/>
      </w:r>
      <w:r>
        <w:rPr>
          <w:rFonts w:hint="eastAsia"/>
        </w:rPr>
        <w:t>，其中枯水期背景值采用衣河例行监测断面2023年1~3月、12月枯水期水质最大值，补充监测期采用朱衣河例行监测断面2023年7月水质监测数据。项目排污口下游2000m作为控制断面。</w:t>
      </w:r>
    </w:p>
    <w:p>
      <w:pPr>
        <w:pStyle w:val="14"/>
        <w:keepNext/>
      </w:pPr>
      <w:bookmarkStart w:id="112" w:name="_Ref144709474"/>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112"/>
      <w:r>
        <w:t xml:space="preserve">   </w:t>
      </w:r>
      <w:r>
        <w:rPr>
          <w:rFonts w:hint="eastAsia"/>
        </w:rPr>
        <w:t xml:space="preserve">背景值一览表 </w:t>
      </w:r>
      <w:r>
        <w:t xml:space="preserve"> </w:t>
      </w:r>
      <w:r>
        <w:rPr>
          <w:rFonts w:hint="eastAsia"/>
        </w:rPr>
        <w:t>mg</w:t>
      </w:r>
      <w:r>
        <w:t>/</w:t>
      </w:r>
      <w:r>
        <w:rPr>
          <w:rFonts w:hint="eastAsia"/>
        </w:rPr>
        <w:t>L</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8"/>
        <w:gridCol w:w="2847"/>
        <w:gridCol w:w="1045"/>
        <w:gridCol w:w="128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8" w:type="dxa"/>
          </w:tcPr>
          <w:p>
            <w:pPr>
              <w:pStyle w:val="63"/>
            </w:pPr>
            <w:r>
              <w:rPr>
                <w:rFonts w:hint="eastAsia"/>
              </w:rPr>
              <w:t>时期</w:t>
            </w:r>
          </w:p>
        </w:tc>
        <w:tc>
          <w:tcPr>
            <w:tcW w:w="2847" w:type="dxa"/>
          </w:tcPr>
          <w:p>
            <w:pPr>
              <w:pStyle w:val="63"/>
            </w:pPr>
            <w:r>
              <w:rPr>
                <w:rFonts w:hint="eastAsia"/>
              </w:rPr>
              <w:t>监测断面</w:t>
            </w:r>
          </w:p>
        </w:tc>
        <w:tc>
          <w:tcPr>
            <w:tcW w:w="1045" w:type="dxa"/>
          </w:tcPr>
          <w:p>
            <w:pPr>
              <w:pStyle w:val="63"/>
            </w:pPr>
            <w:r>
              <w:rPr>
                <w:rFonts w:hint="eastAsia"/>
              </w:rPr>
              <w:t>C</w:t>
            </w:r>
            <w:r>
              <w:t>OD</w:t>
            </w:r>
          </w:p>
        </w:tc>
        <w:tc>
          <w:tcPr>
            <w:tcW w:w="1285" w:type="dxa"/>
          </w:tcPr>
          <w:p>
            <w:pPr>
              <w:pStyle w:val="63"/>
            </w:pPr>
            <w:r>
              <w:t>NH</w:t>
            </w:r>
            <w:r>
              <w:rPr>
                <w:vertAlign w:val="subscript"/>
              </w:rPr>
              <w:t>3</w:t>
            </w:r>
            <w:r>
              <w:t>-N</w:t>
            </w:r>
          </w:p>
        </w:tc>
        <w:tc>
          <w:tcPr>
            <w:tcW w:w="923" w:type="dxa"/>
          </w:tcPr>
          <w:p>
            <w:pPr>
              <w:pStyle w:val="63"/>
            </w:pPr>
            <w:r>
              <w:rPr>
                <w:rFonts w:hint="eastAsia"/>
              </w:rPr>
              <w:t>T</w:t>
            </w:r>
            <w: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8" w:type="dxa"/>
          </w:tcPr>
          <w:p>
            <w:pPr>
              <w:pStyle w:val="63"/>
            </w:pPr>
            <w:r>
              <w:rPr>
                <w:rFonts w:hint="eastAsia"/>
              </w:rPr>
              <w:t>枯水期</w:t>
            </w:r>
          </w:p>
        </w:tc>
        <w:tc>
          <w:tcPr>
            <w:tcW w:w="2847" w:type="dxa"/>
          </w:tcPr>
          <w:p>
            <w:pPr>
              <w:pStyle w:val="63"/>
            </w:pPr>
            <w:r>
              <w:rPr>
                <w:rFonts w:hint="eastAsia"/>
              </w:rPr>
              <w:t>排污口上游3</w:t>
            </w:r>
            <w:r>
              <w:t>00</w:t>
            </w:r>
            <w:r>
              <w:rPr>
                <w:rFonts w:hint="eastAsia"/>
              </w:rPr>
              <w:t>m</w:t>
            </w:r>
          </w:p>
        </w:tc>
        <w:tc>
          <w:tcPr>
            <w:tcW w:w="1045" w:type="dxa"/>
          </w:tcPr>
          <w:p>
            <w:pPr>
              <w:pStyle w:val="63"/>
            </w:pPr>
            <w:r>
              <w:rPr>
                <w:rFonts w:hint="eastAsia"/>
              </w:rPr>
              <w:t>8</w:t>
            </w:r>
          </w:p>
        </w:tc>
        <w:tc>
          <w:tcPr>
            <w:tcW w:w="1285" w:type="dxa"/>
          </w:tcPr>
          <w:p>
            <w:pPr>
              <w:pStyle w:val="63"/>
            </w:pPr>
            <w:r>
              <w:rPr>
                <w:rFonts w:hint="eastAsia"/>
              </w:rPr>
              <w:t>0.18</w:t>
            </w:r>
          </w:p>
        </w:tc>
        <w:tc>
          <w:tcPr>
            <w:tcW w:w="923" w:type="dxa"/>
          </w:tcPr>
          <w:p>
            <w:pPr>
              <w:pStyle w:val="63"/>
            </w:pPr>
            <w:r>
              <w:rPr>
                <w:rFonts w:hint="eastAsia"/>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8" w:type="dxa"/>
          </w:tcPr>
          <w:p>
            <w:pPr>
              <w:pStyle w:val="63"/>
            </w:pPr>
            <w:r>
              <w:rPr>
                <w:rFonts w:hint="eastAsia"/>
              </w:rPr>
              <w:t>补充监测期</w:t>
            </w:r>
          </w:p>
        </w:tc>
        <w:tc>
          <w:tcPr>
            <w:tcW w:w="2847" w:type="dxa"/>
          </w:tcPr>
          <w:p>
            <w:pPr>
              <w:pStyle w:val="63"/>
            </w:pPr>
            <w:r>
              <w:rPr>
                <w:rFonts w:hint="eastAsia"/>
              </w:rPr>
              <w:t>排污口上游3</w:t>
            </w:r>
            <w:r>
              <w:t>00</w:t>
            </w:r>
            <w:r>
              <w:rPr>
                <w:rFonts w:hint="eastAsia"/>
              </w:rPr>
              <w:t>m</w:t>
            </w:r>
          </w:p>
        </w:tc>
        <w:tc>
          <w:tcPr>
            <w:tcW w:w="1045" w:type="dxa"/>
          </w:tcPr>
          <w:p>
            <w:pPr>
              <w:pStyle w:val="63"/>
            </w:pPr>
            <w:r>
              <w:rPr>
                <w:rFonts w:hint="eastAsia"/>
              </w:rPr>
              <w:t>10</w:t>
            </w:r>
          </w:p>
        </w:tc>
        <w:tc>
          <w:tcPr>
            <w:tcW w:w="1285" w:type="dxa"/>
          </w:tcPr>
          <w:p>
            <w:pPr>
              <w:pStyle w:val="63"/>
            </w:pPr>
            <w:r>
              <w:rPr>
                <w:rFonts w:hint="eastAsia"/>
              </w:rPr>
              <w:t>0.13</w:t>
            </w:r>
          </w:p>
        </w:tc>
        <w:tc>
          <w:tcPr>
            <w:tcW w:w="923" w:type="dxa"/>
          </w:tcPr>
          <w:p>
            <w:pPr>
              <w:pStyle w:val="63"/>
            </w:pPr>
            <w:r>
              <w:rPr>
                <w:rFonts w:hint="eastAsia"/>
              </w:rPr>
              <w:t>0.03</w:t>
            </w:r>
          </w:p>
        </w:tc>
      </w:tr>
    </w:tbl>
    <w:p/>
    <w:p>
      <w:pPr>
        <w:pStyle w:val="4"/>
        <w:spacing w:before="156" w:after="156"/>
      </w:pPr>
      <w:r>
        <w:rPr>
          <w:rFonts w:hint="eastAsia"/>
        </w:rPr>
        <w:t>预测模型</w:t>
      </w:r>
    </w:p>
    <w:p>
      <w:pPr>
        <w:spacing w:line="480" w:lineRule="exact"/>
        <w:ind w:firstLine="480" w:firstLineChars="200"/>
        <w:rPr>
          <w:rStyle w:val="60"/>
        </w:rPr>
      </w:pPr>
      <w:r>
        <w:rPr>
          <w:rStyle w:val="60"/>
          <w:rFonts w:hint="eastAsia"/>
        </w:rPr>
        <w:t>根据《环境影响评价技术导则 地表水环境》（HJ 2.3-2018），废水污染源可简化为点源且连续恒定排放。本项目评价河段顺直且水流均匀，排污稳定，且沿程横断面均匀混合，所以采用解析解模型中的纵向一维数学模型进行预测。枯水期朱衣河排口至冒峰村河段河流水量较小，长江流量大，根据《三峡库区干支流水体交换特征初步研究-以朱衣河为例》，11~12月高朱衣河河口进出水体流量相对较大，主要表现为倒灌量大于流出量，12月干流水体参与交换的比例306%，接近全年最高水平，长江干流和朱衣河水体交换充分。综上，该回水段长江干流和朱衣河水流交换作用充分、污染物质分布基本均匀，所以采用零维模型-湖库均匀混合模型进行预测。</w:t>
      </w:r>
    </w:p>
    <w:p>
      <w:pPr>
        <w:spacing w:line="480" w:lineRule="exact"/>
        <w:ind w:firstLine="480" w:firstLineChars="200"/>
      </w:pPr>
      <w:r>
        <w:rPr>
          <w:rStyle w:val="60"/>
          <w:rFonts w:hint="eastAsia"/>
        </w:rPr>
        <w:t>根据河流纵向一维水质模型的简化、分类判别条件（即：O</w:t>
      </w:r>
      <w:r>
        <w:rPr>
          <w:rStyle w:val="60"/>
        </w:rPr>
        <w:t>’Connor</w:t>
      </w:r>
      <w:r>
        <w:rPr>
          <w:rStyle w:val="60"/>
          <w:rFonts w:hint="eastAsia"/>
        </w:rPr>
        <w:t>数α和贝克来数P</w:t>
      </w:r>
      <w:r>
        <w:rPr>
          <w:rStyle w:val="60"/>
        </w:rPr>
        <w:t>e</w:t>
      </w:r>
      <w:r>
        <w:rPr>
          <w:rStyle w:val="60"/>
          <w:rFonts w:hint="eastAsia"/>
        </w:rPr>
        <w:t>），选择相应的解析解公式。</w:t>
      </w:r>
      <w:r>
        <w:rPr>
          <w:rStyle w:val="60"/>
        </w:rPr>
        <w:t xml:space="preserve"> </w:t>
      </w:r>
    </w:p>
    <w:p>
      <w:pPr>
        <w:spacing w:line="360" w:lineRule="auto"/>
        <w:ind w:firstLine="420" w:firstLineChars="200"/>
        <w:rPr>
          <w:rFonts w:cs="Times New Roman"/>
        </w:rPr>
      </w:pPr>
      <w:r>
        <w:rPr>
          <w:rFonts w:cs="Times New Roman"/>
        </w:rPr>
        <w:drawing>
          <wp:inline distT="0" distB="0" distL="0" distR="0">
            <wp:extent cx="2276475" cy="1168400"/>
            <wp:effectExtent l="0" t="0" r="0" b="0"/>
            <wp:docPr id="8" name="图片 8" descr="文本,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 示意图&#10;&#10;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293603" cy="1177517"/>
                    </a:xfrm>
                    <a:prstGeom prst="rect">
                      <a:avLst/>
                    </a:prstGeom>
                    <a:noFill/>
                    <a:ln>
                      <a:noFill/>
                    </a:ln>
                  </pic:spPr>
                </pic:pic>
              </a:graphicData>
            </a:graphic>
          </wp:inline>
        </w:drawing>
      </w:r>
    </w:p>
    <w:p>
      <w:pPr>
        <w:pStyle w:val="5"/>
        <w:ind w:firstLine="480"/>
      </w:pPr>
      <w:r>
        <w:rPr>
          <w:rFonts w:hint="eastAsia"/>
        </w:rPr>
        <w:t>式中：α</w:t>
      </w:r>
      <w:r>
        <w:t>—</w:t>
      </w:r>
      <w:r>
        <w:rPr>
          <w:rFonts w:hint="eastAsia"/>
        </w:rPr>
        <w:t>O</w:t>
      </w:r>
      <w:r>
        <w:t>’Connor</w:t>
      </w:r>
      <w:r>
        <w:rPr>
          <w:rFonts w:hint="eastAsia"/>
        </w:rPr>
        <w:t>数，量纲为1，表征物质离散降解通量与移流通量比值；</w:t>
      </w:r>
    </w:p>
    <w:p>
      <w:pPr>
        <w:pStyle w:val="5"/>
        <w:ind w:firstLine="1200" w:firstLineChars="500"/>
      </w:pPr>
      <w:r>
        <w:rPr>
          <w:rFonts w:hint="eastAsia"/>
        </w:rPr>
        <w:t>P</w:t>
      </w:r>
      <w:r>
        <w:t>e—</w:t>
      </w:r>
      <w:r>
        <w:rPr>
          <w:rFonts w:hint="eastAsia"/>
        </w:rPr>
        <w:t>贝克来数，量纲为1，表征物质移流通量与离散通量比值；</w:t>
      </w:r>
    </w:p>
    <w:p>
      <w:pPr>
        <w:pStyle w:val="5"/>
        <w:ind w:firstLine="1200" w:firstLineChars="500"/>
      </w:pPr>
      <w:r>
        <w:t>K—</w:t>
      </w:r>
      <w:r>
        <w:rPr>
          <w:rFonts w:hint="eastAsia"/>
        </w:rPr>
        <w:t>污染物综合衰减系数</w:t>
      </w:r>
      <w:r>
        <w:t>，1/</w:t>
      </w:r>
      <w:r>
        <w:rPr>
          <w:rFonts w:hint="eastAsia"/>
        </w:rPr>
        <w:t>s</w:t>
      </w:r>
      <w:r>
        <w:t>；</w:t>
      </w:r>
    </w:p>
    <w:p>
      <w:pPr>
        <w:pStyle w:val="5"/>
        <w:ind w:firstLine="1200" w:firstLineChars="500"/>
      </w:pPr>
      <w:r>
        <w:t>u—断面流速，m/s</w:t>
      </w:r>
      <w:r>
        <w:rPr>
          <w:rFonts w:hint="eastAsia"/>
        </w:rPr>
        <w:t>；</w:t>
      </w:r>
    </w:p>
    <w:p>
      <w:pPr>
        <w:pStyle w:val="5"/>
        <w:ind w:firstLine="1200" w:firstLineChars="500"/>
      </w:pPr>
      <w:r>
        <w:rPr>
          <w:rFonts w:hint="eastAsia"/>
        </w:rPr>
        <w:t>E</w:t>
      </w:r>
      <w:r>
        <w:t>x—</w:t>
      </w:r>
      <w:r>
        <w:rPr>
          <w:rFonts w:hint="eastAsia"/>
        </w:rPr>
        <w:t>污染物纵向扩散系数，</w:t>
      </w:r>
      <w:r>
        <w:t>m</w:t>
      </w:r>
      <w:r>
        <w:rPr>
          <w:vertAlign w:val="superscript"/>
        </w:rPr>
        <w:t>2</w:t>
      </w:r>
      <w:r>
        <w:t>/s</w:t>
      </w:r>
      <w:r>
        <w:rPr>
          <w:rFonts w:hint="eastAsia"/>
        </w:rPr>
        <w:t>；</w:t>
      </w:r>
    </w:p>
    <w:p>
      <w:pPr>
        <w:pStyle w:val="5"/>
        <w:ind w:firstLine="1200" w:firstLineChars="500"/>
      </w:pPr>
      <w:r>
        <w:rPr>
          <w:rFonts w:hint="eastAsia"/>
        </w:rPr>
        <w:t>B</w:t>
      </w:r>
      <w:r>
        <w:t>—</w:t>
      </w:r>
      <w:r>
        <w:rPr>
          <w:rFonts w:hint="eastAsia"/>
        </w:rPr>
        <w:t>河流宽度，m；</w:t>
      </w:r>
    </w:p>
    <w:p>
      <w:pPr>
        <w:pStyle w:val="5"/>
        <w:ind w:firstLine="480"/>
      </w:pPr>
      <w:r>
        <w:rPr>
          <w:rFonts w:hint="eastAsia"/>
        </w:rPr>
        <w:t>经计算，项目枯水期</w:t>
      </w:r>
      <w:r>
        <w:t>α</w:t>
      </w:r>
      <w:r>
        <w:rPr>
          <w:vertAlign w:val="subscript"/>
        </w:rPr>
        <w:t>COD</w:t>
      </w:r>
      <w:r>
        <w:t>=</w:t>
      </w:r>
      <w:r>
        <w:rPr>
          <w:rFonts w:hint="eastAsia"/>
        </w:rPr>
        <w:t>1.60E-06</w:t>
      </w:r>
      <w:r>
        <w:t>，α</w:t>
      </w:r>
      <w:r>
        <w:rPr>
          <w:vertAlign w:val="subscript"/>
        </w:rPr>
        <w:t>NH3-N</w:t>
      </w:r>
      <w:r>
        <w:t xml:space="preserve"> =</w:t>
      </w:r>
      <w:r>
        <w:rPr>
          <w:rFonts w:hint="eastAsia"/>
        </w:rPr>
        <w:t>1.99E-06</w:t>
      </w:r>
      <w:r>
        <w:t>，α</w:t>
      </w:r>
      <w:r>
        <w:rPr>
          <w:vertAlign w:val="subscript"/>
        </w:rPr>
        <w:t>TP</w:t>
      </w:r>
      <w:r>
        <w:t xml:space="preserve"> =</w:t>
      </w:r>
      <w:r>
        <w:rPr>
          <w:rFonts w:hint="eastAsia"/>
        </w:rPr>
        <w:t>3.99E-07，贝克来数P</w:t>
      </w:r>
      <w:r>
        <w:t>e=</w:t>
      </w:r>
      <w:r>
        <w:rPr>
          <w:rFonts w:hint="eastAsia"/>
        </w:rPr>
        <w:t>59.19，补充监测时段</w:t>
      </w:r>
      <w:r>
        <w:t>α</w:t>
      </w:r>
      <w:r>
        <w:rPr>
          <w:vertAlign w:val="subscript"/>
        </w:rPr>
        <w:t>COD</w:t>
      </w:r>
      <w:r>
        <w:t>=</w:t>
      </w:r>
      <w:r>
        <w:rPr>
          <w:rFonts w:hint="eastAsia"/>
        </w:rPr>
        <w:t>4.89E-06</w:t>
      </w:r>
      <w:r>
        <w:t>，α</w:t>
      </w:r>
      <w:r>
        <w:rPr>
          <w:vertAlign w:val="subscript"/>
        </w:rPr>
        <w:t>NH3-N</w:t>
      </w:r>
      <w:r>
        <w:t xml:space="preserve"> =</w:t>
      </w:r>
      <w:r>
        <w:rPr>
          <w:rFonts w:hint="eastAsia"/>
        </w:rPr>
        <w:t>2.94E-06</w:t>
      </w:r>
      <w:r>
        <w:t>，α</w:t>
      </w:r>
      <w:r>
        <w:rPr>
          <w:vertAlign w:val="subscript"/>
        </w:rPr>
        <w:t>TP</w:t>
      </w:r>
      <w:r>
        <w:t xml:space="preserve"> =</w:t>
      </w:r>
      <w:r>
        <w:rPr>
          <w:rFonts w:hint="eastAsia"/>
        </w:rPr>
        <w:t>3.92E-07，贝克来数P</w:t>
      </w:r>
      <w:r>
        <w:t>e=</w:t>
      </w:r>
      <w:r>
        <w:rPr>
          <w:rFonts w:hint="eastAsia"/>
        </w:rPr>
        <w:t>30.23。</w:t>
      </w:r>
    </w:p>
    <w:p>
      <w:pPr>
        <w:pStyle w:val="5"/>
        <w:ind w:firstLine="480"/>
      </w:pPr>
      <w:r>
        <w:rPr>
          <w:rFonts w:hint="eastAsia"/>
        </w:rPr>
        <w:t>根据</w:t>
      </w:r>
      <w:r>
        <w:t>《环境影响评价技术导则</w:t>
      </w:r>
      <w:r>
        <w:rPr>
          <w:rFonts w:hint="eastAsia"/>
        </w:rPr>
        <w:t xml:space="preserve"> 地表水环境</w:t>
      </w:r>
      <w:r>
        <w:t>》</w:t>
      </w:r>
      <w:r>
        <w:rPr>
          <w:rFonts w:hint="eastAsia"/>
        </w:rPr>
        <w:t>（HJ 2.3-2018），当α≤0</w:t>
      </w:r>
      <w:r>
        <w:t>.027</w:t>
      </w:r>
      <w:r>
        <w:rPr>
          <w:rFonts w:hint="eastAsia"/>
        </w:rPr>
        <w:t>、Pe≥1，适用对流扩散降解模型：</w:t>
      </w:r>
    </w:p>
    <w:p>
      <w:pPr>
        <w:pStyle w:val="63"/>
        <w:rPr>
          <w:sz w:val="24"/>
          <w:szCs w:val="24"/>
        </w:rPr>
      </w:pPr>
      <w:r>
        <w:drawing>
          <wp:inline distT="0" distB="0" distL="0" distR="0">
            <wp:extent cx="2122805" cy="556260"/>
            <wp:effectExtent l="0" t="0" r="0" b="0"/>
            <wp:docPr id="2123673354"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73354" name="图片 1" descr="文本&#10;&#10;描述已自动生成"/>
                    <pic:cNvPicPr>
                      <a:picLocks noChangeAspect="1"/>
                    </pic:cNvPicPr>
                  </pic:nvPicPr>
                  <pic:blipFill>
                    <a:blip r:embed="rId48"/>
                    <a:stretch>
                      <a:fillRect/>
                    </a:stretch>
                  </pic:blipFill>
                  <pic:spPr>
                    <a:xfrm>
                      <a:off x="0" y="0"/>
                      <a:ext cx="2124373" cy="556874"/>
                    </a:xfrm>
                    <a:prstGeom prst="rect">
                      <a:avLst/>
                    </a:prstGeom>
                  </pic:spPr>
                </pic:pic>
              </a:graphicData>
            </a:graphic>
          </wp:inline>
        </w:drawing>
      </w:r>
      <w:r>
        <w:rPr>
          <w:sz w:val="24"/>
          <w:szCs w:val="24"/>
        </w:rPr>
        <w:t xml:space="preserve">       </w:t>
      </w:r>
    </w:p>
    <w:p>
      <w:pPr>
        <w:pStyle w:val="63"/>
        <w:rPr>
          <w:sz w:val="24"/>
          <w:szCs w:val="24"/>
        </w:rPr>
      </w:pPr>
      <w:r>
        <w:drawing>
          <wp:inline distT="0" distB="0" distL="0" distR="0">
            <wp:extent cx="2226310" cy="314325"/>
            <wp:effectExtent l="0" t="0" r="2540" b="9525"/>
            <wp:docPr id="258172708" name="图片 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72708" name="图片 1" descr="卡通人物&#10;&#10;中度可信度描述已自动生成"/>
                    <pic:cNvPicPr>
                      <a:picLocks noChangeAspect="1"/>
                    </pic:cNvPicPr>
                  </pic:nvPicPr>
                  <pic:blipFill>
                    <a:blip r:embed="rId49"/>
                    <a:stretch>
                      <a:fillRect/>
                    </a:stretch>
                  </pic:blipFill>
                  <pic:spPr>
                    <a:xfrm>
                      <a:off x="0" y="0"/>
                      <a:ext cx="2228978" cy="314740"/>
                    </a:xfrm>
                    <a:prstGeom prst="rect">
                      <a:avLst/>
                    </a:prstGeom>
                  </pic:spPr>
                </pic:pic>
              </a:graphicData>
            </a:graphic>
          </wp:inline>
        </w:drawing>
      </w:r>
      <w:r>
        <w:rPr>
          <w:sz w:val="24"/>
          <w:szCs w:val="24"/>
        </w:rPr>
        <w:t xml:space="preserve">                    </w:t>
      </w:r>
    </w:p>
    <w:p>
      <w:pPr>
        <w:pStyle w:val="5"/>
        <w:ind w:firstLine="480"/>
      </w:pPr>
      <w:r>
        <w:rPr>
          <w:kern w:val="0"/>
        </w:rPr>
        <w:t>式中：</w:t>
      </w:r>
      <w:r>
        <w:t>C—</w:t>
      </w:r>
      <w:r>
        <w:rPr>
          <w:rFonts w:hint="eastAsia"/>
        </w:rPr>
        <w:t>污染物</w:t>
      </w:r>
      <w:r>
        <w:t>浓度，mg/L；</w:t>
      </w:r>
    </w:p>
    <w:p>
      <w:pPr>
        <w:pStyle w:val="5"/>
        <w:ind w:firstLine="1200" w:firstLineChars="500"/>
      </w:pPr>
      <w:r>
        <w:t>C</w:t>
      </w:r>
      <w:r>
        <w:rPr>
          <w:vertAlign w:val="subscript"/>
        </w:rPr>
        <w:t>0</w:t>
      </w:r>
      <w:r>
        <w:t>——</w:t>
      </w:r>
      <w:r>
        <w:rPr>
          <w:rFonts w:hint="eastAsia"/>
        </w:rPr>
        <w:t>河流排放口初始断面混合</w:t>
      </w:r>
      <w:r>
        <w:t>浓度，mg/L；</w:t>
      </w:r>
    </w:p>
    <w:p>
      <w:pPr>
        <w:pStyle w:val="5"/>
        <w:ind w:firstLine="1200" w:firstLineChars="500"/>
      </w:pPr>
      <w:r>
        <w:t>C</w:t>
      </w:r>
      <w:r>
        <w:rPr>
          <w:vertAlign w:val="subscript"/>
        </w:rPr>
        <w:t>p</w:t>
      </w:r>
      <w:r>
        <w:t>—污染物排放浓度，mg/L；</w:t>
      </w:r>
    </w:p>
    <w:p>
      <w:pPr>
        <w:pStyle w:val="5"/>
        <w:ind w:firstLine="1200" w:firstLineChars="500"/>
      </w:pPr>
      <w:r>
        <w:t>Q</w:t>
      </w:r>
      <w:r>
        <w:rPr>
          <w:vertAlign w:val="subscript"/>
        </w:rPr>
        <w:t>p</w:t>
      </w:r>
      <w:r>
        <w:t>—污水排放量，m</w:t>
      </w:r>
      <w:r>
        <w:rPr>
          <w:vertAlign w:val="superscript"/>
        </w:rPr>
        <w:t>3</w:t>
      </w:r>
      <w:r>
        <w:t>/s；</w:t>
      </w:r>
    </w:p>
    <w:p>
      <w:pPr>
        <w:pStyle w:val="5"/>
        <w:ind w:firstLine="1200" w:firstLineChars="500"/>
      </w:pPr>
      <w:r>
        <w:t>C</w:t>
      </w:r>
      <w:r>
        <w:rPr>
          <w:vertAlign w:val="subscript"/>
        </w:rPr>
        <w:t>h</w:t>
      </w:r>
      <w:r>
        <w:t>—河流上游来水污染物浓度，mg/L；</w:t>
      </w:r>
    </w:p>
    <w:p>
      <w:pPr>
        <w:pStyle w:val="5"/>
        <w:ind w:firstLine="1200" w:firstLineChars="500"/>
      </w:pPr>
      <w:r>
        <w:t>Q</w:t>
      </w:r>
      <w:r>
        <w:rPr>
          <w:vertAlign w:val="subscript"/>
        </w:rPr>
        <w:t>h</w:t>
      </w:r>
      <w:r>
        <w:t>—河流流量，m</w:t>
      </w:r>
      <w:r>
        <w:rPr>
          <w:vertAlign w:val="superscript"/>
        </w:rPr>
        <w:t>3</w:t>
      </w:r>
      <w:r>
        <w:t>/s；</w:t>
      </w:r>
    </w:p>
    <w:p>
      <w:pPr>
        <w:pStyle w:val="5"/>
        <w:ind w:firstLine="1200" w:firstLineChars="500"/>
      </w:pPr>
      <w:r>
        <w:t>K—</w:t>
      </w:r>
      <w:r>
        <w:rPr>
          <w:rFonts w:hint="eastAsia"/>
        </w:rPr>
        <w:t>污染物综合衰减系数</w:t>
      </w:r>
      <w:r>
        <w:t>，1/</w:t>
      </w:r>
      <w:r>
        <w:rPr>
          <w:rFonts w:hint="eastAsia"/>
        </w:rPr>
        <w:t>s</w:t>
      </w:r>
      <w:r>
        <w:t>；</w:t>
      </w:r>
    </w:p>
    <w:p>
      <w:pPr>
        <w:pStyle w:val="5"/>
        <w:ind w:firstLine="1200" w:firstLineChars="500"/>
      </w:pPr>
      <w:r>
        <w:t>u—断面流速，m/s</w:t>
      </w:r>
      <w:r>
        <w:rPr>
          <w:rFonts w:hint="eastAsia"/>
        </w:rPr>
        <w:t>；</w:t>
      </w:r>
    </w:p>
    <w:p>
      <w:pPr>
        <w:pStyle w:val="5"/>
        <w:ind w:firstLine="1200" w:firstLineChars="500"/>
      </w:pPr>
      <w:r>
        <w:object>
          <v:shape id="_x0000_i1033" o:spt="75" type="#_x0000_t75" style="height:14.4pt;width:7.2pt;" o:ole="t" filled="f" o:preferrelative="t" stroked="f" coordsize="21600,21600">
            <v:path/>
            <v:fill on="f" focussize="0,0"/>
            <v:stroke on="f" joinstyle="miter"/>
            <v:imagedata r:id="rId51" o:title=""/>
            <o:lock v:ext="edit" aspectratio="t"/>
            <w10:wrap type="none"/>
            <w10:anchorlock/>
          </v:shape>
          <o:OLEObject Type="Embed" ProgID="Equation.3" ShapeID="_x0000_i1033" DrawAspect="Content" ObjectID="_1468075731" r:id="rId50">
            <o:LockedField>false</o:LockedField>
          </o:OLEObject>
        </w:object>
      </w:r>
      <w:r>
        <w:rPr>
          <w:rFonts w:hint="eastAsia"/>
        </w:rPr>
        <w:t>—河流沿程坐标，m；</w:t>
      </w:r>
    </w:p>
    <w:p>
      <w:pPr>
        <w:pStyle w:val="5"/>
        <w:ind w:firstLine="1200" w:firstLineChars="500"/>
      </w:pPr>
      <w:r>
        <w:rPr>
          <w:rFonts w:hint="eastAsia"/>
        </w:rPr>
        <w:t>湖库均匀混合模型：</w:t>
      </w:r>
    </w:p>
    <w:p>
      <w:pPr>
        <w:pStyle w:val="63"/>
        <w:rPr>
          <w:sz w:val="24"/>
        </w:rPr>
      </w:pPr>
      <m:oMathPara>
        <m:oMath>
          <m:r>
            <w:rPr>
              <w:rFonts w:ascii="Cambria Math" w:hAnsi="Cambria Math"/>
            </w:rPr>
            <m:t>C</m:t>
          </m:r>
          <m:r>
            <m:rPr>
              <m:sty m:val="p"/>
            </m:rPr>
            <w:rPr>
              <w:rFonts w:ascii="Cambria Math" w:hAnsi="Cambria Math"/>
            </w:rPr>
            <m:t>=</m:t>
          </m:r>
          <m:f>
            <m:fPr>
              <m:ctrlPr>
                <w:rPr>
                  <w:rFonts w:ascii="Cambria Math" w:hAnsi="Cambria Math"/>
                  <w:sz w:val="24"/>
                </w:rPr>
              </m:ctrlPr>
            </m:fPr>
            <m:num>
              <m:r>
                <m:rPr>
                  <m:sty m:val="p"/>
                </m:rPr>
                <w:rPr>
                  <w:rFonts w:ascii="Cambria Math" w:hAnsi="Cambria Math"/>
                </w:rPr>
                <m:t>W</m:t>
              </m:r>
              <m:ctrlPr>
                <w:rPr>
                  <w:rFonts w:ascii="Cambria Math" w:hAnsi="Cambria Math"/>
                  <w:sz w:val="24"/>
                </w:rPr>
              </m:ctrlPr>
            </m:num>
            <m:den>
              <m:r>
                <w:rPr>
                  <w:rFonts w:ascii="Cambria Math" w:hAnsi="Cambria Math"/>
                </w:rPr>
                <m:t>Q</m:t>
              </m:r>
              <m:r>
                <m:rPr>
                  <m:sty m:val="p"/>
                </m:rPr>
                <w:rPr>
                  <w:rFonts w:ascii="Cambria Math" w:hAnsi="Cambria Math"/>
                </w:rPr>
                <m:t>+</m:t>
              </m:r>
              <m:r>
                <w:rPr>
                  <w:rFonts w:ascii="Cambria Math" w:hAnsi="Cambria Math"/>
                </w:rPr>
                <m:t>kV</m:t>
              </m:r>
              <m:ctrlPr>
                <w:rPr>
                  <w:rFonts w:ascii="Cambria Math" w:hAnsi="Cambria Math"/>
                  <w:sz w:val="24"/>
                </w:rPr>
              </m:ctrlPr>
            </m:den>
          </m:f>
        </m:oMath>
      </m:oMathPara>
    </w:p>
    <w:p>
      <w:pPr>
        <w:pStyle w:val="5"/>
        <w:ind w:firstLine="480"/>
      </w:pPr>
      <w:r>
        <w:rPr>
          <w:rFonts w:hint="eastAsia"/>
        </w:rPr>
        <w:t>式中：C-污染物浓度，mg/L；</w:t>
      </w:r>
    </w:p>
    <w:p>
      <w:pPr>
        <w:pStyle w:val="5"/>
        <w:ind w:firstLine="1200" w:firstLineChars="500"/>
      </w:pPr>
      <w:r>
        <w:rPr>
          <w:rFonts w:hint="eastAsia"/>
        </w:rPr>
        <w:t>W-单位时间污染物排入量，g/s，相应数值取COD 19.86、氨氮1.549、总磷0.194；</w:t>
      </w:r>
    </w:p>
    <w:p>
      <w:pPr>
        <w:pStyle w:val="5"/>
        <w:ind w:firstLine="480"/>
      </w:pPr>
      <w:r>
        <w:rPr>
          <w:rFonts w:hint="eastAsia"/>
        </w:rPr>
        <w:t xml:space="preserve">      Q-水量平衡时流入和流出湖库流量，m</w:t>
      </w:r>
      <w:r>
        <w:rPr>
          <w:rFonts w:hint="eastAsia"/>
          <w:vertAlign w:val="superscript"/>
        </w:rPr>
        <w:t>3</w:t>
      </w:r>
      <w:r>
        <w:rPr>
          <w:rFonts w:hint="eastAsia"/>
        </w:rPr>
        <w:t>/s，取1.01（枯水期河流流量、本项目和西部新城排水量之和）；</w:t>
      </w:r>
    </w:p>
    <w:p>
      <w:pPr>
        <w:pStyle w:val="5"/>
        <w:ind w:firstLine="1200" w:firstLineChars="500"/>
      </w:pPr>
      <w:r>
        <w:rPr>
          <w:rFonts w:hint="eastAsia"/>
        </w:rPr>
        <w:t>V-回水区水体体积，m</w:t>
      </w:r>
      <w:r>
        <w:rPr>
          <w:rFonts w:hint="eastAsia"/>
          <w:vertAlign w:val="superscript"/>
        </w:rPr>
        <w:t>3</w:t>
      </w:r>
      <w:r>
        <w:rPr>
          <w:rFonts w:hint="eastAsia"/>
        </w:rPr>
        <w:t>，取2600万；</w:t>
      </w:r>
    </w:p>
    <w:p>
      <w:pPr>
        <w:pStyle w:val="5"/>
        <w:ind w:firstLine="1200" w:firstLineChars="500"/>
      </w:pPr>
      <w:r>
        <w:rPr>
          <w:rFonts w:hint="eastAsia"/>
        </w:rPr>
        <w:t>k-污染物综合衰减系数，s</w:t>
      </w:r>
      <w:r>
        <w:rPr>
          <w:rFonts w:hint="eastAsia"/>
          <w:vertAlign w:val="superscript"/>
        </w:rPr>
        <w:t>-1</w:t>
      </w:r>
      <w:r>
        <w:rPr>
          <w:rFonts w:hint="eastAsia"/>
        </w:rPr>
        <w:t>，详见</w:t>
      </w:r>
      <w:r>
        <w:fldChar w:fldCharType="begin"/>
      </w:r>
      <w:r>
        <w:instrText xml:space="preserve"> </w:instrText>
      </w:r>
      <w:r>
        <w:rPr>
          <w:rFonts w:hint="eastAsia"/>
        </w:rPr>
        <w:instrText xml:space="preserve">REF _Ref143239499 \h</w:instrText>
      </w:r>
      <w:r>
        <w:instrText xml:space="preserve"> </w:instrText>
      </w:r>
      <w:r>
        <w:fldChar w:fldCharType="separate"/>
      </w:r>
      <w:r>
        <w:rPr>
          <w:rFonts w:hint="eastAsia"/>
        </w:rPr>
        <w:t xml:space="preserve">表 </w:t>
      </w:r>
      <w:r>
        <w:t>4.2</w:t>
      </w:r>
      <w:r>
        <w:noBreakHyphen/>
      </w:r>
      <w:r>
        <w:t>1</w:t>
      </w:r>
      <w:r>
        <w:fldChar w:fldCharType="end"/>
      </w:r>
      <w:r>
        <w:rPr>
          <w:rFonts w:hint="eastAsia"/>
        </w:rPr>
        <w:t>；</w:t>
      </w:r>
    </w:p>
    <w:p>
      <w:pPr>
        <w:pStyle w:val="4"/>
        <w:spacing w:before="156" w:after="156"/>
      </w:pPr>
      <w:r>
        <w:rPr>
          <w:rFonts w:hint="eastAsia"/>
        </w:rPr>
        <w:t>预测结果与评价</w:t>
      </w:r>
    </w:p>
    <w:p>
      <w:pPr>
        <w:pStyle w:val="6"/>
        <w:spacing w:before="156" w:after="156"/>
      </w:pPr>
      <w:r>
        <w:rPr>
          <w:rFonts w:hint="eastAsia"/>
        </w:rPr>
        <w:t>长江175m水位</w:t>
      </w:r>
    </w:p>
    <w:p>
      <w:pPr>
        <w:pStyle w:val="5"/>
        <w:ind w:firstLine="480"/>
      </w:pPr>
      <w:r>
        <w:rPr>
          <w:rFonts w:hint="eastAsia"/>
        </w:rPr>
        <w:t>正常工况（枯水期）下，项目排水对朱衣河影响预测见</w:t>
      </w:r>
      <w:r>
        <w:fldChar w:fldCharType="begin"/>
      </w:r>
      <w:r>
        <w:instrText xml:space="preserve"> </w:instrText>
      </w:r>
      <w:r>
        <w:rPr>
          <w:rFonts w:hint="eastAsia"/>
        </w:rPr>
        <w:instrText xml:space="preserve">REF _Ref170313223 \h</w:instrText>
      </w:r>
      <w:r>
        <w:instrText xml:space="preserve"> </w:instrText>
      </w:r>
      <w:r>
        <w:fldChar w:fldCharType="separate"/>
      </w:r>
      <w:r>
        <w:t>表 4.2</w:t>
      </w:r>
      <w:r>
        <w:noBreakHyphen/>
      </w:r>
      <w:r>
        <w:t>3</w:t>
      </w:r>
      <w:r>
        <w:fldChar w:fldCharType="end"/>
      </w:r>
      <w:r>
        <w:rPr>
          <w:rFonts w:hint="eastAsia"/>
        </w:rPr>
        <w:t>。当污水处理厂正常运行</w:t>
      </w:r>
      <w:r>
        <w:t>排放口下游河段COD、NH</w:t>
      </w:r>
      <w:r>
        <w:rPr>
          <w:vertAlign w:val="subscript"/>
        </w:rPr>
        <w:t>3</w:t>
      </w:r>
      <w:r>
        <w:t>-N、TP均满足《地表水环境质量标准》（GB3838-2002)III类水质标准。</w:t>
      </w:r>
      <w:r>
        <w:rPr>
          <w:rFonts w:hint="eastAsia"/>
        </w:rPr>
        <w:t>为维护地表水环境质量底线要求，</w:t>
      </w:r>
      <w:r>
        <w:t>COD、NH</w:t>
      </w:r>
      <w:r>
        <w:rPr>
          <w:vertAlign w:val="subscript"/>
        </w:rPr>
        <w:t>3</w:t>
      </w:r>
      <w:r>
        <w:t>-N、TP预留必要的安全余量，</w:t>
      </w:r>
      <w:r>
        <w:rPr>
          <w:rFonts w:hint="eastAsia"/>
        </w:rPr>
        <w:t>朱衣河为</w:t>
      </w:r>
      <w:r>
        <w:t>GB3838</w:t>
      </w:r>
      <w:r>
        <w:rPr>
          <w:rFonts w:hint="eastAsia"/>
        </w:rPr>
        <w:t xml:space="preserve"> </w:t>
      </w:r>
      <w:r>
        <w:t>Ⅲ类水域，安全余量按环境质量标准的90%控制，即COD 18mg/L、氨氮0.9mg/L、总磷0.18 mg/L。根据预测，正常排放</w:t>
      </w:r>
      <w:r>
        <w:rPr>
          <w:rFonts w:hint="eastAsia"/>
        </w:rPr>
        <w:t>情境下，本项目排污口下</w:t>
      </w:r>
      <w:r>
        <w:t>2000m控制断面各污染物预测浓度为COD</w:t>
      </w:r>
      <w:r>
        <w:rPr>
          <w:rFonts w:hint="eastAsia"/>
        </w:rPr>
        <w:t xml:space="preserve"> 13.60</w:t>
      </w:r>
      <w:r>
        <w:t>mg/L、氨氮0.</w:t>
      </w:r>
      <w:r>
        <w:rPr>
          <w:rFonts w:hint="eastAsia"/>
        </w:rPr>
        <w:t>83</w:t>
      </w:r>
      <w:r>
        <w:t>mg/L、总磷0.1</w:t>
      </w:r>
      <w:r>
        <w:rPr>
          <w:rFonts w:hint="eastAsia"/>
        </w:rPr>
        <w:t>3</w:t>
      </w:r>
      <w:r>
        <w:t>mg/L，满足安全余量的要求。</w:t>
      </w:r>
    </w:p>
    <w:p>
      <w:pPr>
        <w:pStyle w:val="14"/>
        <w:keepNext/>
      </w:pPr>
      <w:bookmarkStart w:id="113" w:name="_Ref170313223"/>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3</w:t>
      </w:r>
      <w:r>
        <w:fldChar w:fldCharType="end"/>
      </w:r>
      <w:bookmarkEnd w:id="113"/>
      <w:r>
        <w:rPr>
          <w:rFonts w:hint="eastAsia"/>
        </w:rPr>
        <w:t xml:space="preserve">   </w:t>
      </w:r>
      <w:bookmarkStart w:id="114" w:name="_Hlk173681167"/>
      <w:r>
        <w:rPr>
          <w:rFonts w:hint="eastAsia"/>
        </w:rPr>
        <w:t>正常工况下项目排水对朱衣河影响预测-</w:t>
      </w:r>
      <w:bookmarkEnd w:id="114"/>
      <w:r>
        <w:rPr>
          <w:rFonts w:hint="eastAsia"/>
        </w:rPr>
        <w:t>枯水期</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1391"/>
        <w:gridCol w:w="1425"/>
        <w:gridCol w:w="1364"/>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rPr>
                <w:rFonts w:hint="eastAsia"/>
              </w:rPr>
              <w:t>距离/m</w:t>
            </w:r>
          </w:p>
        </w:tc>
        <w:tc>
          <w:tcPr>
            <w:tcW w:w="1391" w:type="dxa"/>
            <w:noWrap/>
          </w:tcPr>
          <w:p>
            <w:pPr>
              <w:pStyle w:val="63"/>
            </w:pPr>
            <w:r>
              <w:rPr>
                <w:rFonts w:hint="eastAsia"/>
              </w:rPr>
              <w:t>COD mg/L</w:t>
            </w:r>
          </w:p>
        </w:tc>
        <w:tc>
          <w:tcPr>
            <w:tcW w:w="1425" w:type="dxa"/>
            <w:noWrap/>
          </w:tcPr>
          <w:p>
            <w:pPr>
              <w:pStyle w:val="63"/>
            </w:pPr>
            <w:r>
              <w:rPr>
                <w:rFonts w:hint="eastAsia"/>
              </w:rPr>
              <w:t>氨氮 mg/L</w:t>
            </w:r>
          </w:p>
        </w:tc>
        <w:tc>
          <w:tcPr>
            <w:tcW w:w="1364" w:type="dxa"/>
            <w:noWrap/>
          </w:tcPr>
          <w:p>
            <w:pPr>
              <w:pStyle w:val="63"/>
            </w:pPr>
            <w:r>
              <w:rPr>
                <w:rFonts w:hint="eastAsia"/>
              </w:rPr>
              <w:t>总磷mg/L</w:t>
            </w:r>
          </w:p>
        </w:tc>
        <w:tc>
          <w:tcPr>
            <w:tcW w:w="3010" w:type="dxa"/>
            <w:noWrap/>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400</w:t>
            </w:r>
          </w:p>
        </w:tc>
        <w:tc>
          <w:tcPr>
            <w:tcW w:w="1391" w:type="dxa"/>
            <w:noWrap/>
          </w:tcPr>
          <w:p>
            <w:pPr>
              <w:pStyle w:val="63"/>
            </w:pPr>
            <w:r>
              <w:t xml:space="preserve">13.77 </w:t>
            </w:r>
          </w:p>
        </w:tc>
        <w:tc>
          <w:tcPr>
            <w:tcW w:w="1425" w:type="dxa"/>
            <w:noWrap/>
          </w:tcPr>
          <w:p>
            <w:pPr>
              <w:pStyle w:val="63"/>
            </w:pPr>
            <w:r>
              <w:t xml:space="preserve">0.84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450</w:t>
            </w:r>
          </w:p>
        </w:tc>
        <w:tc>
          <w:tcPr>
            <w:tcW w:w="1391" w:type="dxa"/>
            <w:noWrap/>
          </w:tcPr>
          <w:p>
            <w:pPr>
              <w:pStyle w:val="63"/>
            </w:pPr>
            <w:r>
              <w:t xml:space="preserve">13.77 </w:t>
            </w:r>
          </w:p>
        </w:tc>
        <w:tc>
          <w:tcPr>
            <w:tcW w:w="1425" w:type="dxa"/>
            <w:noWrap/>
          </w:tcPr>
          <w:p>
            <w:pPr>
              <w:pStyle w:val="63"/>
            </w:pPr>
            <w:r>
              <w:t xml:space="preserve">0.84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550</w:t>
            </w:r>
          </w:p>
        </w:tc>
        <w:tc>
          <w:tcPr>
            <w:tcW w:w="1391" w:type="dxa"/>
            <w:noWrap/>
          </w:tcPr>
          <w:p>
            <w:pPr>
              <w:pStyle w:val="63"/>
            </w:pPr>
            <w:r>
              <w:t xml:space="preserve">13.76 </w:t>
            </w:r>
          </w:p>
        </w:tc>
        <w:tc>
          <w:tcPr>
            <w:tcW w:w="1425" w:type="dxa"/>
            <w:noWrap/>
          </w:tcPr>
          <w:p>
            <w:pPr>
              <w:pStyle w:val="63"/>
            </w:pPr>
            <w:r>
              <w:t xml:space="preserve">0.84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600</w:t>
            </w:r>
          </w:p>
        </w:tc>
        <w:tc>
          <w:tcPr>
            <w:tcW w:w="1391" w:type="dxa"/>
            <w:noWrap/>
          </w:tcPr>
          <w:p>
            <w:pPr>
              <w:pStyle w:val="63"/>
            </w:pPr>
            <w:r>
              <w:t xml:space="preserve">13.75 </w:t>
            </w:r>
          </w:p>
        </w:tc>
        <w:tc>
          <w:tcPr>
            <w:tcW w:w="1425" w:type="dxa"/>
            <w:noWrap/>
          </w:tcPr>
          <w:p>
            <w:pPr>
              <w:pStyle w:val="63"/>
            </w:pPr>
            <w:r>
              <w:t xml:space="preserve">0.84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700</w:t>
            </w:r>
          </w:p>
        </w:tc>
        <w:tc>
          <w:tcPr>
            <w:tcW w:w="1391" w:type="dxa"/>
            <w:noWrap/>
          </w:tcPr>
          <w:p>
            <w:pPr>
              <w:pStyle w:val="63"/>
            </w:pPr>
            <w:r>
              <w:t xml:space="preserve">13.74 </w:t>
            </w:r>
          </w:p>
        </w:tc>
        <w:tc>
          <w:tcPr>
            <w:tcW w:w="1425" w:type="dxa"/>
            <w:noWrap/>
          </w:tcPr>
          <w:p>
            <w:pPr>
              <w:pStyle w:val="63"/>
            </w:pPr>
            <w:r>
              <w:t xml:space="preserve">0.84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800</w:t>
            </w:r>
          </w:p>
        </w:tc>
        <w:tc>
          <w:tcPr>
            <w:tcW w:w="1391" w:type="dxa"/>
            <w:noWrap/>
          </w:tcPr>
          <w:p>
            <w:pPr>
              <w:pStyle w:val="63"/>
            </w:pPr>
            <w:r>
              <w:t xml:space="preserve">13.73 </w:t>
            </w:r>
          </w:p>
        </w:tc>
        <w:tc>
          <w:tcPr>
            <w:tcW w:w="1425" w:type="dxa"/>
            <w:noWrap/>
          </w:tcPr>
          <w:p>
            <w:pPr>
              <w:pStyle w:val="63"/>
            </w:pPr>
            <w:r>
              <w:t xml:space="preserve">0.84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1000</w:t>
            </w:r>
          </w:p>
        </w:tc>
        <w:tc>
          <w:tcPr>
            <w:tcW w:w="1391" w:type="dxa"/>
            <w:noWrap/>
          </w:tcPr>
          <w:p>
            <w:pPr>
              <w:pStyle w:val="63"/>
            </w:pPr>
            <w:r>
              <w:t xml:space="preserve">13.71 </w:t>
            </w:r>
          </w:p>
        </w:tc>
        <w:tc>
          <w:tcPr>
            <w:tcW w:w="1425" w:type="dxa"/>
            <w:noWrap/>
          </w:tcPr>
          <w:p>
            <w:pPr>
              <w:pStyle w:val="63"/>
            </w:pPr>
            <w:r>
              <w:t xml:space="preserve">0.84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1500</w:t>
            </w:r>
          </w:p>
        </w:tc>
        <w:tc>
          <w:tcPr>
            <w:tcW w:w="1391" w:type="dxa"/>
            <w:noWrap/>
          </w:tcPr>
          <w:p>
            <w:pPr>
              <w:pStyle w:val="63"/>
            </w:pPr>
            <w:r>
              <w:t xml:space="preserve">13.65 </w:t>
            </w:r>
          </w:p>
        </w:tc>
        <w:tc>
          <w:tcPr>
            <w:tcW w:w="1425" w:type="dxa"/>
            <w:noWrap/>
          </w:tcPr>
          <w:p>
            <w:pPr>
              <w:pStyle w:val="63"/>
            </w:pPr>
            <w:r>
              <w:t xml:space="preserve">0.83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2000</w:t>
            </w:r>
          </w:p>
        </w:tc>
        <w:tc>
          <w:tcPr>
            <w:tcW w:w="1391" w:type="dxa"/>
            <w:noWrap/>
          </w:tcPr>
          <w:p>
            <w:pPr>
              <w:pStyle w:val="63"/>
            </w:pPr>
            <w:r>
              <w:t xml:space="preserve">13.60 </w:t>
            </w:r>
          </w:p>
        </w:tc>
        <w:tc>
          <w:tcPr>
            <w:tcW w:w="1425" w:type="dxa"/>
            <w:noWrap/>
          </w:tcPr>
          <w:p>
            <w:pPr>
              <w:pStyle w:val="63"/>
            </w:pPr>
            <w:r>
              <w:t xml:space="preserve">0.83 </w:t>
            </w:r>
          </w:p>
        </w:tc>
        <w:tc>
          <w:tcPr>
            <w:tcW w:w="1364" w:type="dxa"/>
            <w:noWrap/>
          </w:tcPr>
          <w:p>
            <w:pPr>
              <w:pStyle w:val="63"/>
            </w:pPr>
            <w:r>
              <w:t xml:space="preserve">0.13 </w:t>
            </w:r>
          </w:p>
        </w:tc>
        <w:tc>
          <w:tcPr>
            <w:tcW w:w="3010" w:type="dxa"/>
            <w:noWrap/>
          </w:tcPr>
          <w:p>
            <w:pPr>
              <w:pStyle w:val="63"/>
            </w:pPr>
            <w:r>
              <w:rPr>
                <w:rFonts w:hint="eastAsia"/>
              </w:rPr>
              <w:t>控制断面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pPr>
            <w:r>
              <w:t>2500</w:t>
            </w:r>
          </w:p>
        </w:tc>
        <w:tc>
          <w:tcPr>
            <w:tcW w:w="1391" w:type="dxa"/>
            <w:noWrap/>
          </w:tcPr>
          <w:p>
            <w:pPr>
              <w:pStyle w:val="63"/>
            </w:pPr>
            <w:r>
              <w:t xml:space="preserve">13.55 </w:t>
            </w:r>
          </w:p>
        </w:tc>
        <w:tc>
          <w:tcPr>
            <w:tcW w:w="1425" w:type="dxa"/>
            <w:noWrap/>
          </w:tcPr>
          <w:p>
            <w:pPr>
              <w:pStyle w:val="63"/>
            </w:pPr>
            <w:r>
              <w:t xml:space="preserve">0.83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3000</w:t>
            </w:r>
          </w:p>
        </w:tc>
        <w:tc>
          <w:tcPr>
            <w:tcW w:w="1391" w:type="dxa"/>
            <w:noWrap/>
          </w:tcPr>
          <w:p>
            <w:pPr>
              <w:pStyle w:val="63"/>
            </w:pPr>
            <w:r>
              <w:t xml:space="preserve">13.49 </w:t>
            </w:r>
          </w:p>
        </w:tc>
        <w:tc>
          <w:tcPr>
            <w:tcW w:w="1425" w:type="dxa"/>
            <w:noWrap/>
          </w:tcPr>
          <w:p>
            <w:pPr>
              <w:pStyle w:val="63"/>
            </w:pPr>
            <w:r>
              <w:t xml:space="preserve">0.82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3500</w:t>
            </w:r>
          </w:p>
        </w:tc>
        <w:tc>
          <w:tcPr>
            <w:tcW w:w="1391" w:type="dxa"/>
            <w:noWrap/>
          </w:tcPr>
          <w:p>
            <w:pPr>
              <w:pStyle w:val="63"/>
            </w:pPr>
            <w:r>
              <w:t xml:space="preserve">13.44 </w:t>
            </w:r>
          </w:p>
        </w:tc>
        <w:tc>
          <w:tcPr>
            <w:tcW w:w="1425" w:type="dxa"/>
            <w:noWrap/>
          </w:tcPr>
          <w:p>
            <w:pPr>
              <w:pStyle w:val="63"/>
            </w:pPr>
            <w:r>
              <w:t xml:space="preserve">0.82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t>4000</w:t>
            </w:r>
          </w:p>
        </w:tc>
        <w:tc>
          <w:tcPr>
            <w:tcW w:w="1391" w:type="dxa"/>
            <w:noWrap/>
          </w:tcPr>
          <w:p>
            <w:pPr>
              <w:pStyle w:val="63"/>
            </w:pPr>
            <w:r>
              <w:t xml:space="preserve">13.39 </w:t>
            </w:r>
          </w:p>
        </w:tc>
        <w:tc>
          <w:tcPr>
            <w:tcW w:w="1425" w:type="dxa"/>
            <w:noWrap/>
          </w:tcPr>
          <w:p>
            <w:pPr>
              <w:pStyle w:val="63"/>
            </w:pPr>
            <w:r>
              <w:t xml:space="preserve">0.81 </w:t>
            </w:r>
          </w:p>
        </w:tc>
        <w:tc>
          <w:tcPr>
            <w:tcW w:w="1364" w:type="dxa"/>
            <w:noWrap/>
          </w:tcPr>
          <w:p>
            <w:pPr>
              <w:pStyle w:val="63"/>
            </w:pPr>
            <w:r>
              <w:t xml:space="preserve">0.13 </w:t>
            </w:r>
          </w:p>
        </w:tc>
        <w:tc>
          <w:tcPr>
            <w:tcW w:w="3010"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758" w:type="dxa"/>
            <w:noWrap/>
          </w:tcPr>
          <w:p>
            <w:pPr>
              <w:pStyle w:val="63"/>
              <w:rPr>
                <w:rFonts w:cs="宋体"/>
              </w:rPr>
            </w:pPr>
            <w:r>
              <w:rPr>
                <w:rFonts w:hint="eastAsia" w:ascii="宋体" w:hAnsi="宋体"/>
              </w:rPr>
              <w:t>Ⅲ</w:t>
            </w:r>
            <w:r>
              <w:rPr>
                <w:rFonts w:hint="eastAsia"/>
              </w:rPr>
              <w:t>类标准</w:t>
            </w:r>
          </w:p>
        </w:tc>
        <w:tc>
          <w:tcPr>
            <w:tcW w:w="1391" w:type="dxa"/>
            <w:noWrap/>
          </w:tcPr>
          <w:p>
            <w:pPr>
              <w:pStyle w:val="63"/>
            </w:pPr>
            <w:r>
              <w:rPr>
                <w:rFonts w:hint="eastAsia"/>
              </w:rPr>
              <w:t>20</w:t>
            </w:r>
          </w:p>
        </w:tc>
        <w:tc>
          <w:tcPr>
            <w:tcW w:w="1425" w:type="dxa"/>
            <w:noWrap/>
          </w:tcPr>
          <w:p>
            <w:pPr>
              <w:pStyle w:val="63"/>
            </w:pPr>
            <w:r>
              <w:rPr>
                <w:rFonts w:hint="eastAsia"/>
              </w:rPr>
              <w:t>1</w:t>
            </w:r>
          </w:p>
        </w:tc>
        <w:tc>
          <w:tcPr>
            <w:tcW w:w="1364" w:type="dxa"/>
            <w:noWrap/>
          </w:tcPr>
          <w:p>
            <w:pPr>
              <w:pStyle w:val="63"/>
            </w:pPr>
            <w:r>
              <w:rPr>
                <w:rFonts w:hint="eastAsia"/>
              </w:rPr>
              <w:t>0.2</w:t>
            </w:r>
          </w:p>
        </w:tc>
        <w:tc>
          <w:tcPr>
            <w:tcW w:w="3010" w:type="dxa"/>
            <w:noWrap/>
          </w:tcPr>
          <w:p>
            <w:pPr>
              <w:pStyle w:val="63"/>
            </w:pPr>
            <w:r>
              <w:rPr>
                <w:rFonts w:hint="eastAsia"/>
              </w:rPr>
              <w:t>-</w:t>
            </w:r>
          </w:p>
        </w:tc>
      </w:tr>
    </w:tbl>
    <w:p>
      <w:bookmarkStart w:id="115" w:name="_Ref173681254"/>
    </w:p>
    <w:p>
      <w:pPr>
        <w:pStyle w:val="5"/>
        <w:ind w:firstLine="480"/>
      </w:pPr>
      <w:r>
        <w:rPr>
          <w:rFonts w:hint="eastAsia"/>
        </w:rPr>
        <w:t>朱衣河进入长江回水区（排口下游约4km至10km长江汇入口）后污染物浓度预测见</w:t>
      </w:r>
      <w:r>
        <w:fldChar w:fldCharType="begin"/>
      </w:r>
      <w:r>
        <w:instrText xml:space="preserve"> </w:instrText>
      </w:r>
      <w:r>
        <w:rPr>
          <w:rFonts w:hint="eastAsia"/>
        </w:rPr>
        <w:instrText xml:space="preserve">REF _Ref175573167 \h</w:instrText>
      </w:r>
      <w:r>
        <w:instrText xml:space="preserve"> </w:instrText>
      </w:r>
      <w:r>
        <w:fldChar w:fldCharType="separate"/>
      </w:r>
      <w:r>
        <w:rPr>
          <w:rFonts w:hint="eastAsia"/>
        </w:rPr>
        <w:t xml:space="preserve">表 </w:t>
      </w:r>
      <w:r>
        <w:t>4.2</w:t>
      </w:r>
      <w:r>
        <w:noBreakHyphen/>
      </w:r>
      <w:r>
        <w:t>4</w:t>
      </w:r>
      <w:r>
        <w:fldChar w:fldCharType="end"/>
      </w:r>
      <w:r>
        <w:rPr>
          <w:rFonts w:hint="eastAsia"/>
        </w:rPr>
        <w:t>。根据下表，项目污染物进入朱衣河长江回水区段后COD、氨氮、总磷浓度满足</w:t>
      </w:r>
      <w:r>
        <w:t>GB3838</w:t>
      </w:r>
      <w:r>
        <w:rPr>
          <w:rFonts w:hint="eastAsia"/>
        </w:rPr>
        <w:t xml:space="preserve"> </w:t>
      </w:r>
      <w:r>
        <w:t>Ⅲ类水域</w:t>
      </w:r>
      <w:r>
        <w:rPr>
          <w:rFonts w:hint="eastAsia"/>
        </w:rPr>
        <w:t>要求。</w:t>
      </w:r>
    </w:p>
    <w:p>
      <w:pPr>
        <w:pStyle w:val="14"/>
        <w:keepNext/>
      </w:pPr>
      <w:bookmarkStart w:id="116" w:name="_Ref175573167"/>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116"/>
      <w:r>
        <w:rPr>
          <w:rFonts w:hint="eastAsia"/>
        </w:rPr>
        <w:t xml:space="preserve">   进入长江回水区后污染物预测  mg/L</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237"/>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7" w:type="dxa"/>
          </w:tcPr>
          <w:p>
            <w:pPr>
              <w:pStyle w:val="63"/>
            </w:pPr>
            <w:r>
              <w:rPr>
                <w:rFonts w:hint="eastAsia"/>
              </w:rPr>
              <w:t>污染物</w:t>
            </w:r>
          </w:p>
        </w:tc>
        <w:tc>
          <w:tcPr>
            <w:tcW w:w="2237" w:type="dxa"/>
          </w:tcPr>
          <w:p>
            <w:pPr>
              <w:pStyle w:val="63"/>
            </w:pPr>
            <w:r>
              <w:rPr>
                <w:rFonts w:hint="eastAsia"/>
              </w:rPr>
              <w:t xml:space="preserve">COD </w:t>
            </w:r>
          </w:p>
        </w:tc>
        <w:tc>
          <w:tcPr>
            <w:tcW w:w="2237" w:type="dxa"/>
          </w:tcPr>
          <w:p>
            <w:pPr>
              <w:pStyle w:val="63"/>
            </w:pPr>
            <w:r>
              <w:rPr>
                <w:rFonts w:hint="eastAsia"/>
              </w:rPr>
              <w:t xml:space="preserve">氨氮 </w:t>
            </w:r>
          </w:p>
        </w:tc>
        <w:tc>
          <w:tcPr>
            <w:tcW w:w="2237" w:type="dxa"/>
          </w:tcPr>
          <w:p>
            <w:pPr>
              <w:pStyle w:val="63"/>
            </w:pPr>
            <w:r>
              <w:rPr>
                <w:rFonts w:hint="eastAsia"/>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7" w:type="dxa"/>
          </w:tcPr>
          <w:p>
            <w:pPr>
              <w:pStyle w:val="63"/>
            </w:pPr>
            <w:r>
              <w:rPr>
                <w:rFonts w:hint="eastAsia"/>
              </w:rPr>
              <w:t>贡献浓度</w:t>
            </w:r>
          </w:p>
        </w:tc>
        <w:tc>
          <w:tcPr>
            <w:tcW w:w="2237" w:type="dxa"/>
          </w:tcPr>
          <w:p>
            <w:pPr>
              <w:pStyle w:val="63"/>
            </w:pPr>
            <w:r>
              <w:rPr>
                <w:rFonts w:hint="eastAsia"/>
              </w:rPr>
              <w:t>0.79</w:t>
            </w:r>
          </w:p>
        </w:tc>
        <w:tc>
          <w:tcPr>
            <w:tcW w:w="2237" w:type="dxa"/>
          </w:tcPr>
          <w:p>
            <w:pPr>
              <w:pStyle w:val="63"/>
            </w:pPr>
            <w:r>
              <w:rPr>
                <w:rFonts w:hint="eastAsia"/>
              </w:rPr>
              <w:t>0.05</w:t>
            </w:r>
          </w:p>
        </w:tc>
        <w:tc>
          <w:tcPr>
            <w:tcW w:w="2237" w:type="dxa"/>
          </w:tcPr>
          <w:p>
            <w:pPr>
              <w:pStyle w:val="63"/>
            </w:pPr>
            <w:r>
              <w:rPr>
                <w:rFonts w:hint="eastAsia"/>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7" w:type="dxa"/>
          </w:tcPr>
          <w:p>
            <w:pPr>
              <w:pStyle w:val="63"/>
            </w:pPr>
            <w:r>
              <w:rPr>
                <w:rFonts w:hint="eastAsia"/>
              </w:rPr>
              <w:t>长江背景浓度*</w:t>
            </w:r>
          </w:p>
        </w:tc>
        <w:tc>
          <w:tcPr>
            <w:tcW w:w="2237" w:type="dxa"/>
          </w:tcPr>
          <w:p>
            <w:pPr>
              <w:pStyle w:val="63"/>
            </w:pPr>
            <w:r>
              <w:rPr>
                <w:rFonts w:hint="eastAsia"/>
              </w:rPr>
              <w:t>5.0</w:t>
            </w:r>
          </w:p>
        </w:tc>
        <w:tc>
          <w:tcPr>
            <w:tcW w:w="2237" w:type="dxa"/>
          </w:tcPr>
          <w:p>
            <w:pPr>
              <w:pStyle w:val="63"/>
            </w:pPr>
            <w:r>
              <w:rPr>
                <w:rFonts w:hint="eastAsia"/>
              </w:rPr>
              <w:t>0.02</w:t>
            </w:r>
          </w:p>
        </w:tc>
        <w:tc>
          <w:tcPr>
            <w:tcW w:w="2237" w:type="dxa"/>
          </w:tcPr>
          <w:p>
            <w:pPr>
              <w:pStyle w:val="63"/>
            </w:pPr>
            <w:r>
              <w:rPr>
                <w:rFonts w:hint="eastAsia"/>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7" w:type="dxa"/>
          </w:tcPr>
          <w:p>
            <w:pPr>
              <w:pStyle w:val="63"/>
            </w:pPr>
            <w:r>
              <w:rPr>
                <w:rFonts w:hint="eastAsia"/>
              </w:rPr>
              <w:t>叠加浓度</w:t>
            </w:r>
          </w:p>
        </w:tc>
        <w:tc>
          <w:tcPr>
            <w:tcW w:w="2237" w:type="dxa"/>
          </w:tcPr>
          <w:p>
            <w:pPr>
              <w:pStyle w:val="63"/>
            </w:pPr>
            <w:r>
              <w:rPr>
                <w:rFonts w:hint="eastAsia"/>
              </w:rPr>
              <w:t>5.79</w:t>
            </w:r>
          </w:p>
        </w:tc>
        <w:tc>
          <w:tcPr>
            <w:tcW w:w="2237" w:type="dxa"/>
          </w:tcPr>
          <w:p>
            <w:pPr>
              <w:pStyle w:val="63"/>
            </w:pPr>
            <w:r>
              <w:rPr>
                <w:rFonts w:hint="eastAsia"/>
              </w:rPr>
              <w:t>0.07</w:t>
            </w:r>
          </w:p>
        </w:tc>
        <w:tc>
          <w:tcPr>
            <w:tcW w:w="2237" w:type="dxa"/>
          </w:tcPr>
          <w:p>
            <w:pPr>
              <w:pStyle w:val="63"/>
            </w:pPr>
            <w:r>
              <w:rPr>
                <w:rFonts w:hint="eastAsia"/>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7" w:type="dxa"/>
          </w:tcPr>
          <w:p>
            <w:pPr>
              <w:pStyle w:val="63"/>
            </w:pPr>
            <w:r>
              <w:rPr>
                <w:rFonts w:hint="eastAsia" w:ascii="宋体" w:hAnsi="宋体"/>
              </w:rPr>
              <w:t>Ⅲ</w:t>
            </w:r>
            <w:r>
              <w:rPr>
                <w:rFonts w:hint="eastAsia"/>
              </w:rPr>
              <w:t>类标准</w:t>
            </w:r>
          </w:p>
        </w:tc>
        <w:tc>
          <w:tcPr>
            <w:tcW w:w="2237" w:type="dxa"/>
          </w:tcPr>
          <w:p>
            <w:pPr>
              <w:pStyle w:val="63"/>
            </w:pPr>
            <w:r>
              <w:rPr>
                <w:rFonts w:hint="eastAsia"/>
              </w:rPr>
              <w:t>20</w:t>
            </w:r>
          </w:p>
        </w:tc>
        <w:tc>
          <w:tcPr>
            <w:tcW w:w="2237" w:type="dxa"/>
          </w:tcPr>
          <w:p>
            <w:pPr>
              <w:pStyle w:val="63"/>
            </w:pPr>
            <w:r>
              <w:rPr>
                <w:rFonts w:hint="eastAsia"/>
              </w:rPr>
              <w:t>1</w:t>
            </w:r>
          </w:p>
        </w:tc>
        <w:tc>
          <w:tcPr>
            <w:tcW w:w="2237" w:type="dxa"/>
          </w:tcPr>
          <w:p>
            <w:pPr>
              <w:pStyle w:val="63"/>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gridSpan w:val="4"/>
          </w:tcPr>
          <w:p>
            <w:pPr>
              <w:pStyle w:val="64"/>
            </w:pPr>
            <w:r>
              <w:rPr>
                <w:rFonts w:hint="eastAsia"/>
              </w:rPr>
              <w:t>注：背景浓度取长江奉节白帝城断面（位于朱衣河与长江汇入口长江干流下游）2023年10~12月例行监测中各污染物监测最大值；</w:t>
            </w:r>
          </w:p>
        </w:tc>
      </w:tr>
    </w:tbl>
    <w:p/>
    <w:p>
      <w:pPr>
        <w:pStyle w:val="6"/>
        <w:spacing w:before="156" w:after="156"/>
      </w:pPr>
      <w:r>
        <w:rPr>
          <w:rFonts w:hint="eastAsia"/>
        </w:rPr>
        <w:t>长江145m水位</w:t>
      </w:r>
    </w:p>
    <w:p>
      <w:pPr>
        <w:pStyle w:val="5"/>
        <w:ind w:firstLine="480"/>
      </w:pPr>
      <w:r>
        <w:rPr>
          <w:rFonts w:hint="eastAsia"/>
        </w:rPr>
        <w:t>正常工况（补充监测时段，7月）下，项目排水对朱衣河影响预测见</w:t>
      </w:r>
      <w:r>
        <w:fldChar w:fldCharType="begin"/>
      </w:r>
      <w:r>
        <w:instrText xml:space="preserve"> </w:instrText>
      </w:r>
      <w:r>
        <w:rPr>
          <w:rFonts w:hint="eastAsia"/>
        </w:rPr>
        <w:instrText xml:space="preserve">REF _Ref173833419 \h</w:instrText>
      </w:r>
      <w:r>
        <w:instrText xml:space="preserve"> </w:instrText>
      </w:r>
      <w:r>
        <w:fldChar w:fldCharType="separate"/>
      </w:r>
      <w:r>
        <w:rPr>
          <w:rFonts w:hint="eastAsia"/>
        </w:rPr>
        <w:t xml:space="preserve">表 </w:t>
      </w:r>
      <w:r>
        <w:t>4.2</w:t>
      </w:r>
      <w:r>
        <w:noBreakHyphen/>
      </w:r>
      <w:r>
        <w:t>5</w:t>
      </w:r>
      <w:r>
        <w:fldChar w:fldCharType="end"/>
      </w:r>
      <w:r>
        <w:rPr>
          <w:rFonts w:hint="eastAsia"/>
        </w:rPr>
        <w:t>。当污水处理厂正常运行</w:t>
      </w:r>
      <w:r>
        <w:t>排放口下游河段COD、NH</w:t>
      </w:r>
      <w:r>
        <w:rPr>
          <w:vertAlign w:val="subscript"/>
        </w:rPr>
        <w:t>3</w:t>
      </w:r>
      <w:r>
        <w:t>-N、TP均满足《地表水环境质量标准》（GB3838-2002)III类水质标准。</w:t>
      </w:r>
      <w:r>
        <w:rPr>
          <w:rFonts w:hint="eastAsia"/>
        </w:rPr>
        <w:t>为维护地表水环境质量底线要求，</w:t>
      </w:r>
      <w:r>
        <w:t>COD、NH</w:t>
      </w:r>
      <w:r>
        <w:rPr>
          <w:vertAlign w:val="subscript"/>
        </w:rPr>
        <w:t>3</w:t>
      </w:r>
      <w:r>
        <w:t>-N、TP预留必要的安全余量，</w:t>
      </w:r>
      <w:r>
        <w:rPr>
          <w:rFonts w:hint="eastAsia"/>
        </w:rPr>
        <w:t>朱衣河为</w:t>
      </w:r>
      <w:r>
        <w:t>GB3838</w:t>
      </w:r>
      <w:r>
        <w:rPr>
          <w:rFonts w:hint="eastAsia"/>
        </w:rPr>
        <w:t xml:space="preserve"> </w:t>
      </w:r>
      <w:r>
        <w:t>Ⅲ类水域，安全余量按环境质量标准的90%控制，即COD 18mg/L、氨氮0.9mg/L、总磷0.18 mg/L。根据预测，正常排放</w:t>
      </w:r>
      <w:r>
        <w:rPr>
          <w:rFonts w:hint="eastAsia"/>
        </w:rPr>
        <w:t>情境下，本项目排污口下</w:t>
      </w:r>
      <w:r>
        <w:t>2000m控制断面各污染物预测浓度为COD</w:t>
      </w:r>
      <w:r>
        <w:rPr>
          <w:rFonts w:hint="eastAsia"/>
        </w:rPr>
        <w:t xml:space="preserve"> 10.43</w:t>
      </w:r>
      <w:r>
        <w:t>mg/L、氨氮</w:t>
      </w:r>
      <w:r>
        <w:rPr>
          <w:rFonts w:hint="eastAsia"/>
        </w:rPr>
        <w:t>0.20</w:t>
      </w:r>
      <w:r>
        <w:t>mg/L、总磷</w:t>
      </w:r>
      <w:r>
        <w:rPr>
          <w:rFonts w:hint="eastAsia"/>
        </w:rPr>
        <w:t>0.04</w:t>
      </w:r>
      <w:r>
        <w:t>mg/L，满足安全余量的要求。</w:t>
      </w:r>
    </w:p>
    <w:p>
      <w:pPr>
        <w:pStyle w:val="14"/>
        <w:keepNext/>
      </w:pPr>
      <w:bookmarkStart w:id="117" w:name="_Ref173833419"/>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bookmarkEnd w:id="115"/>
      <w:bookmarkEnd w:id="117"/>
      <w:r>
        <w:rPr>
          <w:rFonts w:hint="eastAsia"/>
        </w:rPr>
        <w:t xml:space="preserve">   正常工况下项目排水对朱衣河影响预测-补充监测时段</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1357"/>
        <w:gridCol w:w="1357"/>
        <w:gridCol w:w="1357"/>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rPr>
                <w:rFonts w:hint="eastAsia"/>
              </w:rPr>
              <w:t>距离/m</w:t>
            </w:r>
          </w:p>
        </w:tc>
        <w:tc>
          <w:tcPr>
            <w:tcW w:w="1357" w:type="dxa"/>
            <w:noWrap/>
          </w:tcPr>
          <w:p>
            <w:pPr>
              <w:pStyle w:val="63"/>
            </w:pPr>
            <w:r>
              <w:rPr>
                <w:rFonts w:hint="eastAsia"/>
              </w:rPr>
              <w:t>COD mg/L</w:t>
            </w:r>
          </w:p>
        </w:tc>
        <w:tc>
          <w:tcPr>
            <w:tcW w:w="1357" w:type="dxa"/>
            <w:noWrap/>
          </w:tcPr>
          <w:p>
            <w:pPr>
              <w:pStyle w:val="63"/>
            </w:pPr>
            <w:r>
              <w:rPr>
                <w:rFonts w:hint="eastAsia"/>
              </w:rPr>
              <w:t>氨氮 mg/L</w:t>
            </w:r>
          </w:p>
        </w:tc>
        <w:tc>
          <w:tcPr>
            <w:tcW w:w="1357" w:type="dxa"/>
            <w:noWrap/>
          </w:tcPr>
          <w:p>
            <w:pPr>
              <w:pStyle w:val="63"/>
            </w:pPr>
            <w:r>
              <w:rPr>
                <w:rFonts w:hint="eastAsia"/>
              </w:rPr>
              <w:t>总磷mg/L</w:t>
            </w:r>
          </w:p>
        </w:tc>
        <w:tc>
          <w:tcPr>
            <w:tcW w:w="2915" w:type="dxa"/>
            <w:noWrap/>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1300</w:t>
            </w:r>
          </w:p>
        </w:tc>
        <w:tc>
          <w:tcPr>
            <w:tcW w:w="1357" w:type="dxa"/>
            <w:noWrap/>
          </w:tcPr>
          <w:p>
            <w:pPr>
              <w:pStyle w:val="63"/>
            </w:pPr>
            <w:r>
              <w:t xml:space="preserve">10.48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1400</w:t>
            </w:r>
          </w:p>
        </w:tc>
        <w:tc>
          <w:tcPr>
            <w:tcW w:w="1357" w:type="dxa"/>
            <w:noWrap/>
          </w:tcPr>
          <w:p>
            <w:pPr>
              <w:pStyle w:val="63"/>
            </w:pPr>
            <w:r>
              <w:t xml:space="preserve">10.47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1500</w:t>
            </w:r>
          </w:p>
        </w:tc>
        <w:tc>
          <w:tcPr>
            <w:tcW w:w="1357" w:type="dxa"/>
            <w:noWrap/>
          </w:tcPr>
          <w:p>
            <w:pPr>
              <w:pStyle w:val="63"/>
            </w:pPr>
            <w:r>
              <w:t xml:space="preserve">10.47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1600</w:t>
            </w:r>
          </w:p>
        </w:tc>
        <w:tc>
          <w:tcPr>
            <w:tcW w:w="1357" w:type="dxa"/>
            <w:noWrap/>
          </w:tcPr>
          <w:p>
            <w:pPr>
              <w:pStyle w:val="63"/>
            </w:pPr>
            <w:r>
              <w:t xml:space="preserve">10.46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1700</w:t>
            </w:r>
          </w:p>
        </w:tc>
        <w:tc>
          <w:tcPr>
            <w:tcW w:w="1357" w:type="dxa"/>
            <w:noWrap/>
          </w:tcPr>
          <w:p>
            <w:pPr>
              <w:pStyle w:val="63"/>
            </w:pPr>
            <w:r>
              <w:t xml:space="preserve">10.45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1800</w:t>
            </w:r>
          </w:p>
        </w:tc>
        <w:tc>
          <w:tcPr>
            <w:tcW w:w="1357" w:type="dxa"/>
            <w:noWrap/>
          </w:tcPr>
          <w:p>
            <w:pPr>
              <w:pStyle w:val="63"/>
            </w:pPr>
            <w:r>
              <w:t xml:space="preserve">10.44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1900</w:t>
            </w:r>
          </w:p>
        </w:tc>
        <w:tc>
          <w:tcPr>
            <w:tcW w:w="1357" w:type="dxa"/>
            <w:noWrap/>
          </w:tcPr>
          <w:p>
            <w:pPr>
              <w:pStyle w:val="63"/>
            </w:pPr>
            <w:r>
              <w:t xml:space="preserve">10.44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pPr>
            <w:r>
              <w:t>2000</w:t>
            </w:r>
          </w:p>
        </w:tc>
        <w:tc>
          <w:tcPr>
            <w:tcW w:w="1357" w:type="dxa"/>
            <w:noWrap/>
          </w:tcPr>
          <w:p>
            <w:pPr>
              <w:pStyle w:val="63"/>
            </w:pPr>
            <w:r>
              <w:t xml:space="preserve">10.43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r>
              <w:rPr>
                <w:rFonts w:hint="eastAsia"/>
              </w:rPr>
              <w:t>控制断面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2500</w:t>
            </w:r>
          </w:p>
        </w:tc>
        <w:tc>
          <w:tcPr>
            <w:tcW w:w="1357" w:type="dxa"/>
            <w:noWrap/>
          </w:tcPr>
          <w:p>
            <w:pPr>
              <w:pStyle w:val="63"/>
            </w:pPr>
            <w:r>
              <w:t xml:space="preserve">10.39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3000</w:t>
            </w:r>
          </w:p>
        </w:tc>
        <w:tc>
          <w:tcPr>
            <w:tcW w:w="1357" w:type="dxa"/>
            <w:noWrap/>
          </w:tcPr>
          <w:p>
            <w:pPr>
              <w:pStyle w:val="63"/>
            </w:pPr>
            <w:r>
              <w:t xml:space="preserve">10.35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3500</w:t>
            </w:r>
          </w:p>
        </w:tc>
        <w:tc>
          <w:tcPr>
            <w:tcW w:w="1357" w:type="dxa"/>
            <w:noWrap/>
          </w:tcPr>
          <w:p>
            <w:pPr>
              <w:pStyle w:val="63"/>
            </w:pPr>
            <w:r>
              <w:t xml:space="preserve">10.31 </w:t>
            </w:r>
          </w:p>
        </w:tc>
        <w:tc>
          <w:tcPr>
            <w:tcW w:w="1357" w:type="dxa"/>
            <w:noWrap/>
          </w:tcPr>
          <w:p>
            <w:pPr>
              <w:pStyle w:val="63"/>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4000</w:t>
            </w:r>
          </w:p>
        </w:tc>
        <w:tc>
          <w:tcPr>
            <w:tcW w:w="1357" w:type="dxa"/>
            <w:noWrap/>
          </w:tcPr>
          <w:p>
            <w:pPr>
              <w:pStyle w:val="63"/>
            </w:pPr>
            <w:r>
              <w:t xml:space="preserve">10.27 </w:t>
            </w:r>
          </w:p>
        </w:tc>
        <w:tc>
          <w:tcPr>
            <w:tcW w:w="1357" w:type="dxa"/>
            <w:noWrap/>
          </w:tcPr>
          <w:p>
            <w:pPr>
              <w:pStyle w:val="63"/>
              <w:rPr>
                <w:b/>
                <w:bCs/>
                <w:shd w:val="pct10" w:color="auto" w:fill="FFFFFF"/>
              </w:rPr>
            </w:pPr>
            <w:r>
              <w:t xml:space="preserve">0.20 </w:t>
            </w:r>
          </w:p>
        </w:tc>
        <w:tc>
          <w:tcPr>
            <w:tcW w:w="1357" w:type="dxa"/>
            <w:noWrap/>
          </w:tcPr>
          <w:p>
            <w:pPr>
              <w:pStyle w:val="63"/>
            </w:pPr>
            <w:r>
              <w:t xml:space="preserve">0.04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pPr>
            <w:r>
              <w:rPr>
                <w:rFonts w:hint="eastAsia"/>
              </w:rPr>
              <w:t>4001</w:t>
            </w:r>
          </w:p>
        </w:tc>
        <w:tc>
          <w:tcPr>
            <w:tcW w:w="1357" w:type="dxa"/>
            <w:noWrap/>
            <w:vAlign w:val="bottom"/>
          </w:tcPr>
          <w:p>
            <w:pPr>
              <w:pStyle w:val="63"/>
            </w:pPr>
            <w:r>
              <w:rPr>
                <w:rFonts w:hint="eastAsia"/>
              </w:rPr>
              <w:t xml:space="preserve">11.12 </w:t>
            </w:r>
          </w:p>
        </w:tc>
        <w:tc>
          <w:tcPr>
            <w:tcW w:w="1357" w:type="dxa"/>
            <w:noWrap/>
            <w:vAlign w:val="bottom"/>
          </w:tcPr>
          <w:p>
            <w:pPr>
              <w:pStyle w:val="63"/>
            </w:pPr>
            <w:r>
              <w:rPr>
                <w:rFonts w:hint="eastAsia"/>
              </w:rPr>
              <w:t xml:space="preserve">0.30 </w:t>
            </w:r>
          </w:p>
        </w:tc>
        <w:tc>
          <w:tcPr>
            <w:tcW w:w="1357" w:type="dxa"/>
            <w:noWrap/>
            <w:vAlign w:val="bottom"/>
          </w:tcPr>
          <w:p>
            <w:pPr>
              <w:pStyle w:val="63"/>
            </w:pPr>
            <w:r>
              <w:rPr>
                <w:rFonts w:hint="eastAsia"/>
              </w:rPr>
              <w:t xml:space="preserve">0.05 </w:t>
            </w:r>
          </w:p>
        </w:tc>
        <w:tc>
          <w:tcPr>
            <w:tcW w:w="2915" w:type="dxa"/>
            <w:noWrap/>
          </w:tcPr>
          <w:p>
            <w:pPr>
              <w:pStyle w:val="63"/>
            </w:pPr>
            <w:r>
              <w:rPr>
                <w:rFonts w:hint="eastAsia"/>
              </w:rPr>
              <w:t>西部新城污水厂排水汇入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pPr>
            <w:r>
              <w:t>4500</w:t>
            </w:r>
          </w:p>
        </w:tc>
        <w:tc>
          <w:tcPr>
            <w:tcW w:w="1357" w:type="dxa"/>
            <w:noWrap/>
          </w:tcPr>
          <w:p>
            <w:pPr>
              <w:pStyle w:val="63"/>
            </w:pPr>
            <w:r>
              <w:t xml:space="preserve">11.08 </w:t>
            </w:r>
          </w:p>
        </w:tc>
        <w:tc>
          <w:tcPr>
            <w:tcW w:w="1357" w:type="dxa"/>
            <w:noWrap/>
          </w:tcPr>
          <w:p>
            <w:pPr>
              <w:pStyle w:val="63"/>
              <w:rPr>
                <w:b/>
                <w:bCs/>
                <w:shd w:val="pct10" w:color="auto" w:fill="FFFFFF"/>
              </w:rPr>
            </w:pPr>
            <w:r>
              <w:t xml:space="preserve">0.30 </w:t>
            </w:r>
          </w:p>
        </w:tc>
        <w:tc>
          <w:tcPr>
            <w:tcW w:w="1357" w:type="dxa"/>
            <w:noWrap/>
          </w:tcPr>
          <w:p>
            <w:pPr>
              <w:pStyle w:val="63"/>
            </w:pPr>
            <w:r>
              <w:t xml:space="preserve">0.05 </w:t>
            </w:r>
          </w:p>
        </w:tc>
        <w:tc>
          <w:tcPr>
            <w:tcW w:w="2915" w:type="dxa"/>
            <w:noWrap/>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5000</w:t>
            </w:r>
          </w:p>
        </w:tc>
        <w:tc>
          <w:tcPr>
            <w:tcW w:w="1357" w:type="dxa"/>
            <w:noWrap/>
          </w:tcPr>
          <w:p>
            <w:pPr>
              <w:pStyle w:val="63"/>
            </w:pPr>
            <w:r>
              <w:t xml:space="preserve">11.04 </w:t>
            </w:r>
          </w:p>
        </w:tc>
        <w:tc>
          <w:tcPr>
            <w:tcW w:w="1357" w:type="dxa"/>
            <w:noWrap/>
          </w:tcPr>
          <w:p>
            <w:pPr>
              <w:pStyle w:val="63"/>
              <w:rPr>
                <w:b/>
                <w:bCs/>
                <w:shd w:val="pct10" w:color="auto" w:fill="FFFFFF"/>
              </w:rPr>
            </w:pPr>
            <w:r>
              <w:t xml:space="preserve">0.30 </w:t>
            </w:r>
          </w:p>
        </w:tc>
        <w:tc>
          <w:tcPr>
            <w:tcW w:w="1357" w:type="dxa"/>
            <w:noWrap/>
          </w:tcPr>
          <w:p>
            <w:pPr>
              <w:pStyle w:val="63"/>
            </w:pPr>
            <w:r>
              <w:t xml:space="preserve">0.05 </w:t>
            </w:r>
          </w:p>
        </w:tc>
        <w:tc>
          <w:tcPr>
            <w:tcW w:w="2915" w:type="dxa"/>
            <w:noWrap/>
          </w:tcPr>
          <w:p>
            <w:pPr>
              <w:pStyle w:val="63"/>
            </w:pPr>
            <w:r>
              <w:rPr>
                <w:rFonts w:hint="eastAsia"/>
              </w:rPr>
              <w:t>鱼类重要生境-产卵场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6000</w:t>
            </w:r>
          </w:p>
        </w:tc>
        <w:tc>
          <w:tcPr>
            <w:tcW w:w="1357" w:type="dxa"/>
            <w:noWrap/>
          </w:tcPr>
          <w:p>
            <w:pPr>
              <w:pStyle w:val="63"/>
            </w:pPr>
            <w:r>
              <w:t xml:space="preserve">10.96 </w:t>
            </w:r>
          </w:p>
        </w:tc>
        <w:tc>
          <w:tcPr>
            <w:tcW w:w="1357" w:type="dxa"/>
            <w:noWrap/>
          </w:tcPr>
          <w:p>
            <w:pPr>
              <w:pStyle w:val="63"/>
              <w:rPr>
                <w:b/>
                <w:bCs/>
                <w:shd w:val="pct10" w:color="auto" w:fill="FFFFFF"/>
              </w:rPr>
            </w:pPr>
            <w:r>
              <w:t xml:space="preserve">0.30 </w:t>
            </w:r>
          </w:p>
        </w:tc>
        <w:tc>
          <w:tcPr>
            <w:tcW w:w="1357" w:type="dxa"/>
            <w:noWrap/>
          </w:tcPr>
          <w:p>
            <w:pPr>
              <w:pStyle w:val="63"/>
            </w:pPr>
            <w:r>
              <w:t xml:space="preserve">0.05 </w:t>
            </w:r>
          </w:p>
        </w:tc>
        <w:tc>
          <w:tcPr>
            <w:tcW w:w="2915" w:type="dxa"/>
            <w:noWrap/>
          </w:tcPr>
          <w:p>
            <w:pPr>
              <w:pStyle w:val="63"/>
            </w:pPr>
            <w:r>
              <w:rPr>
                <w:rFonts w:hint="eastAsia"/>
              </w:rPr>
              <w:t>鱼类重要生境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7000</w:t>
            </w:r>
          </w:p>
        </w:tc>
        <w:tc>
          <w:tcPr>
            <w:tcW w:w="1357" w:type="dxa"/>
            <w:noWrap/>
          </w:tcPr>
          <w:p>
            <w:pPr>
              <w:pStyle w:val="63"/>
            </w:pPr>
            <w:r>
              <w:t xml:space="preserve">10.88 </w:t>
            </w:r>
          </w:p>
        </w:tc>
        <w:tc>
          <w:tcPr>
            <w:tcW w:w="1357" w:type="dxa"/>
            <w:noWrap/>
          </w:tcPr>
          <w:p>
            <w:pPr>
              <w:pStyle w:val="63"/>
              <w:rPr>
                <w:b/>
                <w:bCs/>
                <w:shd w:val="pct10" w:color="auto" w:fill="FFFFFF"/>
              </w:rPr>
            </w:pPr>
            <w:r>
              <w:t xml:space="preserve">0.30 </w:t>
            </w:r>
          </w:p>
        </w:tc>
        <w:tc>
          <w:tcPr>
            <w:tcW w:w="1357" w:type="dxa"/>
            <w:noWrap/>
          </w:tcPr>
          <w:p>
            <w:pPr>
              <w:pStyle w:val="63"/>
            </w:pPr>
            <w:r>
              <w:t xml:space="preserve">0.05 </w:t>
            </w:r>
          </w:p>
        </w:tc>
        <w:tc>
          <w:tcPr>
            <w:tcW w:w="2915" w:type="dxa"/>
            <w:noWrap/>
          </w:tcPr>
          <w:p>
            <w:pPr>
              <w:pStyle w:val="63"/>
            </w:pPr>
            <w:r>
              <w:rPr>
                <w:rFonts w:hint="eastAsia"/>
              </w:rPr>
              <w:t>鱼类重要生境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8000</w:t>
            </w:r>
          </w:p>
        </w:tc>
        <w:tc>
          <w:tcPr>
            <w:tcW w:w="1357" w:type="dxa"/>
            <w:noWrap/>
          </w:tcPr>
          <w:p>
            <w:pPr>
              <w:pStyle w:val="63"/>
            </w:pPr>
            <w:r>
              <w:t xml:space="preserve">10.80 </w:t>
            </w:r>
          </w:p>
        </w:tc>
        <w:tc>
          <w:tcPr>
            <w:tcW w:w="1357" w:type="dxa"/>
            <w:noWrap/>
          </w:tcPr>
          <w:p>
            <w:pPr>
              <w:pStyle w:val="63"/>
              <w:rPr>
                <w:b/>
                <w:bCs/>
                <w:shd w:val="pct10" w:color="auto" w:fill="FFFFFF"/>
              </w:rPr>
            </w:pPr>
            <w:r>
              <w:t xml:space="preserve">0.29 </w:t>
            </w:r>
          </w:p>
        </w:tc>
        <w:tc>
          <w:tcPr>
            <w:tcW w:w="1357" w:type="dxa"/>
            <w:noWrap/>
          </w:tcPr>
          <w:p>
            <w:pPr>
              <w:pStyle w:val="63"/>
            </w:pPr>
            <w:r>
              <w:t xml:space="preserve">0.05 </w:t>
            </w:r>
          </w:p>
        </w:tc>
        <w:tc>
          <w:tcPr>
            <w:tcW w:w="2915" w:type="dxa"/>
            <w:noWrap/>
          </w:tcPr>
          <w:p>
            <w:pPr>
              <w:pStyle w:val="63"/>
            </w:pPr>
            <w:r>
              <w:rPr>
                <w:rFonts w:hint="eastAsia"/>
              </w:rPr>
              <w:t>鱼类重要生境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t>9000</w:t>
            </w:r>
          </w:p>
        </w:tc>
        <w:tc>
          <w:tcPr>
            <w:tcW w:w="1357" w:type="dxa"/>
            <w:noWrap/>
          </w:tcPr>
          <w:p>
            <w:pPr>
              <w:pStyle w:val="63"/>
            </w:pPr>
            <w:r>
              <w:t xml:space="preserve">10.72 </w:t>
            </w:r>
          </w:p>
        </w:tc>
        <w:tc>
          <w:tcPr>
            <w:tcW w:w="1357" w:type="dxa"/>
            <w:noWrap/>
          </w:tcPr>
          <w:p>
            <w:pPr>
              <w:pStyle w:val="63"/>
              <w:rPr>
                <w:b/>
                <w:bCs/>
                <w:shd w:val="pct10" w:color="auto" w:fill="FFFFFF"/>
              </w:rPr>
            </w:pPr>
            <w:r>
              <w:t xml:space="preserve">0.29 </w:t>
            </w:r>
          </w:p>
        </w:tc>
        <w:tc>
          <w:tcPr>
            <w:tcW w:w="1357" w:type="dxa"/>
            <w:noWrap/>
          </w:tcPr>
          <w:p>
            <w:pPr>
              <w:pStyle w:val="63"/>
            </w:pPr>
            <w:r>
              <w:t xml:space="preserve">0.05 </w:t>
            </w:r>
          </w:p>
        </w:tc>
        <w:tc>
          <w:tcPr>
            <w:tcW w:w="2915" w:type="dxa"/>
            <w:noWrap/>
          </w:tcPr>
          <w:p>
            <w:pPr>
              <w:pStyle w:val="63"/>
            </w:pPr>
            <w:r>
              <w:rPr>
                <w:rFonts w:hint="eastAsia"/>
              </w:rPr>
              <w:t>鱼类重要生境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pPr>
            <w:r>
              <w:t>10000</w:t>
            </w:r>
          </w:p>
        </w:tc>
        <w:tc>
          <w:tcPr>
            <w:tcW w:w="1357" w:type="dxa"/>
            <w:noWrap/>
          </w:tcPr>
          <w:p>
            <w:pPr>
              <w:pStyle w:val="63"/>
            </w:pPr>
            <w:r>
              <w:t xml:space="preserve">10.64 </w:t>
            </w:r>
          </w:p>
        </w:tc>
        <w:tc>
          <w:tcPr>
            <w:tcW w:w="1357" w:type="dxa"/>
            <w:noWrap/>
          </w:tcPr>
          <w:p>
            <w:pPr>
              <w:pStyle w:val="63"/>
            </w:pPr>
            <w:r>
              <w:t xml:space="preserve">0.29 </w:t>
            </w:r>
          </w:p>
        </w:tc>
        <w:tc>
          <w:tcPr>
            <w:tcW w:w="1357" w:type="dxa"/>
            <w:noWrap/>
          </w:tcPr>
          <w:p>
            <w:pPr>
              <w:pStyle w:val="63"/>
            </w:pPr>
            <w:r>
              <w:t xml:space="preserve">0.05 </w:t>
            </w:r>
          </w:p>
        </w:tc>
        <w:tc>
          <w:tcPr>
            <w:tcW w:w="2915" w:type="dxa"/>
            <w:noWrap/>
          </w:tcPr>
          <w:p>
            <w:pPr>
              <w:pStyle w:val="63"/>
            </w:pPr>
            <w:r>
              <w:rPr>
                <w:rFonts w:hint="eastAsia"/>
              </w:rPr>
              <w:t>鱼类重要生境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noWrap/>
          </w:tcPr>
          <w:p>
            <w:pPr>
              <w:pStyle w:val="63"/>
              <w:rPr>
                <w:rFonts w:cs="宋体"/>
              </w:rPr>
            </w:pPr>
            <w:r>
              <w:rPr>
                <w:rFonts w:hint="eastAsia" w:ascii="宋体" w:hAnsi="宋体"/>
              </w:rPr>
              <w:t>Ⅲ</w:t>
            </w:r>
            <w:r>
              <w:rPr>
                <w:rFonts w:hint="eastAsia"/>
              </w:rPr>
              <w:t>类标准</w:t>
            </w:r>
          </w:p>
        </w:tc>
        <w:tc>
          <w:tcPr>
            <w:tcW w:w="1357" w:type="dxa"/>
            <w:noWrap/>
          </w:tcPr>
          <w:p>
            <w:pPr>
              <w:pStyle w:val="63"/>
            </w:pPr>
            <w:r>
              <w:rPr>
                <w:rFonts w:hint="eastAsia"/>
              </w:rPr>
              <w:t>20</w:t>
            </w:r>
          </w:p>
        </w:tc>
        <w:tc>
          <w:tcPr>
            <w:tcW w:w="1357" w:type="dxa"/>
            <w:noWrap/>
          </w:tcPr>
          <w:p>
            <w:pPr>
              <w:pStyle w:val="63"/>
            </w:pPr>
            <w:r>
              <w:rPr>
                <w:rFonts w:hint="eastAsia"/>
              </w:rPr>
              <w:t>1</w:t>
            </w:r>
          </w:p>
        </w:tc>
        <w:tc>
          <w:tcPr>
            <w:tcW w:w="1357" w:type="dxa"/>
            <w:noWrap/>
          </w:tcPr>
          <w:p>
            <w:pPr>
              <w:pStyle w:val="63"/>
            </w:pPr>
            <w:r>
              <w:rPr>
                <w:rFonts w:hint="eastAsia"/>
              </w:rPr>
              <w:t>0.2</w:t>
            </w:r>
          </w:p>
        </w:tc>
        <w:tc>
          <w:tcPr>
            <w:tcW w:w="2915" w:type="dxa"/>
            <w:noWrap/>
          </w:tcPr>
          <w:p>
            <w:pPr>
              <w:pStyle w:val="63"/>
            </w:pPr>
          </w:p>
        </w:tc>
      </w:tr>
    </w:tbl>
    <w:p/>
    <w:p>
      <w:pPr>
        <w:pStyle w:val="6"/>
        <w:spacing w:before="156" w:after="156"/>
      </w:pPr>
      <w:r>
        <w:rPr>
          <w:rFonts w:hint="eastAsia"/>
        </w:rPr>
        <w:t>事故状态</w:t>
      </w:r>
    </w:p>
    <w:p>
      <w:pPr>
        <w:pStyle w:val="5"/>
        <w:ind w:firstLine="480"/>
      </w:pPr>
      <w:r>
        <w:rPr>
          <w:rFonts w:hint="eastAsia"/>
        </w:rPr>
        <w:t>事故条件下，项目排水对朱衣河影响预测见</w:t>
      </w:r>
      <w:r>
        <w:fldChar w:fldCharType="begin"/>
      </w:r>
      <w:r>
        <w:instrText xml:space="preserve"> </w:instrText>
      </w:r>
      <w:r>
        <w:rPr>
          <w:rFonts w:hint="eastAsia"/>
        </w:rPr>
        <w:instrText xml:space="preserve">REF _Ref170314070 \h</w:instrText>
      </w:r>
      <w:r>
        <w:instrText xml:space="preserve"> </w:instrText>
      </w:r>
      <w:r>
        <w:fldChar w:fldCharType="separate"/>
      </w:r>
      <w:r>
        <w:t>表 4.2</w:t>
      </w:r>
      <w:r>
        <w:noBreakHyphen/>
      </w:r>
      <w:r>
        <w:t>6</w:t>
      </w:r>
      <w:r>
        <w:fldChar w:fldCharType="end"/>
      </w:r>
      <w:r>
        <w:rPr>
          <w:rFonts w:hint="eastAsia"/>
        </w:rPr>
        <w:t>。根据下表，当项目发生事故排水时会导致下游沿线朱衣河水质超标。本项目供电采用单电源+备用电源供电，工作电源与备用电源满足全厂</w:t>
      </w:r>
      <w:r>
        <w:t>100%负荷供电，</w:t>
      </w:r>
      <w:r>
        <w:rPr>
          <w:rFonts w:hint="eastAsia"/>
        </w:rPr>
        <w:t>其次项目水处理构筑物采用多套并联运行，同时厂区内设置事故池可暂存收集污水，当出现某套装置运行异常时可将多余污水导入事故池内暂存，并使用剩余构筑物和事故应急处理构筑物保证污水处理，不会发生事故期间污水未经处理排放，并及时进行设施设备修复，事故情况时间持续短。所以项目发生事故情况下项目排水可控。</w:t>
      </w:r>
    </w:p>
    <w:p>
      <w:pPr>
        <w:pStyle w:val="14"/>
        <w:keepNext/>
      </w:pPr>
      <w:bookmarkStart w:id="118" w:name="_Ref170314070"/>
      <w:r>
        <w:t xml:space="preserve">表 </w:t>
      </w:r>
      <w:r>
        <w:fldChar w:fldCharType="begin"/>
      </w:r>
      <w:r>
        <w:instrText xml:space="preserve"> STYLEREF 2 \s </w:instrText>
      </w:r>
      <w:r>
        <w:fldChar w:fldCharType="separate"/>
      </w:r>
      <w:r>
        <w:t>4.2</w:t>
      </w:r>
      <w:r>
        <w:fldChar w:fldCharType="end"/>
      </w:r>
      <w:r>
        <w:noBreakHyphen/>
      </w:r>
      <w:r>
        <w:fldChar w:fldCharType="begin"/>
      </w:r>
      <w:r>
        <w:instrText xml:space="preserve"> SEQ 表 \* ARABIC \s 2 </w:instrText>
      </w:r>
      <w:r>
        <w:fldChar w:fldCharType="separate"/>
      </w:r>
      <w:r>
        <w:t>6</w:t>
      </w:r>
      <w:r>
        <w:fldChar w:fldCharType="end"/>
      </w:r>
      <w:bookmarkEnd w:id="118"/>
      <w:r>
        <w:rPr>
          <w:rFonts w:hint="eastAsia"/>
        </w:rPr>
        <w:t xml:space="preserve">   事故情况下项目排水对朱衣河影响预测</w:t>
      </w:r>
    </w:p>
    <w:tbl>
      <w:tblPr>
        <w:tblStyle w:val="3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1357"/>
        <w:gridCol w:w="1357"/>
        <w:gridCol w:w="1357"/>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tcPr>
          <w:p>
            <w:pPr>
              <w:pStyle w:val="63"/>
              <w:rPr>
                <w:rFonts w:cs="宋体"/>
              </w:rPr>
            </w:pPr>
            <w:r>
              <w:rPr>
                <w:rFonts w:hint="eastAsia"/>
              </w:rPr>
              <w:t>距离/m</w:t>
            </w:r>
          </w:p>
        </w:tc>
        <w:tc>
          <w:tcPr>
            <w:tcW w:w="1357" w:type="dxa"/>
            <w:shd w:val="clear" w:color="auto" w:fill="auto"/>
            <w:noWrap/>
          </w:tcPr>
          <w:p>
            <w:pPr>
              <w:pStyle w:val="63"/>
            </w:pPr>
            <w:r>
              <w:rPr>
                <w:rFonts w:hint="eastAsia"/>
              </w:rPr>
              <w:t>COD mg/L</w:t>
            </w:r>
          </w:p>
        </w:tc>
        <w:tc>
          <w:tcPr>
            <w:tcW w:w="1357" w:type="dxa"/>
            <w:shd w:val="clear" w:color="auto" w:fill="auto"/>
            <w:noWrap/>
          </w:tcPr>
          <w:p>
            <w:pPr>
              <w:pStyle w:val="63"/>
            </w:pPr>
            <w:r>
              <w:rPr>
                <w:rFonts w:hint="eastAsia"/>
              </w:rPr>
              <w:t>氨氮 mg/L</w:t>
            </w:r>
          </w:p>
        </w:tc>
        <w:tc>
          <w:tcPr>
            <w:tcW w:w="1357" w:type="dxa"/>
            <w:shd w:val="clear" w:color="auto" w:fill="auto"/>
            <w:noWrap/>
          </w:tcPr>
          <w:p>
            <w:pPr>
              <w:pStyle w:val="63"/>
            </w:pPr>
            <w:r>
              <w:rPr>
                <w:rFonts w:hint="eastAsia"/>
              </w:rPr>
              <w:t>总磷mg/L</w:t>
            </w:r>
          </w:p>
        </w:tc>
        <w:tc>
          <w:tcPr>
            <w:tcW w:w="2915" w:type="dxa"/>
            <w:shd w:val="clear" w:color="auto" w:fill="auto"/>
            <w:noWrap/>
          </w:tcPr>
          <w:p>
            <w:pPr>
              <w:pStyle w:val="63"/>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rPr>
                <w:rFonts w:cs="宋体"/>
              </w:rPr>
            </w:pPr>
            <w:r>
              <w:rPr>
                <w:rFonts w:hint="eastAsia"/>
              </w:rPr>
              <w:t>50</w:t>
            </w:r>
          </w:p>
        </w:tc>
        <w:tc>
          <w:tcPr>
            <w:tcW w:w="1357" w:type="dxa"/>
            <w:shd w:val="clear" w:color="auto" w:fill="auto"/>
            <w:noWrap/>
          </w:tcPr>
          <w:p>
            <w:pPr>
              <w:pStyle w:val="63"/>
            </w:pPr>
            <w:r>
              <w:t xml:space="preserve">76.02 </w:t>
            </w:r>
          </w:p>
        </w:tc>
        <w:tc>
          <w:tcPr>
            <w:tcW w:w="1357" w:type="dxa"/>
            <w:shd w:val="clear" w:color="auto" w:fill="auto"/>
            <w:noWrap/>
          </w:tcPr>
          <w:p>
            <w:pPr>
              <w:pStyle w:val="63"/>
            </w:pPr>
            <w:r>
              <w:t xml:space="preserve">4.31 </w:t>
            </w:r>
          </w:p>
        </w:tc>
        <w:tc>
          <w:tcPr>
            <w:tcW w:w="1357" w:type="dxa"/>
            <w:shd w:val="clear" w:color="auto" w:fill="auto"/>
            <w:noWrap/>
          </w:tcPr>
          <w:p>
            <w:pPr>
              <w:pStyle w:val="63"/>
            </w:pPr>
            <w:r>
              <w:t xml:space="preserve">0.48 </w:t>
            </w:r>
          </w:p>
        </w:tc>
        <w:tc>
          <w:tcPr>
            <w:tcW w:w="2915" w:type="dxa"/>
            <w:shd w:val="clear" w:color="auto" w:fill="auto"/>
            <w:noWrap/>
            <w:vAlign w:val="bottom"/>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rPr>
                <w:rFonts w:cs="宋体"/>
              </w:rPr>
            </w:pPr>
            <w:r>
              <w:rPr>
                <w:rFonts w:hint="eastAsia"/>
              </w:rPr>
              <w:t>100</w:t>
            </w:r>
          </w:p>
        </w:tc>
        <w:tc>
          <w:tcPr>
            <w:tcW w:w="1357" w:type="dxa"/>
            <w:shd w:val="clear" w:color="auto" w:fill="auto"/>
            <w:noWrap/>
          </w:tcPr>
          <w:p>
            <w:pPr>
              <w:pStyle w:val="63"/>
            </w:pPr>
            <w:r>
              <w:t xml:space="preserve">75.93 </w:t>
            </w:r>
          </w:p>
        </w:tc>
        <w:tc>
          <w:tcPr>
            <w:tcW w:w="1357" w:type="dxa"/>
            <w:shd w:val="clear" w:color="auto" w:fill="auto"/>
            <w:noWrap/>
          </w:tcPr>
          <w:p>
            <w:pPr>
              <w:pStyle w:val="63"/>
            </w:pPr>
            <w:r>
              <w:t xml:space="preserve">4.30 </w:t>
            </w:r>
          </w:p>
        </w:tc>
        <w:tc>
          <w:tcPr>
            <w:tcW w:w="1357" w:type="dxa"/>
            <w:shd w:val="clear" w:color="auto" w:fill="auto"/>
            <w:noWrap/>
          </w:tcPr>
          <w:p>
            <w:pPr>
              <w:pStyle w:val="63"/>
            </w:pPr>
            <w:r>
              <w:t xml:space="preserve">0.48 </w:t>
            </w:r>
          </w:p>
        </w:tc>
        <w:tc>
          <w:tcPr>
            <w:tcW w:w="2915" w:type="dxa"/>
            <w:shd w:val="clear" w:color="auto" w:fill="auto"/>
            <w:noWrap/>
            <w:vAlign w:val="bottom"/>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rPr>
                <w:rFonts w:cs="宋体"/>
              </w:rPr>
            </w:pPr>
            <w:r>
              <w:rPr>
                <w:rFonts w:hint="eastAsia"/>
              </w:rPr>
              <w:t>200</w:t>
            </w:r>
          </w:p>
        </w:tc>
        <w:tc>
          <w:tcPr>
            <w:tcW w:w="1357" w:type="dxa"/>
            <w:shd w:val="clear" w:color="auto" w:fill="auto"/>
            <w:noWrap/>
          </w:tcPr>
          <w:p>
            <w:pPr>
              <w:pStyle w:val="63"/>
            </w:pPr>
            <w:r>
              <w:t xml:space="preserve">75.74 </w:t>
            </w:r>
          </w:p>
        </w:tc>
        <w:tc>
          <w:tcPr>
            <w:tcW w:w="1357" w:type="dxa"/>
            <w:shd w:val="clear" w:color="auto" w:fill="auto"/>
            <w:noWrap/>
          </w:tcPr>
          <w:p>
            <w:pPr>
              <w:pStyle w:val="63"/>
            </w:pPr>
            <w:r>
              <w:t xml:space="preserve">4.29 </w:t>
            </w:r>
          </w:p>
        </w:tc>
        <w:tc>
          <w:tcPr>
            <w:tcW w:w="1357" w:type="dxa"/>
            <w:shd w:val="clear" w:color="auto" w:fill="auto"/>
            <w:noWrap/>
          </w:tcPr>
          <w:p>
            <w:pPr>
              <w:pStyle w:val="63"/>
            </w:pPr>
            <w:r>
              <w:t xml:space="preserve">0.48 </w:t>
            </w:r>
          </w:p>
        </w:tc>
        <w:tc>
          <w:tcPr>
            <w:tcW w:w="2915" w:type="dxa"/>
            <w:shd w:val="clear" w:color="auto" w:fill="auto"/>
            <w:noWrap/>
            <w:vAlign w:val="bottom"/>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rPr>
                <w:rFonts w:cs="宋体"/>
              </w:rPr>
            </w:pPr>
            <w:r>
              <w:rPr>
                <w:rFonts w:hint="eastAsia"/>
              </w:rPr>
              <w:t>300</w:t>
            </w:r>
          </w:p>
        </w:tc>
        <w:tc>
          <w:tcPr>
            <w:tcW w:w="1357" w:type="dxa"/>
            <w:shd w:val="clear" w:color="auto" w:fill="auto"/>
            <w:noWrap/>
          </w:tcPr>
          <w:p>
            <w:pPr>
              <w:pStyle w:val="63"/>
            </w:pPr>
            <w:r>
              <w:t xml:space="preserve">75.56 </w:t>
            </w:r>
          </w:p>
        </w:tc>
        <w:tc>
          <w:tcPr>
            <w:tcW w:w="1357" w:type="dxa"/>
            <w:shd w:val="clear" w:color="auto" w:fill="auto"/>
            <w:noWrap/>
          </w:tcPr>
          <w:p>
            <w:pPr>
              <w:pStyle w:val="63"/>
            </w:pPr>
            <w:r>
              <w:t xml:space="preserve">4.29 </w:t>
            </w:r>
          </w:p>
        </w:tc>
        <w:tc>
          <w:tcPr>
            <w:tcW w:w="1357" w:type="dxa"/>
            <w:shd w:val="clear" w:color="auto" w:fill="auto"/>
            <w:noWrap/>
          </w:tcPr>
          <w:p>
            <w:pPr>
              <w:pStyle w:val="63"/>
            </w:pPr>
            <w:r>
              <w:t xml:space="preserve">0.48 </w:t>
            </w:r>
          </w:p>
        </w:tc>
        <w:tc>
          <w:tcPr>
            <w:tcW w:w="2915" w:type="dxa"/>
            <w:shd w:val="clear" w:color="auto" w:fill="auto"/>
            <w:noWrap/>
            <w:vAlign w:val="bottom"/>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rPr>
                <w:rFonts w:cs="宋体"/>
              </w:rPr>
            </w:pPr>
            <w:r>
              <w:rPr>
                <w:rFonts w:hint="eastAsia"/>
              </w:rPr>
              <w:t>500</w:t>
            </w:r>
          </w:p>
        </w:tc>
        <w:tc>
          <w:tcPr>
            <w:tcW w:w="1357" w:type="dxa"/>
            <w:shd w:val="clear" w:color="auto" w:fill="auto"/>
            <w:noWrap/>
          </w:tcPr>
          <w:p>
            <w:pPr>
              <w:pStyle w:val="63"/>
            </w:pPr>
            <w:r>
              <w:t xml:space="preserve">75.19 </w:t>
            </w:r>
          </w:p>
        </w:tc>
        <w:tc>
          <w:tcPr>
            <w:tcW w:w="1357" w:type="dxa"/>
            <w:shd w:val="clear" w:color="auto" w:fill="auto"/>
            <w:noWrap/>
          </w:tcPr>
          <w:p>
            <w:pPr>
              <w:pStyle w:val="63"/>
            </w:pPr>
            <w:r>
              <w:t xml:space="preserve">4.27 </w:t>
            </w:r>
          </w:p>
        </w:tc>
        <w:tc>
          <w:tcPr>
            <w:tcW w:w="1357" w:type="dxa"/>
            <w:shd w:val="clear" w:color="auto" w:fill="auto"/>
            <w:noWrap/>
          </w:tcPr>
          <w:p>
            <w:pPr>
              <w:pStyle w:val="63"/>
            </w:pPr>
            <w:r>
              <w:t xml:space="preserve">0.48 </w:t>
            </w:r>
          </w:p>
        </w:tc>
        <w:tc>
          <w:tcPr>
            <w:tcW w:w="2915" w:type="dxa"/>
            <w:shd w:val="clear" w:color="auto" w:fill="auto"/>
            <w:noWrap/>
            <w:vAlign w:val="bottom"/>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rPr>
                <w:rFonts w:cs="宋体"/>
              </w:rPr>
            </w:pPr>
            <w:r>
              <w:rPr>
                <w:rFonts w:hint="eastAsia"/>
              </w:rPr>
              <w:t>800</w:t>
            </w:r>
          </w:p>
        </w:tc>
        <w:tc>
          <w:tcPr>
            <w:tcW w:w="1357" w:type="dxa"/>
            <w:shd w:val="clear" w:color="auto" w:fill="auto"/>
            <w:noWrap/>
          </w:tcPr>
          <w:p>
            <w:pPr>
              <w:pStyle w:val="63"/>
            </w:pPr>
            <w:r>
              <w:t xml:space="preserve">74.63 </w:t>
            </w:r>
          </w:p>
        </w:tc>
        <w:tc>
          <w:tcPr>
            <w:tcW w:w="1357" w:type="dxa"/>
            <w:shd w:val="clear" w:color="auto" w:fill="auto"/>
            <w:noWrap/>
          </w:tcPr>
          <w:p>
            <w:pPr>
              <w:pStyle w:val="63"/>
            </w:pPr>
            <w:r>
              <w:t xml:space="preserve">4.25 </w:t>
            </w:r>
          </w:p>
        </w:tc>
        <w:tc>
          <w:tcPr>
            <w:tcW w:w="1357" w:type="dxa"/>
            <w:shd w:val="clear" w:color="auto" w:fill="auto"/>
            <w:noWrap/>
          </w:tcPr>
          <w:p>
            <w:pPr>
              <w:pStyle w:val="63"/>
            </w:pPr>
            <w:r>
              <w:t xml:space="preserve">0.47 </w:t>
            </w:r>
          </w:p>
        </w:tc>
        <w:tc>
          <w:tcPr>
            <w:tcW w:w="2915" w:type="dxa"/>
            <w:shd w:val="clear" w:color="auto" w:fill="auto"/>
            <w:noWrap/>
            <w:vAlign w:val="bottom"/>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rPr>
                <w:rFonts w:cs="宋体"/>
              </w:rPr>
            </w:pPr>
            <w:r>
              <w:rPr>
                <w:rFonts w:hint="eastAsia"/>
              </w:rPr>
              <w:t>1000</w:t>
            </w:r>
          </w:p>
        </w:tc>
        <w:tc>
          <w:tcPr>
            <w:tcW w:w="1357" w:type="dxa"/>
            <w:shd w:val="clear" w:color="auto" w:fill="auto"/>
            <w:noWrap/>
          </w:tcPr>
          <w:p>
            <w:pPr>
              <w:pStyle w:val="63"/>
            </w:pPr>
            <w:r>
              <w:t xml:space="preserve">74.27 </w:t>
            </w:r>
          </w:p>
        </w:tc>
        <w:tc>
          <w:tcPr>
            <w:tcW w:w="1357" w:type="dxa"/>
            <w:shd w:val="clear" w:color="auto" w:fill="auto"/>
            <w:noWrap/>
          </w:tcPr>
          <w:p>
            <w:pPr>
              <w:pStyle w:val="63"/>
            </w:pPr>
            <w:r>
              <w:t xml:space="preserve">4.24 </w:t>
            </w:r>
          </w:p>
        </w:tc>
        <w:tc>
          <w:tcPr>
            <w:tcW w:w="1357" w:type="dxa"/>
            <w:shd w:val="clear" w:color="auto" w:fill="auto"/>
            <w:noWrap/>
          </w:tcPr>
          <w:p>
            <w:pPr>
              <w:pStyle w:val="63"/>
            </w:pPr>
            <w:r>
              <w:t xml:space="preserve">0.47 </w:t>
            </w:r>
          </w:p>
        </w:tc>
        <w:tc>
          <w:tcPr>
            <w:tcW w:w="2915" w:type="dxa"/>
            <w:shd w:val="clear" w:color="auto" w:fill="auto"/>
            <w:noWrap/>
            <w:vAlign w:val="bottom"/>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rPr>
                <w:rFonts w:cs="宋体"/>
              </w:rPr>
            </w:pPr>
            <w:r>
              <w:rPr>
                <w:rFonts w:hint="eastAsia"/>
              </w:rPr>
              <w:t>1500</w:t>
            </w:r>
          </w:p>
        </w:tc>
        <w:tc>
          <w:tcPr>
            <w:tcW w:w="1357" w:type="dxa"/>
            <w:shd w:val="clear" w:color="auto" w:fill="auto"/>
            <w:noWrap/>
          </w:tcPr>
          <w:p>
            <w:pPr>
              <w:pStyle w:val="63"/>
            </w:pPr>
            <w:r>
              <w:t xml:space="preserve">73.36 </w:t>
            </w:r>
          </w:p>
        </w:tc>
        <w:tc>
          <w:tcPr>
            <w:tcW w:w="1357" w:type="dxa"/>
            <w:shd w:val="clear" w:color="auto" w:fill="auto"/>
            <w:noWrap/>
          </w:tcPr>
          <w:p>
            <w:pPr>
              <w:pStyle w:val="63"/>
            </w:pPr>
            <w:r>
              <w:t xml:space="preserve">4.21 </w:t>
            </w:r>
          </w:p>
        </w:tc>
        <w:tc>
          <w:tcPr>
            <w:tcW w:w="1357" w:type="dxa"/>
            <w:shd w:val="clear" w:color="auto" w:fill="auto"/>
            <w:noWrap/>
          </w:tcPr>
          <w:p>
            <w:pPr>
              <w:pStyle w:val="63"/>
            </w:pPr>
            <w:r>
              <w:t xml:space="preserve">0.47 </w:t>
            </w:r>
          </w:p>
        </w:tc>
        <w:tc>
          <w:tcPr>
            <w:tcW w:w="2915" w:type="dxa"/>
            <w:shd w:val="clear" w:color="auto" w:fill="auto"/>
            <w:noWrap/>
            <w:vAlign w:val="bottom"/>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rPr>
                <w:rFonts w:cs="宋体"/>
              </w:rPr>
            </w:pPr>
            <w:r>
              <w:rPr>
                <w:rFonts w:hint="eastAsia"/>
              </w:rPr>
              <w:t>2000</w:t>
            </w:r>
          </w:p>
        </w:tc>
        <w:tc>
          <w:tcPr>
            <w:tcW w:w="1357" w:type="dxa"/>
            <w:shd w:val="clear" w:color="auto" w:fill="auto"/>
            <w:noWrap/>
          </w:tcPr>
          <w:p>
            <w:pPr>
              <w:pStyle w:val="63"/>
            </w:pPr>
            <w:r>
              <w:t xml:space="preserve">72.46 </w:t>
            </w:r>
          </w:p>
        </w:tc>
        <w:tc>
          <w:tcPr>
            <w:tcW w:w="1357" w:type="dxa"/>
            <w:shd w:val="clear" w:color="auto" w:fill="auto"/>
            <w:noWrap/>
          </w:tcPr>
          <w:p>
            <w:pPr>
              <w:pStyle w:val="63"/>
            </w:pPr>
            <w:r>
              <w:t xml:space="preserve">4.17 </w:t>
            </w:r>
          </w:p>
        </w:tc>
        <w:tc>
          <w:tcPr>
            <w:tcW w:w="1357" w:type="dxa"/>
            <w:shd w:val="clear" w:color="auto" w:fill="auto"/>
            <w:noWrap/>
          </w:tcPr>
          <w:p>
            <w:pPr>
              <w:pStyle w:val="63"/>
            </w:pPr>
            <w:r>
              <w:t xml:space="preserve">0.47 </w:t>
            </w:r>
          </w:p>
        </w:tc>
        <w:tc>
          <w:tcPr>
            <w:tcW w:w="2915" w:type="dxa"/>
            <w:shd w:val="clear" w:color="auto" w:fill="auto"/>
            <w:noWrap/>
            <w:vAlign w:val="bottom"/>
          </w:tcPr>
          <w:p>
            <w:pPr>
              <w:pStyle w:val="63"/>
            </w:pPr>
            <w:r>
              <w:rPr>
                <w:rFonts w:hint="eastAsia"/>
              </w:rPr>
              <w:t>控制断面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62" w:type="dxa"/>
            <w:shd w:val="clear" w:color="auto" w:fill="auto"/>
            <w:noWrap/>
            <w:vAlign w:val="bottom"/>
          </w:tcPr>
          <w:p>
            <w:pPr>
              <w:pStyle w:val="63"/>
            </w:pPr>
            <w:r>
              <w:rPr>
                <w:rFonts w:hint="eastAsia" w:ascii="宋体" w:hAnsi="宋体"/>
              </w:rPr>
              <w:t>Ⅲ</w:t>
            </w:r>
            <w:r>
              <w:rPr>
                <w:rFonts w:hint="eastAsia"/>
              </w:rPr>
              <w:t>类标准</w:t>
            </w:r>
          </w:p>
        </w:tc>
        <w:tc>
          <w:tcPr>
            <w:tcW w:w="1357" w:type="dxa"/>
            <w:shd w:val="clear" w:color="auto" w:fill="auto"/>
            <w:noWrap/>
          </w:tcPr>
          <w:p>
            <w:pPr>
              <w:pStyle w:val="63"/>
            </w:pPr>
            <w:r>
              <w:rPr>
                <w:rFonts w:hint="eastAsia"/>
              </w:rPr>
              <w:t>20</w:t>
            </w:r>
          </w:p>
        </w:tc>
        <w:tc>
          <w:tcPr>
            <w:tcW w:w="1357" w:type="dxa"/>
            <w:shd w:val="clear" w:color="auto" w:fill="auto"/>
            <w:noWrap/>
          </w:tcPr>
          <w:p>
            <w:pPr>
              <w:pStyle w:val="63"/>
            </w:pPr>
            <w:r>
              <w:rPr>
                <w:rFonts w:hint="eastAsia"/>
              </w:rPr>
              <w:t>1</w:t>
            </w:r>
          </w:p>
        </w:tc>
        <w:tc>
          <w:tcPr>
            <w:tcW w:w="1357" w:type="dxa"/>
            <w:shd w:val="clear" w:color="auto" w:fill="auto"/>
            <w:noWrap/>
          </w:tcPr>
          <w:p>
            <w:pPr>
              <w:pStyle w:val="63"/>
            </w:pPr>
            <w:r>
              <w:rPr>
                <w:rFonts w:hint="eastAsia"/>
              </w:rPr>
              <w:t>0.2</w:t>
            </w:r>
          </w:p>
        </w:tc>
        <w:tc>
          <w:tcPr>
            <w:tcW w:w="2915" w:type="dxa"/>
            <w:shd w:val="clear" w:color="auto" w:fill="auto"/>
            <w:noWrap/>
          </w:tcPr>
          <w:p>
            <w:pPr>
              <w:pStyle w:val="63"/>
            </w:pPr>
          </w:p>
        </w:tc>
      </w:tr>
    </w:tbl>
    <w:p/>
    <w:p>
      <w:pPr>
        <w:pStyle w:val="4"/>
        <w:spacing w:before="156" w:after="156"/>
      </w:pPr>
      <w:r>
        <w:rPr>
          <w:rFonts w:hint="eastAsia"/>
        </w:rPr>
        <w:t>小结</w:t>
      </w:r>
    </w:p>
    <w:p>
      <w:pPr>
        <w:pStyle w:val="5"/>
        <w:ind w:firstLine="480"/>
      </w:pPr>
      <w:r>
        <w:rPr>
          <w:rFonts w:hint="eastAsia"/>
        </w:rPr>
        <w:t>项目处理工艺为预处理+二级处理+深度处理+消毒，污水达到《城镇污水处理厂污染物排放标准》（GB18918-2002）一级A标准后排入朱衣河，项目的实施利于水体水质的保护，具有较大的环境正效益。当污水处理厂正常运行，出水水质满足《城镇污水处理厂污染物排放标准》（</w:t>
      </w:r>
      <w:r>
        <w:t>GB18918-2002）一级A标准，排放口下游河段COD、NH</w:t>
      </w:r>
      <w:r>
        <w:rPr>
          <w:vertAlign w:val="subscript"/>
        </w:rPr>
        <w:t>3</w:t>
      </w:r>
      <w:r>
        <w:t>-N、TP均满足《地表水环境质量标准》（GB3838-2002)III类水质标准。</w:t>
      </w:r>
      <w:r>
        <w:rPr>
          <w:rFonts w:hint="eastAsia"/>
        </w:rPr>
        <w:t>项目供电采用单电源+备用电源供电，工作电源与备用电源满足全厂</w:t>
      </w:r>
      <w:r>
        <w:t>100%负荷供电，</w:t>
      </w:r>
      <w:r>
        <w:rPr>
          <w:rFonts w:hint="eastAsia"/>
        </w:rPr>
        <w:t>其次项目水处理构筑物采用多套并联运行，同时厂区内设置事故池可暂存收集污水，当出现事故情况时可将多余污水导入事故池内暂存，并使用剩余构筑物和事故应急处理构筑物保证污水处理，不会发生事故期间污水未经处理排放，并及时进行设施设备修复，事故情况时间持续短。所以项目发生事故情况下项目排水可控。</w:t>
      </w:r>
    </w:p>
    <w:p>
      <w:pPr>
        <w:pStyle w:val="5"/>
        <w:ind w:firstLine="480"/>
      </w:pPr>
    </w:p>
    <w:p>
      <w:pPr>
        <w:pStyle w:val="2"/>
      </w:pPr>
      <w:r>
        <w:rPr>
          <w:rFonts w:hint="eastAsia"/>
        </w:rPr>
        <w:t>环境保护措施及其可行性论证</w:t>
      </w:r>
    </w:p>
    <w:p>
      <w:pPr>
        <w:pStyle w:val="3"/>
        <w:spacing w:before="156" w:after="156"/>
      </w:pPr>
      <w:r>
        <w:rPr>
          <w:rFonts w:hint="eastAsia"/>
        </w:rPr>
        <w:t>施工期环境保护措施</w:t>
      </w:r>
    </w:p>
    <w:p>
      <w:pPr>
        <w:pStyle w:val="5"/>
        <w:ind w:firstLine="480"/>
      </w:pPr>
      <w:r>
        <w:rPr>
          <w:rFonts w:hint="eastAsia"/>
        </w:rPr>
        <w:t>根据《中华人民共和国环境保护法》、《中华人民共和国水污染防治法》、《中华人民共和国水污染防治法实施细则》等规定，施工期废水污染防治措施如下：</w:t>
      </w:r>
    </w:p>
    <w:p>
      <w:pPr>
        <w:pStyle w:val="5"/>
        <w:ind w:firstLine="480"/>
      </w:pPr>
      <w:r>
        <w:rPr>
          <w:rFonts w:hint="eastAsia"/>
        </w:rPr>
        <w:t>（</w:t>
      </w:r>
      <w:r>
        <w:t>1）合理安排施工时间和施工进度，尽量缩短施工工期，生活垃圾、建材弃渣以及其他固体废物规定地点统一收集处理，禁止进入</w:t>
      </w:r>
      <w:r>
        <w:rPr>
          <w:rFonts w:hint="eastAsia"/>
        </w:rPr>
        <w:t>朱衣河</w:t>
      </w:r>
      <w:r>
        <w:t>水体。</w:t>
      </w:r>
    </w:p>
    <w:p>
      <w:pPr>
        <w:pStyle w:val="5"/>
        <w:ind w:firstLine="480"/>
      </w:pPr>
      <w:r>
        <w:rPr>
          <w:rFonts w:hint="eastAsia"/>
        </w:rPr>
        <w:t>（</w:t>
      </w:r>
      <w:r>
        <w:t>2）严格管理施工机械，严禁油料泄漏或倾倒废油料。施工机械现场冲洗，应在冲洗设施内进行，冲洗废水通过隔油、沉淀等处理后回用于车辆冲洗和施工场地洒水降尘。场地冲洗废水、施工区初期雨水中含有大量泥沙，施工场地边沟收集漫溢的废水和初期雨水，收集废水经沉淀池处理后回用于场地降尘。</w:t>
      </w:r>
    </w:p>
    <w:p>
      <w:pPr>
        <w:pStyle w:val="5"/>
        <w:ind w:firstLine="480"/>
      </w:pPr>
      <w:r>
        <w:rPr>
          <w:rFonts w:hint="eastAsia"/>
        </w:rPr>
        <w:t>（</w:t>
      </w:r>
      <w:r>
        <w:t>3）</w:t>
      </w:r>
      <w:r>
        <w:rPr>
          <w:rFonts w:hint="eastAsia"/>
        </w:rPr>
        <w:t>生活污水通过施工营地内设置的化粪池处理后，周围果园利用</w:t>
      </w:r>
      <w:r>
        <w:t>。</w:t>
      </w:r>
    </w:p>
    <w:p>
      <w:pPr>
        <w:pStyle w:val="5"/>
        <w:ind w:firstLine="480"/>
      </w:pPr>
      <w:r>
        <w:rPr>
          <w:rFonts w:hint="eastAsia"/>
        </w:rPr>
        <w:t>（</w:t>
      </w:r>
      <w:r>
        <w:t>4）选用先进的设备、机械，加强机械和车辆的维修保养，减少跑、冒、滴、漏油情况的发生。</w:t>
      </w:r>
    </w:p>
    <w:p>
      <w:pPr>
        <w:pStyle w:val="5"/>
        <w:ind w:firstLine="480"/>
      </w:pPr>
      <w:r>
        <w:rPr>
          <w:rFonts w:hint="eastAsia"/>
        </w:rPr>
        <w:t>（</w:t>
      </w:r>
      <w:r>
        <w:t>5）建筑材料运输过程中防止洒漏，施工材料堆放场地应设蓬盖，以减少雨水冲刷造成污染。</w:t>
      </w:r>
    </w:p>
    <w:p>
      <w:pPr>
        <w:pStyle w:val="5"/>
        <w:ind w:firstLine="480"/>
      </w:pPr>
      <w:r>
        <w:rPr>
          <w:rFonts w:hint="eastAsia"/>
        </w:rPr>
        <w:t>（</w:t>
      </w:r>
      <w:r>
        <w:t>6）禁止在</w:t>
      </w:r>
      <w:r>
        <w:rPr>
          <w:rFonts w:hint="eastAsia"/>
        </w:rPr>
        <w:t>朱衣河</w:t>
      </w:r>
      <w:r>
        <w:t>内清洗贮存油类或有毒有害污染物的容器、车辆，禁止向水体排放油类等有毒有害物质，禁止向</w:t>
      </w:r>
      <w:r>
        <w:rPr>
          <w:rFonts w:hint="eastAsia"/>
        </w:rPr>
        <w:t>朱衣河</w:t>
      </w:r>
      <w:r>
        <w:t>倾倒建筑垃圾、生活垃圾、有毒有害物品等固体废物。</w:t>
      </w:r>
    </w:p>
    <w:p>
      <w:pPr>
        <w:pStyle w:val="5"/>
        <w:ind w:firstLine="480"/>
      </w:pPr>
      <w:r>
        <w:rPr>
          <w:rFonts w:hint="eastAsia"/>
        </w:rPr>
        <w:t>在采取以上水污染防治措施后，施工期产生的废水对水环境影响小，污染防治措施可行。</w:t>
      </w:r>
    </w:p>
    <w:p>
      <w:pPr>
        <w:pStyle w:val="3"/>
        <w:spacing w:before="156" w:after="156"/>
      </w:pPr>
      <w:r>
        <w:rPr>
          <w:rFonts w:hint="eastAsia"/>
        </w:rPr>
        <w:t>营运期环境保护措施</w:t>
      </w:r>
    </w:p>
    <w:p>
      <w:pPr>
        <w:pStyle w:val="4"/>
        <w:spacing w:before="156" w:after="156"/>
      </w:pPr>
      <w:r>
        <w:rPr>
          <w:rFonts w:hint="eastAsia"/>
        </w:rPr>
        <w:t>污水处理方案论证</w:t>
      </w:r>
    </w:p>
    <w:p>
      <w:pPr>
        <w:pStyle w:val="6"/>
        <w:spacing w:before="156" w:after="156"/>
      </w:pPr>
      <w:r>
        <w:rPr>
          <w:rFonts w:hint="eastAsia"/>
        </w:rPr>
        <w:t>污水水质特征分析</w:t>
      </w:r>
    </w:p>
    <w:p>
      <w:pPr>
        <w:pStyle w:val="5"/>
        <w:ind w:firstLine="480"/>
      </w:pPr>
      <w:r>
        <w:rPr>
          <w:rFonts w:hint="eastAsia"/>
        </w:rPr>
        <w:t>本项目主要污染物为</w:t>
      </w:r>
      <w:r>
        <w:t>COD，总氮、氨氮、SS、总磷及动植物油等物质。</w:t>
      </w:r>
      <w:r>
        <w:rPr>
          <w:rFonts w:hint="eastAsia"/>
        </w:rPr>
        <w:t>企业生产废水，可生化性较好，适宜于脱氮除磷。</w:t>
      </w:r>
    </w:p>
    <w:p>
      <w:pPr>
        <w:pStyle w:val="5"/>
        <w:ind w:firstLine="480"/>
      </w:pPr>
      <w:r>
        <w:rPr>
          <w:rFonts w:hint="eastAsia"/>
        </w:rPr>
        <w:t>（</w:t>
      </w:r>
      <w:r>
        <w:t>1）BOD</w:t>
      </w:r>
      <w:r>
        <w:rPr>
          <w:vertAlign w:val="subscript"/>
        </w:rPr>
        <w:t>5</w:t>
      </w:r>
      <w:r>
        <w:t>/CODcr</w:t>
      </w:r>
    </w:p>
    <w:p>
      <w:pPr>
        <w:pStyle w:val="5"/>
        <w:ind w:firstLine="480"/>
      </w:pPr>
      <w:r>
        <w:t>BOD</w:t>
      </w:r>
      <w:r>
        <w:rPr>
          <w:vertAlign w:val="subscript"/>
        </w:rPr>
        <w:t>5</w:t>
      </w:r>
      <w:r>
        <w:t xml:space="preserve"> 和CODcr 是污水生物处理过程中常用的两个水质指标，用BOD</w:t>
      </w:r>
      <w:r>
        <w:rPr>
          <w:vertAlign w:val="subscript"/>
        </w:rPr>
        <w:t>5</w:t>
      </w:r>
      <w:r>
        <w:t>/CODcr</w:t>
      </w:r>
      <w:r>
        <w:rPr>
          <w:rFonts w:hint="eastAsia"/>
        </w:rPr>
        <w:t>值评价污水的可生化性是广泛采用的一种最为简易的方法，一般情况下，</w:t>
      </w:r>
      <w:r>
        <w:t>BOD</w:t>
      </w:r>
      <w:r>
        <w:rPr>
          <w:vertAlign w:val="subscript"/>
        </w:rPr>
        <w:t>5</w:t>
      </w:r>
      <w:r>
        <w:t>/CODcr 值越大，说明污水可生物处理性越好。综合污水BOD</w:t>
      </w:r>
      <w:r>
        <w:rPr>
          <w:vertAlign w:val="subscript"/>
        </w:rPr>
        <w:t>5</w:t>
      </w:r>
      <w:r>
        <w:t>/CODcr=300/500=0.6＞0.45，属于可生化性好的污水。</w:t>
      </w:r>
    </w:p>
    <w:p>
      <w:pPr>
        <w:pStyle w:val="5"/>
        <w:ind w:firstLine="480"/>
      </w:pPr>
      <w:r>
        <w:rPr>
          <w:rFonts w:hint="eastAsia"/>
        </w:rPr>
        <w:t>（</w:t>
      </w:r>
      <w:r>
        <w:t>2）BOD</w:t>
      </w:r>
      <w:r>
        <w:rPr>
          <w:vertAlign w:val="subscript"/>
        </w:rPr>
        <w:t>5</w:t>
      </w:r>
      <w:r>
        <w:t>/TN</w:t>
      </w:r>
    </w:p>
    <w:p>
      <w:pPr>
        <w:pStyle w:val="5"/>
        <w:ind w:firstLine="480"/>
      </w:pPr>
      <w:r>
        <w:rPr>
          <w:rFonts w:hint="eastAsia"/>
        </w:rPr>
        <w:t>由于反硝化细菌是在分解有机物的过程中进行反硝化脱氮的，在不投加外来碳源条件下，污水中必须有足够的有机物（碳源），才能保证反硝化的顺利进行，根据《室外排水设计标准》（</w:t>
      </w:r>
      <w:r>
        <w:t>GB50014-2021）规定，“脱氮时，污水中的五日生</w:t>
      </w:r>
      <w:r>
        <w:rPr>
          <w:rFonts w:hint="eastAsia"/>
        </w:rPr>
        <w:t>化需氧量与总凯氏氮之比宜大于</w:t>
      </w:r>
      <w:r>
        <w:t>4，即可认为污水有足够的碳源供反硝化菌利用，</w:t>
      </w:r>
      <w:r>
        <w:rPr>
          <w:rFonts w:hint="eastAsia"/>
        </w:rPr>
        <w:t>综合污水</w:t>
      </w:r>
      <w:r>
        <w:t>TN 约为45mg/L，BOD</w:t>
      </w:r>
      <w:r>
        <w:rPr>
          <w:vertAlign w:val="subscript"/>
        </w:rPr>
        <w:t>5</w:t>
      </w:r>
      <w:r>
        <w:t>/TN=300/45=6.6，再加上水解酸化等将COD 转化为部分BOD 的部分，碳源完全满足脱氮要求。</w:t>
      </w:r>
    </w:p>
    <w:p>
      <w:pPr>
        <w:pStyle w:val="5"/>
        <w:ind w:firstLine="480"/>
      </w:pPr>
      <w:r>
        <w:rPr>
          <w:rFonts w:hint="eastAsia"/>
        </w:rPr>
        <w:t>（</w:t>
      </w:r>
      <w:r>
        <w:t>3）BOD</w:t>
      </w:r>
      <w:r>
        <w:rPr>
          <w:vertAlign w:val="subscript"/>
        </w:rPr>
        <w:t>5</w:t>
      </w:r>
      <w:r>
        <w:t>/TP</w:t>
      </w:r>
    </w:p>
    <w:p>
      <w:pPr>
        <w:pStyle w:val="5"/>
        <w:ind w:firstLine="480"/>
      </w:pPr>
      <w:r>
        <w:rPr>
          <w:rFonts w:hint="eastAsia"/>
        </w:rPr>
        <w:t>该指标是鉴别能否采用生物除磷的主要指标，一般认为，较高的</w:t>
      </w:r>
      <w:r>
        <w:t>BOD</w:t>
      </w:r>
      <w:r>
        <w:rPr>
          <w:vertAlign w:val="subscript"/>
        </w:rPr>
        <w:t>5</w:t>
      </w:r>
      <w:r>
        <w:t xml:space="preserve"> 负荷</w:t>
      </w:r>
      <w:r>
        <w:rPr>
          <w:rFonts w:hint="eastAsia"/>
        </w:rPr>
        <w:t>可以取得较好的除磷效果，进行生物除磷的低限是</w:t>
      </w:r>
      <w:r>
        <w:t>BOD</w:t>
      </w:r>
      <w:r>
        <w:rPr>
          <w:vertAlign w:val="subscript"/>
        </w:rPr>
        <w:t>5</w:t>
      </w:r>
      <w:r>
        <w:t>/TP=20，有机基质不同</w:t>
      </w:r>
      <w:r>
        <w:rPr>
          <w:rFonts w:hint="eastAsia"/>
        </w:rPr>
        <w:t>对除磷也有影响。一般低分子易降解的有机物诱导磷释放的能力较强，高分子难降解的有机物诱导磷释放的能力较弱。而磷释放得越充分，其摄取量也就越大，综合污水</w:t>
      </w:r>
      <w:r>
        <w:t>BOD</w:t>
      </w:r>
      <w:r>
        <w:rPr>
          <w:vertAlign w:val="subscript"/>
        </w:rPr>
        <w:t>5</w:t>
      </w:r>
      <w:r>
        <w:t>/TP=300/3=100，宜采用生物除磷工艺。</w:t>
      </w:r>
    </w:p>
    <w:p>
      <w:pPr>
        <w:pStyle w:val="6"/>
        <w:spacing w:before="156" w:after="156"/>
      </w:pPr>
      <w:r>
        <w:rPr>
          <w:rFonts w:hint="eastAsia"/>
        </w:rPr>
        <w:t>总体工艺路线选择</w:t>
      </w:r>
    </w:p>
    <w:p>
      <w:pPr>
        <w:pStyle w:val="5"/>
        <w:ind w:firstLine="480"/>
      </w:pPr>
      <w:r>
        <w:rPr>
          <w:rFonts w:hint="eastAsia"/>
        </w:rPr>
        <w:t>项目设计出水达到国家《城镇污水处理厂污染物排放标准》（</w:t>
      </w:r>
      <w:r>
        <w:t>GB18918-2002）一级标准A 类。根据进出水水质，设计要</w:t>
      </w:r>
      <w:r>
        <w:rPr>
          <w:rFonts w:hint="eastAsia"/>
        </w:rPr>
        <w:t>求的污染物去除率如下表所示。</w:t>
      </w:r>
    </w:p>
    <w:p>
      <w:pPr>
        <w:pStyle w:val="14"/>
        <w:keepNext/>
      </w:pPr>
      <w:r>
        <w:t xml:space="preserve">表 </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w:t>
      </w:r>
      <w:r>
        <w:fldChar w:fldCharType="end"/>
      </w:r>
      <w:r>
        <w:rPr>
          <w:rFonts w:hint="eastAsia"/>
        </w:rPr>
        <w:t xml:space="preserve">   设计要求的污染物去除率</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239"/>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35" w:type="dxa"/>
            <w:noWrap/>
          </w:tcPr>
          <w:p>
            <w:pPr>
              <w:pStyle w:val="63"/>
              <w:rPr>
                <w:rFonts w:cs="宋体"/>
              </w:rPr>
            </w:pPr>
            <w:r>
              <w:rPr>
                <w:rFonts w:hint="eastAsia"/>
              </w:rPr>
              <w:t>污染物</w:t>
            </w:r>
          </w:p>
        </w:tc>
        <w:tc>
          <w:tcPr>
            <w:tcW w:w="2239" w:type="dxa"/>
            <w:noWrap/>
          </w:tcPr>
          <w:p>
            <w:pPr>
              <w:pStyle w:val="63"/>
            </w:pPr>
            <w:r>
              <w:rPr>
                <w:rFonts w:hint="eastAsia"/>
              </w:rPr>
              <w:t>进水浓度mg/L</w:t>
            </w:r>
          </w:p>
        </w:tc>
        <w:tc>
          <w:tcPr>
            <w:tcW w:w="2237" w:type="dxa"/>
            <w:noWrap/>
          </w:tcPr>
          <w:p>
            <w:pPr>
              <w:pStyle w:val="63"/>
            </w:pPr>
            <w:r>
              <w:rPr>
                <w:rFonts w:hint="eastAsia"/>
              </w:rPr>
              <w:t>排水浓度mg/L</w:t>
            </w:r>
          </w:p>
        </w:tc>
        <w:tc>
          <w:tcPr>
            <w:tcW w:w="2237" w:type="dxa"/>
            <w:noWrap/>
          </w:tcPr>
          <w:p>
            <w:pPr>
              <w:pStyle w:val="63"/>
            </w:pPr>
            <w:r>
              <w:rPr>
                <w:rFonts w:hint="eastAsia"/>
              </w:rPr>
              <w:t>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35" w:type="dxa"/>
            <w:noWrap/>
          </w:tcPr>
          <w:p>
            <w:pPr>
              <w:pStyle w:val="63"/>
            </w:pPr>
            <w:r>
              <w:rPr>
                <w:rFonts w:hint="eastAsia"/>
              </w:rPr>
              <w:t>COD</w:t>
            </w:r>
          </w:p>
        </w:tc>
        <w:tc>
          <w:tcPr>
            <w:tcW w:w="2239" w:type="dxa"/>
            <w:noWrap/>
          </w:tcPr>
          <w:p>
            <w:pPr>
              <w:pStyle w:val="63"/>
            </w:pPr>
            <w:r>
              <w:rPr>
                <w:rFonts w:hint="eastAsia"/>
              </w:rPr>
              <w:t>500</w:t>
            </w:r>
          </w:p>
        </w:tc>
        <w:tc>
          <w:tcPr>
            <w:tcW w:w="2237" w:type="dxa"/>
            <w:noWrap/>
          </w:tcPr>
          <w:p>
            <w:pPr>
              <w:pStyle w:val="63"/>
            </w:pPr>
            <w:r>
              <w:rPr>
                <w:rFonts w:hint="eastAsia"/>
              </w:rPr>
              <w:t>50</w:t>
            </w:r>
          </w:p>
        </w:tc>
        <w:tc>
          <w:tcPr>
            <w:tcW w:w="2237" w:type="dxa"/>
            <w:noWrap/>
          </w:tcPr>
          <w:p>
            <w:pPr>
              <w:pStyle w:val="63"/>
            </w:pPr>
            <w:r>
              <w:rPr>
                <w:rFonts w:hint="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35" w:type="dxa"/>
            <w:noWrap/>
          </w:tcPr>
          <w:p>
            <w:pPr>
              <w:pStyle w:val="63"/>
            </w:pPr>
            <w:r>
              <w:rPr>
                <w:rFonts w:hint="eastAsia"/>
              </w:rPr>
              <w:t>BOD</w:t>
            </w:r>
            <w:r>
              <w:rPr>
                <w:rFonts w:hint="eastAsia"/>
                <w:vertAlign w:val="subscript"/>
              </w:rPr>
              <w:t>5</w:t>
            </w:r>
          </w:p>
        </w:tc>
        <w:tc>
          <w:tcPr>
            <w:tcW w:w="2239" w:type="dxa"/>
            <w:noWrap/>
          </w:tcPr>
          <w:p>
            <w:pPr>
              <w:pStyle w:val="63"/>
            </w:pPr>
            <w:r>
              <w:rPr>
                <w:rFonts w:hint="eastAsia"/>
              </w:rPr>
              <w:t>300</w:t>
            </w:r>
          </w:p>
        </w:tc>
        <w:tc>
          <w:tcPr>
            <w:tcW w:w="2237" w:type="dxa"/>
            <w:noWrap/>
          </w:tcPr>
          <w:p>
            <w:pPr>
              <w:pStyle w:val="63"/>
            </w:pPr>
            <w:r>
              <w:rPr>
                <w:rFonts w:hint="eastAsia"/>
              </w:rPr>
              <w:t>10</w:t>
            </w:r>
          </w:p>
        </w:tc>
        <w:tc>
          <w:tcPr>
            <w:tcW w:w="2237" w:type="dxa"/>
            <w:noWrap/>
          </w:tcPr>
          <w:p>
            <w:pPr>
              <w:pStyle w:val="63"/>
            </w:pPr>
            <w:r>
              <w:rPr>
                <w:rFonts w:hint="eastAsia"/>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35" w:type="dxa"/>
            <w:noWrap/>
          </w:tcPr>
          <w:p>
            <w:pPr>
              <w:pStyle w:val="63"/>
            </w:pPr>
            <w:r>
              <w:rPr>
                <w:rFonts w:hint="eastAsia"/>
              </w:rPr>
              <w:t>石油类</w:t>
            </w:r>
          </w:p>
        </w:tc>
        <w:tc>
          <w:tcPr>
            <w:tcW w:w="2239" w:type="dxa"/>
            <w:noWrap/>
          </w:tcPr>
          <w:p>
            <w:pPr>
              <w:pStyle w:val="63"/>
            </w:pPr>
            <w:r>
              <w:rPr>
                <w:rFonts w:hint="eastAsia"/>
              </w:rPr>
              <w:t>20</w:t>
            </w:r>
          </w:p>
        </w:tc>
        <w:tc>
          <w:tcPr>
            <w:tcW w:w="2237" w:type="dxa"/>
            <w:noWrap/>
          </w:tcPr>
          <w:p>
            <w:pPr>
              <w:pStyle w:val="63"/>
            </w:pPr>
            <w:r>
              <w:rPr>
                <w:rFonts w:hint="eastAsia"/>
              </w:rPr>
              <w:t>1</w:t>
            </w:r>
          </w:p>
        </w:tc>
        <w:tc>
          <w:tcPr>
            <w:tcW w:w="2237" w:type="dxa"/>
            <w:noWrap/>
          </w:tcPr>
          <w:p>
            <w:pPr>
              <w:pStyle w:val="63"/>
            </w:pPr>
            <w:r>
              <w:rPr>
                <w:rFonts w:hint="eastAsia"/>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35" w:type="dxa"/>
            <w:noWrap/>
          </w:tcPr>
          <w:p>
            <w:pPr>
              <w:pStyle w:val="63"/>
            </w:pPr>
            <w:r>
              <w:rPr>
                <w:rFonts w:hint="eastAsia"/>
              </w:rPr>
              <w:t>动植物油</w:t>
            </w:r>
          </w:p>
        </w:tc>
        <w:tc>
          <w:tcPr>
            <w:tcW w:w="2239" w:type="dxa"/>
            <w:noWrap/>
          </w:tcPr>
          <w:p>
            <w:pPr>
              <w:pStyle w:val="63"/>
            </w:pPr>
            <w:r>
              <w:rPr>
                <w:rFonts w:hint="eastAsia"/>
              </w:rPr>
              <w:t>100</w:t>
            </w:r>
          </w:p>
        </w:tc>
        <w:tc>
          <w:tcPr>
            <w:tcW w:w="2237" w:type="dxa"/>
            <w:noWrap/>
          </w:tcPr>
          <w:p>
            <w:pPr>
              <w:pStyle w:val="63"/>
            </w:pPr>
            <w:r>
              <w:rPr>
                <w:rFonts w:hint="eastAsia"/>
              </w:rPr>
              <w:t>1</w:t>
            </w:r>
          </w:p>
        </w:tc>
        <w:tc>
          <w:tcPr>
            <w:tcW w:w="2237" w:type="dxa"/>
            <w:noWrap/>
          </w:tcPr>
          <w:p>
            <w:pPr>
              <w:pStyle w:val="63"/>
            </w:pPr>
            <w:r>
              <w:rPr>
                <w:rFonts w:hint="eastAsia"/>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35" w:type="dxa"/>
            <w:noWrap/>
          </w:tcPr>
          <w:p>
            <w:pPr>
              <w:pStyle w:val="63"/>
            </w:pPr>
            <w:r>
              <w:rPr>
                <w:rFonts w:hint="eastAsia"/>
              </w:rPr>
              <w:t>氨氮</w:t>
            </w:r>
          </w:p>
        </w:tc>
        <w:tc>
          <w:tcPr>
            <w:tcW w:w="2239" w:type="dxa"/>
            <w:noWrap/>
          </w:tcPr>
          <w:p>
            <w:pPr>
              <w:pStyle w:val="63"/>
            </w:pPr>
            <w:r>
              <w:rPr>
                <w:rFonts w:hint="eastAsia"/>
              </w:rPr>
              <w:t>30</w:t>
            </w:r>
          </w:p>
        </w:tc>
        <w:tc>
          <w:tcPr>
            <w:tcW w:w="2237" w:type="dxa"/>
            <w:noWrap/>
          </w:tcPr>
          <w:p>
            <w:pPr>
              <w:pStyle w:val="63"/>
            </w:pPr>
            <w:r>
              <w:rPr>
                <w:rFonts w:hint="eastAsia"/>
              </w:rPr>
              <w:t>5</w:t>
            </w:r>
          </w:p>
        </w:tc>
        <w:tc>
          <w:tcPr>
            <w:tcW w:w="2237" w:type="dxa"/>
            <w:noWrap/>
          </w:tcPr>
          <w:p>
            <w:pPr>
              <w:pStyle w:val="63"/>
            </w:pPr>
            <w:r>
              <w:rPr>
                <w:rFonts w:hint="eastAsia"/>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35" w:type="dxa"/>
            <w:noWrap/>
          </w:tcPr>
          <w:p>
            <w:pPr>
              <w:pStyle w:val="63"/>
            </w:pPr>
            <w:r>
              <w:rPr>
                <w:rFonts w:hint="eastAsia"/>
              </w:rPr>
              <w:t>SS</w:t>
            </w:r>
          </w:p>
        </w:tc>
        <w:tc>
          <w:tcPr>
            <w:tcW w:w="2239" w:type="dxa"/>
            <w:noWrap/>
          </w:tcPr>
          <w:p>
            <w:pPr>
              <w:pStyle w:val="63"/>
            </w:pPr>
            <w:r>
              <w:rPr>
                <w:rFonts w:hint="eastAsia"/>
              </w:rPr>
              <w:t>400</w:t>
            </w:r>
          </w:p>
        </w:tc>
        <w:tc>
          <w:tcPr>
            <w:tcW w:w="2237" w:type="dxa"/>
            <w:noWrap/>
          </w:tcPr>
          <w:p>
            <w:pPr>
              <w:pStyle w:val="63"/>
            </w:pPr>
            <w:r>
              <w:rPr>
                <w:rFonts w:hint="eastAsia"/>
              </w:rPr>
              <w:t>10</w:t>
            </w:r>
          </w:p>
        </w:tc>
        <w:tc>
          <w:tcPr>
            <w:tcW w:w="2237" w:type="dxa"/>
            <w:noWrap/>
          </w:tcPr>
          <w:p>
            <w:pPr>
              <w:pStyle w:val="63"/>
            </w:pPr>
            <w:r>
              <w:rPr>
                <w:rFonts w:hint="eastAsia"/>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35" w:type="dxa"/>
            <w:noWrap/>
          </w:tcPr>
          <w:p>
            <w:pPr>
              <w:pStyle w:val="63"/>
            </w:pPr>
            <w:r>
              <w:rPr>
                <w:rFonts w:hint="eastAsia"/>
              </w:rPr>
              <w:t>总磷</w:t>
            </w:r>
          </w:p>
        </w:tc>
        <w:tc>
          <w:tcPr>
            <w:tcW w:w="2239" w:type="dxa"/>
            <w:noWrap/>
          </w:tcPr>
          <w:p>
            <w:pPr>
              <w:pStyle w:val="63"/>
            </w:pPr>
            <w:r>
              <w:rPr>
                <w:rFonts w:hint="eastAsia"/>
              </w:rPr>
              <w:t>3</w:t>
            </w:r>
          </w:p>
        </w:tc>
        <w:tc>
          <w:tcPr>
            <w:tcW w:w="2237" w:type="dxa"/>
            <w:noWrap/>
          </w:tcPr>
          <w:p>
            <w:pPr>
              <w:pStyle w:val="63"/>
            </w:pPr>
            <w:r>
              <w:rPr>
                <w:rFonts w:hint="eastAsia"/>
              </w:rPr>
              <w:t>0.5</w:t>
            </w:r>
          </w:p>
        </w:tc>
        <w:tc>
          <w:tcPr>
            <w:tcW w:w="2237" w:type="dxa"/>
            <w:noWrap/>
          </w:tcPr>
          <w:p>
            <w:pPr>
              <w:pStyle w:val="63"/>
            </w:pPr>
            <w:r>
              <w:rPr>
                <w:rFonts w:hint="eastAsia"/>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235" w:type="dxa"/>
            <w:noWrap/>
          </w:tcPr>
          <w:p>
            <w:pPr>
              <w:pStyle w:val="63"/>
            </w:pPr>
            <w:r>
              <w:rPr>
                <w:rFonts w:hint="eastAsia"/>
              </w:rPr>
              <w:t>总氮</w:t>
            </w:r>
          </w:p>
        </w:tc>
        <w:tc>
          <w:tcPr>
            <w:tcW w:w="2239" w:type="dxa"/>
            <w:noWrap/>
          </w:tcPr>
          <w:p>
            <w:pPr>
              <w:pStyle w:val="63"/>
            </w:pPr>
            <w:r>
              <w:rPr>
                <w:rFonts w:hint="eastAsia"/>
              </w:rPr>
              <w:t>45</w:t>
            </w:r>
          </w:p>
        </w:tc>
        <w:tc>
          <w:tcPr>
            <w:tcW w:w="2237" w:type="dxa"/>
            <w:noWrap/>
          </w:tcPr>
          <w:p>
            <w:pPr>
              <w:pStyle w:val="63"/>
            </w:pPr>
            <w:r>
              <w:rPr>
                <w:rFonts w:hint="eastAsia"/>
              </w:rPr>
              <w:t>15</w:t>
            </w:r>
          </w:p>
        </w:tc>
        <w:tc>
          <w:tcPr>
            <w:tcW w:w="2237" w:type="dxa"/>
            <w:noWrap/>
          </w:tcPr>
          <w:p>
            <w:pPr>
              <w:pStyle w:val="63"/>
            </w:pPr>
            <w:r>
              <w:rPr>
                <w:rFonts w:hint="eastAsia"/>
              </w:rPr>
              <w:t>67%</w:t>
            </w:r>
          </w:p>
        </w:tc>
      </w:tr>
    </w:tbl>
    <w:p>
      <w:pPr>
        <w:pStyle w:val="63"/>
      </w:pPr>
    </w:p>
    <w:p>
      <w:pPr>
        <w:pStyle w:val="5"/>
        <w:ind w:firstLine="480"/>
      </w:pPr>
      <w:r>
        <w:rPr>
          <w:rFonts w:hint="eastAsia"/>
        </w:rPr>
        <w:t>根据《室外排水设计标准》，通常采用二级生化处理工艺的污水处理厂对污水中</w:t>
      </w:r>
      <w:r>
        <w:t>SS 及BOD</w:t>
      </w:r>
      <w:r>
        <w:rPr>
          <w:vertAlign w:val="subscript"/>
        </w:rPr>
        <w:t>5</w:t>
      </w:r>
      <w:r>
        <w:t xml:space="preserve"> 指标的处理效率见下表。</w:t>
      </w:r>
    </w:p>
    <w:p>
      <w:pPr>
        <w:pStyle w:val="14"/>
        <w:keepNext/>
      </w:pPr>
      <w:r>
        <w:t xml:space="preserve">表 </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2</w:t>
      </w:r>
      <w:r>
        <w:fldChar w:fldCharType="end"/>
      </w:r>
      <w:r>
        <w:rPr>
          <w:rFonts w:hint="eastAsia"/>
        </w:rPr>
        <w:t xml:space="preserve">   一般污水处理厂处理效率</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4536"/>
        <w:gridCol w:w="992"/>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pStyle w:val="63"/>
            </w:pPr>
            <w:r>
              <w:rPr>
                <w:rFonts w:hint="eastAsia"/>
              </w:rPr>
              <w:t>处理</w:t>
            </w:r>
          </w:p>
          <w:p>
            <w:pPr>
              <w:pStyle w:val="63"/>
            </w:pPr>
            <w:r>
              <w:rPr>
                <w:rFonts w:hint="eastAsia"/>
              </w:rPr>
              <w:t>级别</w:t>
            </w:r>
          </w:p>
        </w:tc>
        <w:tc>
          <w:tcPr>
            <w:tcW w:w="1559" w:type="dxa"/>
            <w:vMerge w:val="restart"/>
            <w:vAlign w:val="center"/>
          </w:tcPr>
          <w:p>
            <w:pPr>
              <w:pStyle w:val="63"/>
            </w:pPr>
            <w:r>
              <w:rPr>
                <w:rFonts w:hint="eastAsia"/>
              </w:rPr>
              <w:t>处理</w:t>
            </w:r>
          </w:p>
          <w:p>
            <w:pPr>
              <w:pStyle w:val="63"/>
            </w:pPr>
            <w:r>
              <w:rPr>
                <w:rFonts w:hint="eastAsia"/>
              </w:rPr>
              <w:t>方法</w:t>
            </w:r>
          </w:p>
        </w:tc>
        <w:tc>
          <w:tcPr>
            <w:tcW w:w="4536" w:type="dxa"/>
            <w:vMerge w:val="restart"/>
            <w:vAlign w:val="center"/>
          </w:tcPr>
          <w:p>
            <w:pPr>
              <w:pStyle w:val="63"/>
            </w:pPr>
            <w:r>
              <w:rPr>
                <w:rFonts w:hint="eastAsia"/>
              </w:rPr>
              <w:t>主要工艺</w:t>
            </w:r>
          </w:p>
        </w:tc>
        <w:tc>
          <w:tcPr>
            <w:tcW w:w="2007" w:type="dxa"/>
            <w:gridSpan w:val="2"/>
            <w:vAlign w:val="center"/>
          </w:tcPr>
          <w:p>
            <w:pPr>
              <w:pStyle w:val="63"/>
            </w:pPr>
            <w:r>
              <w:rPr>
                <w:rFonts w:hint="eastAsia"/>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vAlign w:val="center"/>
          </w:tcPr>
          <w:p>
            <w:pPr>
              <w:pStyle w:val="63"/>
            </w:pPr>
          </w:p>
        </w:tc>
        <w:tc>
          <w:tcPr>
            <w:tcW w:w="1559" w:type="dxa"/>
            <w:vMerge w:val="continue"/>
            <w:vAlign w:val="center"/>
          </w:tcPr>
          <w:p>
            <w:pPr>
              <w:pStyle w:val="63"/>
            </w:pPr>
          </w:p>
        </w:tc>
        <w:tc>
          <w:tcPr>
            <w:tcW w:w="4536" w:type="dxa"/>
            <w:vMerge w:val="continue"/>
            <w:vAlign w:val="center"/>
          </w:tcPr>
          <w:p>
            <w:pPr>
              <w:pStyle w:val="63"/>
            </w:pPr>
          </w:p>
        </w:tc>
        <w:tc>
          <w:tcPr>
            <w:tcW w:w="992" w:type="dxa"/>
            <w:vAlign w:val="center"/>
          </w:tcPr>
          <w:p>
            <w:pPr>
              <w:pStyle w:val="63"/>
            </w:pPr>
            <w:r>
              <w:rPr>
                <w:rFonts w:hint="eastAsia"/>
              </w:rPr>
              <w:t>SS</w:t>
            </w:r>
          </w:p>
        </w:tc>
        <w:tc>
          <w:tcPr>
            <w:tcW w:w="1015" w:type="dxa"/>
            <w:vAlign w:val="center"/>
          </w:tcPr>
          <w:p>
            <w:pPr>
              <w:pStyle w:val="63"/>
            </w:pPr>
            <w:r>
              <w:rPr>
                <w:rFonts w:hint="eastAsia"/>
              </w:rPr>
              <w:t>BOD</w:t>
            </w:r>
            <w:r>
              <w:rPr>
                <w:rFonts w:hint="eastAsia"/>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一级</w:t>
            </w:r>
          </w:p>
        </w:tc>
        <w:tc>
          <w:tcPr>
            <w:tcW w:w="1559" w:type="dxa"/>
            <w:vAlign w:val="center"/>
          </w:tcPr>
          <w:p>
            <w:pPr>
              <w:pStyle w:val="63"/>
            </w:pPr>
            <w:r>
              <w:rPr>
                <w:rFonts w:hint="eastAsia"/>
              </w:rPr>
              <w:t>沉淀法</w:t>
            </w:r>
          </w:p>
        </w:tc>
        <w:tc>
          <w:tcPr>
            <w:tcW w:w="4536" w:type="dxa"/>
            <w:vAlign w:val="center"/>
          </w:tcPr>
          <w:p>
            <w:pPr>
              <w:pStyle w:val="63"/>
            </w:pPr>
            <w:r>
              <w:rPr>
                <w:rFonts w:hint="eastAsia"/>
              </w:rPr>
              <w:t>沉淀</w:t>
            </w:r>
          </w:p>
        </w:tc>
        <w:tc>
          <w:tcPr>
            <w:tcW w:w="992" w:type="dxa"/>
            <w:vAlign w:val="center"/>
          </w:tcPr>
          <w:p>
            <w:pPr>
              <w:pStyle w:val="63"/>
            </w:pPr>
            <w:r>
              <w:rPr>
                <w:rFonts w:hint="eastAsia"/>
              </w:rPr>
              <w:t>40~55</w:t>
            </w:r>
          </w:p>
        </w:tc>
        <w:tc>
          <w:tcPr>
            <w:tcW w:w="1015" w:type="dxa"/>
            <w:vAlign w:val="center"/>
          </w:tcPr>
          <w:p>
            <w:pPr>
              <w:pStyle w:val="63"/>
            </w:pPr>
            <w:r>
              <w:rPr>
                <w:rFonts w:hint="eastAsia"/>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pStyle w:val="63"/>
            </w:pPr>
            <w:r>
              <w:rPr>
                <w:rFonts w:hint="eastAsia"/>
              </w:rPr>
              <w:t>二级</w:t>
            </w:r>
          </w:p>
        </w:tc>
        <w:tc>
          <w:tcPr>
            <w:tcW w:w="1559" w:type="dxa"/>
            <w:vAlign w:val="center"/>
          </w:tcPr>
          <w:p>
            <w:pPr>
              <w:pStyle w:val="63"/>
            </w:pPr>
            <w:r>
              <w:rPr>
                <w:rFonts w:hint="eastAsia"/>
              </w:rPr>
              <w:t>生物膜法</w:t>
            </w:r>
          </w:p>
        </w:tc>
        <w:tc>
          <w:tcPr>
            <w:tcW w:w="4536" w:type="dxa"/>
            <w:vAlign w:val="center"/>
          </w:tcPr>
          <w:p>
            <w:pPr>
              <w:pStyle w:val="63"/>
            </w:pPr>
            <w:r>
              <w:rPr>
                <w:rFonts w:hint="eastAsia"/>
              </w:rPr>
              <w:t>初次沉淀、生物膜反应、二级沉淀</w:t>
            </w:r>
          </w:p>
        </w:tc>
        <w:tc>
          <w:tcPr>
            <w:tcW w:w="992" w:type="dxa"/>
            <w:vAlign w:val="center"/>
          </w:tcPr>
          <w:p>
            <w:pPr>
              <w:pStyle w:val="63"/>
            </w:pPr>
            <w:r>
              <w:rPr>
                <w:rFonts w:hint="eastAsia"/>
              </w:rPr>
              <w:t>60~90</w:t>
            </w:r>
          </w:p>
        </w:tc>
        <w:tc>
          <w:tcPr>
            <w:tcW w:w="1015" w:type="dxa"/>
            <w:vAlign w:val="center"/>
          </w:tcPr>
          <w:p>
            <w:pPr>
              <w:pStyle w:val="63"/>
            </w:pPr>
            <w:r>
              <w:rPr>
                <w:rFonts w:hint="eastAsia"/>
              </w:rPr>
              <w:t>65~90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vAlign w:val="center"/>
          </w:tcPr>
          <w:p>
            <w:pPr>
              <w:pStyle w:val="63"/>
            </w:pPr>
          </w:p>
        </w:tc>
        <w:tc>
          <w:tcPr>
            <w:tcW w:w="1559" w:type="dxa"/>
            <w:vAlign w:val="center"/>
          </w:tcPr>
          <w:p>
            <w:pPr>
              <w:pStyle w:val="63"/>
            </w:pPr>
            <w:r>
              <w:rPr>
                <w:rFonts w:hint="eastAsia"/>
              </w:rPr>
              <w:t>活性污泥法</w:t>
            </w:r>
          </w:p>
        </w:tc>
        <w:tc>
          <w:tcPr>
            <w:tcW w:w="4536" w:type="dxa"/>
            <w:vAlign w:val="center"/>
          </w:tcPr>
          <w:p>
            <w:pPr>
              <w:pStyle w:val="63"/>
            </w:pPr>
            <w:r>
              <w:rPr>
                <w:rFonts w:hint="eastAsia"/>
              </w:rPr>
              <w:t>初次沉淀、活性污泥反应、二级沉淀</w:t>
            </w:r>
          </w:p>
        </w:tc>
        <w:tc>
          <w:tcPr>
            <w:tcW w:w="992" w:type="dxa"/>
            <w:vAlign w:val="center"/>
          </w:tcPr>
          <w:p>
            <w:pPr>
              <w:pStyle w:val="63"/>
            </w:pPr>
            <w:r>
              <w:rPr>
                <w:rFonts w:hint="eastAsia"/>
              </w:rPr>
              <w:t>70~90</w:t>
            </w:r>
          </w:p>
        </w:tc>
        <w:tc>
          <w:tcPr>
            <w:tcW w:w="1015" w:type="dxa"/>
            <w:vAlign w:val="center"/>
          </w:tcPr>
          <w:p>
            <w:pPr>
              <w:pStyle w:val="63"/>
            </w:pPr>
            <w:r>
              <w:rPr>
                <w:rFonts w:hint="eastAsia"/>
              </w:rPr>
              <w:t>65~95</w:t>
            </w:r>
          </w:p>
        </w:tc>
      </w:tr>
    </w:tbl>
    <w:p>
      <w:pPr>
        <w:pStyle w:val="63"/>
      </w:pPr>
    </w:p>
    <w:p>
      <w:pPr>
        <w:pStyle w:val="5"/>
        <w:ind w:firstLine="480"/>
      </w:pPr>
      <w:r>
        <w:rPr>
          <w:rFonts w:hint="eastAsia"/>
        </w:rPr>
        <w:t>根据前述，项目</w:t>
      </w:r>
      <w:r>
        <w:t>BOD</w:t>
      </w:r>
      <w:r>
        <w:rPr>
          <w:vertAlign w:val="subscript"/>
        </w:rPr>
        <w:t>5</w:t>
      </w:r>
      <w:r>
        <w:t xml:space="preserve"> 去除率应该大于等于9</w:t>
      </w:r>
      <w:r>
        <w:rPr>
          <w:rFonts w:hint="eastAsia"/>
        </w:rPr>
        <w:t>7</w:t>
      </w:r>
      <w:r>
        <w:t>%。从上表</w:t>
      </w:r>
      <w:r>
        <w:rPr>
          <w:rFonts w:hint="eastAsia"/>
        </w:rPr>
        <w:t>可以看出，仅采用二级生化处理工艺无法使</w:t>
      </w:r>
      <w:r>
        <w:t>BOD</w:t>
      </w:r>
      <w:r>
        <w:rPr>
          <w:vertAlign w:val="subscript"/>
        </w:rPr>
        <w:t>5</w:t>
      </w:r>
      <w:r>
        <w:t>出水指标稳定达</w:t>
      </w:r>
      <w:r>
        <w:rPr>
          <w:rFonts w:hint="eastAsia"/>
        </w:rPr>
        <w:t>标，故需在二级处理之后增加深度处理工艺，采用“综合污水物化预处理</w:t>
      </w:r>
      <w:r>
        <w:t>+生化处理+</w:t>
      </w:r>
      <w:r>
        <w:rPr>
          <w:rFonts w:hint="eastAsia"/>
        </w:rPr>
        <w:t>深度处理”的总体处理工艺。</w:t>
      </w:r>
    </w:p>
    <w:p>
      <w:pPr>
        <w:pStyle w:val="6"/>
        <w:spacing w:before="156" w:after="156"/>
      </w:pPr>
      <w:r>
        <w:rPr>
          <w:rFonts w:hint="eastAsia"/>
        </w:rPr>
        <w:t>预处理工艺确定</w:t>
      </w:r>
    </w:p>
    <w:p>
      <w:pPr>
        <w:pStyle w:val="5"/>
        <w:ind w:firstLine="480"/>
      </w:pPr>
      <w:r>
        <w:rPr>
          <w:rFonts w:hint="eastAsia"/>
        </w:rPr>
        <w:t>污水预处理常规的截留步骤为：粗格栅</w:t>
      </w:r>
      <w:r>
        <w:t>+细格栅+沉砂池，依次去除大小不</w:t>
      </w:r>
      <w:r>
        <w:rPr>
          <w:rFonts w:hint="eastAsia"/>
        </w:rPr>
        <w:t>同的颗粒固体、砂粒和悬浮物，污水预处理设施对固体颗粒及砂粒的去除能有效保护后续工艺单元的工艺设备，降低设备磨损。</w:t>
      </w:r>
    </w:p>
    <w:p>
      <w:pPr>
        <w:pStyle w:val="5"/>
        <w:ind w:firstLine="480"/>
      </w:pPr>
      <w:r>
        <w:rPr>
          <w:rFonts w:hint="eastAsia"/>
        </w:rPr>
        <w:t>污水预处理工艺采用“粗格栅及调节池</w:t>
      </w:r>
      <w:r>
        <w:t>+细格栅</w:t>
      </w:r>
      <w:r>
        <w:rPr>
          <w:rFonts w:hint="eastAsia"/>
        </w:rPr>
        <w:t>+沉砂池为主体的预处理工艺。设置格栅井，去除污水中的悬浮物细小纤维，降低生物处理负荷，防止布条等物体的带入对沉砂池叶轮及提砂装置造成影响。目前国内外普遍采用的沉砂池包括以下几种：平流式沉砂池、曝气沉砂池、旋流式沉砂池（钟氏及比氏）、多尔沉砂池等。</w:t>
      </w:r>
    </w:p>
    <w:p>
      <w:pPr>
        <w:pStyle w:val="5"/>
        <w:ind w:firstLine="480"/>
      </w:pPr>
      <w:r>
        <w:rPr>
          <w:rFonts w:hint="eastAsia"/>
        </w:rPr>
        <w:t>本项目进水为类似生活污水，粒径</w:t>
      </w:r>
      <w:r>
        <w:t>d＞0.6mm 的砂粒所占比例较大，且</w:t>
      </w:r>
      <w:r>
        <w:rPr>
          <w:rFonts w:hint="eastAsia"/>
        </w:rPr>
        <w:t>粗格栅后有调节池的设计，沉砂池处理水量波动较小。另外，调节池内设搅拌器和潜污泵，进入沉砂池之前，砂粒上的附着有机物基本已经被冲刷下来，平流式沉砂池设计停留时间较短，有机悬浮物很难沉淀下来，即使有部分沉淀下来，砂水分离器的设计也可以将有机物分离出来重新进入污水系统进行处理。考虑平流式沉砂池相对占地较小（平面布置比较好利用空间）。因此，本项目采用对粒径</w:t>
      </w:r>
      <w:r>
        <w:t>d＞0.6mm 的砂粒有较高去除率的“平流式沉砂池”。</w:t>
      </w:r>
    </w:p>
    <w:p>
      <w:pPr>
        <w:pStyle w:val="5"/>
        <w:ind w:firstLine="480"/>
      </w:pPr>
      <w:r>
        <w:rPr>
          <w:rFonts w:hint="eastAsia"/>
        </w:rPr>
        <w:t>综上预处理工艺采用：粗格栅</w:t>
      </w:r>
      <w:r>
        <w:t>+细格栅+沉砂池</w:t>
      </w:r>
      <w:r>
        <w:rPr>
          <w:rFonts w:hint="eastAsia"/>
        </w:rPr>
        <w:t>+调节池。</w:t>
      </w:r>
    </w:p>
    <w:p>
      <w:pPr>
        <w:pStyle w:val="6"/>
        <w:spacing w:before="156" w:after="156"/>
      </w:pPr>
      <w:r>
        <w:rPr>
          <w:rFonts w:hint="eastAsia"/>
        </w:rPr>
        <w:t>前处理工艺确定</w:t>
      </w:r>
    </w:p>
    <w:p>
      <w:pPr>
        <w:pStyle w:val="5"/>
        <w:ind w:firstLine="480"/>
      </w:pPr>
      <w:r>
        <w:rPr>
          <w:rFonts w:hint="eastAsia"/>
        </w:rPr>
        <w:t>气浮池是指一种主要是运用大量微气泡捕捉吸附细小颗粒胶黏物使之上浮，达到固液分离的效果的池子。它通过在水中注入大量微气泡，使水中的细小颗粒和胶黏物上浮，从而实现对污水中悬浮物、胶体和部分有机物的有效去除。气浮池通常作为污水处理流程的前置预处理装置，可以减轻后续处理设备的负担，提高整个处理系统的效率和稳定性。</w:t>
      </w:r>
    </w:p>
    <w:p>
      <w:pPr>
        <w:pStyle w:val="5"/>
        <w:ind w:firstLine="480"/>
      </w:pPr>
      <w:r>
        <w:rPr>
          <w:rFonts w:hint="eastAsia"/>
        </w:rPr>
        <w:t>水解（酸化）是厌氧消化过程的第一、二两个阶段，其目的是将原污水中的非溶解态有机物截留并逐步转变为溶解态有机物。对于工业废水处理，主要是将难生物降解物质转变为易生物降解物质，提高废水的可生化性，以利于后续的好氧生物处理。水解工艺中的优势菌群以兼性微生物为主，仅部分兼性菌参加反应。水解反应器对有机物的降解在一定程度上只是一个预处理过程，水解反应过程中没有彻底完成有机物的降解任务，而是改变有机物的形态，即将大分子物质降解为小分子物质，将难生化物质降解为易生化物质，从而使</w:t>
      </w:r>
      <w:r>
        <w:t>B/C 比值有所增加。</w:t>
      </w:r>
    </w:p>
    <w:p>
      <w:pPr>
        <w:pStyle w:val="5"/>
        <w:ind w:firstLine="480"/>
      </w:pPr>
      <w:r>
        <w:rPr>
          <w:rFonts w:hint="eastAsia"/>
        </w:rPr>
        <w:t>前处理处理工艺为“气浮池</w:t>
      </w:r>
      <w:r>
        <w:t>+水解酸化池”，</w:t>
      </w:r>
      <w:r>
        <w:rPr>
          <w:rFonts w:hint="eastAsia"/>
        </w:rPr>
        <w:t xml:space="preserve"> 当其它工业废水量比较小时，通过预处理后进入</w:t>
      </w:r>
      <w:r>
        <w:t>AAO</w:t>
      </w:r>
      <w:r>
        <w:rPr>
          <w:rFonts w:hint="eastAsia"/>
        </w:rPr>
        <w:t>池中的厌氧池进行生化处理；当其它工业废水量较大时，为了避免负荷过高降低</w:t>
      </w:r>
      <w:r>
        <w:t>AAO 工艺的去除率，将经过预处理后的其它工业废水送入</w:t>
      </w:r>
      <w:r>
        <w:rPr>
          <w:rFonts w:hint="eastAsia"/>
        </w:rPr>
        <w:t>后续工艺</w:t>
      </w:r>
      <w:r>
        <w:t>。</w:t>
      </w:r>
    </w:p>
    <w:p>
      <w:pPr>
        <w:pStyle w:val="6"/>
        <w:spacing w:before="156" w:after="156"/>
      </w:pPr>
      <w:r>
        <w:rPr>
          <w:rFonts w:hint="eastAsia"/>
        </w:rPr>
        <w:t>污水生物处理工艺确定</w:t>
      </w:r>
    </w:p>
    <w:p>
      <w:pPr>
        <w:pStyle w:val="5"/>
        <w:ind w:firstLine="480"/>
      </w:pPr>
      <w:r>
        <w:rPr>
          <w:rFonts w:hint="eastAsia"/>
        </w:rPr>
        <w:t>判定污水的</w:t>
      </w:r>
      <w:r>
        <w:t>BOD</w:t>
      </w:r>
      <w:r>
        <w:rPr>
          <w:vertAlign w:val="subscript"/>
        </w:rPr>
        <w:t>5</w:t>
      </w:r>
      <w:r>
        <w:t>/CODcr 值是鉴</w:t>
      </w:r>
      <w:r>
        <w:rPr>
          <w:rFonts w:hint="eastAsia"/>
        </w:rPr>
        <w:t>定污水可生化的简单易行且最常用的方法，判别标准见下表。项目设计综合污水</w:t>
      </w:r>
      <w:r>
        <w:t>BOD</w:t>
      </w:r>
      <w:r>
        <w:rPr>
          <w:vertAlign w:val="subscript"/>
        </w:rPr>
        <w:t>5</w:t>
      </w:r>
      <w:r>
        <w:t>/CODcr=0.6，属于易生物降解的污水，因此可以</w:t>
      </w:r>
      <w:r>
        <w:rPr>
          <w:rFonts w:hint="eastAsia"/>
        </w:rPr>
        <w:t>采用生化处理。</w:t>
      </w:r>
    </w:p>
    <w:p>
      <w:pPr>
        <w:pStyle w:val="14"/>
        <w:keepNext/>
      </w:pPr>
      <w:r>
        <w:t xml:space="preserve">表 </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3</w:t>
      </w:r>
      <w:r>
        <w:fldChar w:fldCharType="end"/>
      </w:r>
      <w:r>
        <w:rPr>
          <w:rFonts w:hint="eastAsia"/>
        </w:rPr>
        <w:t xml:space="preserve">   污水可生化性判别表</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9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BOD</w:t>
            </w:r>
            <w:r>
              <w:rPr>
                <w:rFonts w:hint="eastAsia"/>
                <w:vertAlign w:val="subscript"/>
              </w:rPr>
              <w:t>5</w:t>
            </w:r>
            <w:r>
              <w:rPr>
                <w:rFonts w:hint="eastAsia"/>
              </w:rPr>
              <w:t>/CODcr</w:t>
            </w:r>
          </w:p>
        </w:tc>
        <w:tc>
          <w:tcPr>
            <w:tcW w:w="1789" w:type="dxa"/>
          </w:tcPr>
          <w:p>
            <w:pPr>
              <w:pStyle w:val="63"/>
            </w:pPr>
            <w:r>
              <w:rPr>
                <w:rFonts w:hint="eastAsia"/>
              </w:rPr>
              <w:t>＞0.45</w:t>
            </w:r>
          </w:p>
        </w:tc>
        <w:tc>
          <w:tcPr>
            <w:tcW w:w="1790" w:type="dxa"/>
          </w:tcPr>
          <w:p>
            <w:pPr>
              <w:pStyle w:val="63"/>
            </w:pPr>
            <w:r>
              <w:rPr>
                <w:rFonts w:hint="eastAsia"/>
              </w:rPr>
              <w:t>0.45~0.3</w:t>
            </w:r>
          </w:p>
        </w:tc>
        <w:tc>
          <w:tcPr>
            <w:tcW w:w="1790" w:type="dxa"/>
          </w:tcPr>
          <w:p>
            <w:pPr>
              <w:pStyle w:val="63"/>
            </w:pPr>
            <w:r>
              <w:rPr>
                <w:rFonts w:hint="eastAsia"/>
              </w:rPr>
              <w:t>0.3~0.25</w:t>
            </w:r>
          </w:p>
        </w:tc>
        <w:tc>
          <w:tcPr>
            <w:tcW w:w="1790" w:type="dxa"/>
          </w:tcPr>
          <w:p>
            <w:pPr>
              <w:pStyle w:val="63"/>
            </w:pPr>
            <w:r>
              <w:rPr>
                <w:rFonts w:hint="eastAsia"/>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可生化性</w:t>
            </w:r>
          </w:p>
        </w:tc>
        <w:tc>
          <w:tcPr>
            <w:tcW w:w="1789" w:type="dxa"/>
          </w:tcPr>
          <w:p>
            <w:pPr>
              <w:pStyle w:val="63"/>
            </w:pPr>
            <w:r>
              <w:rPr>
                <w:rFonts w:hint="eastAsia"/>
              </w:rPr>
              <w:t>易生化</w:t>
            </w:r>
          </w:p>
        </w:tc>
        <w:tc>
          <w:tcPr>
            <w:tcW w:w="1790" w:type="dxa"/>
          </w:tcPr>
          <w:p>
            <w:pPr>
              <w:pStyle w:val="63"/>
            </w:pPr>
            <w:r>
              <w:rPr>
                <w:rFonts w:hint="eastAsia"/>
              </w:rPr>
              <w:t>可生化</w:t>
            </w:r>
          </w:p>
        </w:tc>
        <w:tc>
          <w:tcPr>
            <w:tcW w:w="1790" w:type="dxa"/>
          </w:tcPr>
          <w:p>
            <w:pPr>
              <w:pStyle w:val="63"/>
            </w:pPr>
            <w:r>
              <w:rPr>
                <w:rFonts w:hint="eastAsia"/>
              </w:rPr>
              <w:t>较难生化</w:t>
            </w:r>
          </w:p>
        </w:tc>
        <w:tc>
          <w:tcPr>
            <w:tcW w:w="1790" w:type="dxa"/>
          </w:tcPr>
          <w:p>
            <w:pPr>
              <w:pStyle w:val="63"/>
            </w:pPr>
            <w:r>
              <w:rPr>
                <w:rFonts w:hint="eastAsia"/>
              </w:rPr>
              <w:t>不宜生化</w:t>
            </w:r>
          </w:p>
        </w:tc>
      </w:tr>
    </w:tbl>
    <w:p/>
    <w:p>
      <w:pPr>
        <w:pStyle w:val="5"/>
        <w:ind w:firstLine="480"/>
      </w:pPr>
      <w:r>
        <w:rPr>
          <w:rFonts w:hint="eastAsia"/>
        </w:rPr>
        <w:t>（1）脱氮除磷</w:t>
      </w:r>
    </w:p>
    <w:p>
      <w:pPr>
        <w:pStyle w:val="5"/>
        <w:ind w:firstLine="480"/>
      </w:pPr>
      <w:r>
        <w:rPr>
          <w:rFonts w:hint="eastAsia"/>
        </w:rPr>
        <w:t>脱氮必须使氨氮在好氧环境中硝化为亚硝酸盐、硝酸盐，硝化了的污水再进入缺氧环境后，由于反硝化菌的作用，使硝酸盐还原成分子氮，而逸入大气，从而脱氮。</w:t>
      </w:r>
      <w:r>
        <w:t>BOD</w:t>
      </w:r>
      <w:r>
        <w:rPr>
          <w:vertAlign w:val="subscript"/>
        </w:rPr>
        <w:t>5</w:t>
      </w:r>
      <w:r>
        <w:t>/TN（即C/N）比值是鉴别能否采用生物脱氮的主要指标，由于硝酸盐</w:t>
      </w:r>
      <w:r>
        <w:rPr>
          <w:rFonts w:hint="eastAsia"/>
        </w:rPr>
        <w:t>还原为氮气的反硝化过程中，反硝化菌利用硝酸盐（</w:t>
      </w:r>
      <w:r>
        <w:t>NO</w:t>
      </w:r>
      <w:r>
        <w:rPr>
          <w:vertAlign w:val="subscript"/>
        </w:rPr>
        <w:t>3</w:t>
      </w:r>
      <w:r>
        <w:rPr>
          <w:vertAlign w:val="superscript"/>
        </w:rPr>
        <w:t>−</w:t>
      </w:r>
      <w:r>
        <w:t>）作为电子受体，而</w:t>
      </w:r>
      <w:r>
        <w:rPr>
          <w:rFonts w:hint="eastAsia"/>
        </w:rPr>
        <w:t>以污水中的有机物作为碳源提供能量并使之氧化稳定，在不投加外来碳源条件下，污水中必须有足够的有机物（碳源），才能保证反硝化的顺利进行，从理论上讲，</w:t>
      </w:r>
      <w:r>
        <w:t>C/N≥2.86 就能进行脱氮，但一般认为，C/N≥3.5 才能进行有效脱氮，BOD</w:t>
      </w:r>
      <w:r>
        <w:rPr>
          <w:vertAlign w:val="subscript"/>
        </w:rPr>
        <w:t>5</w:t>
      </w:r>
      <w:r>
        <w:t>/TN</w:t>
      </w:r>
      <w:r>
        <w:rPr>
          <w:rFonts w:hint="eastAsia"/>
        </w:rPr>
        <w:t>＞</w:t>
      </w:r>
      <w:r>
        <w:t>4，即可认为污水有足够的碳源提供反硝化菌利用，</w:t>
      </w:r>
      <w:r>
        <w:rPr>
          <w:rFonts w:hint="eastAsia"/>
        </w:rPr>
        <w:t>项目</w:t>
      </w:r>
      <w:r>
        <w:t>设计生物池进水TN</w:t>
      </w:r>
      <w:r>
        <w:rPr>
          <w:rFonts w:hint="eastAsia"/>
        </w:rPr>
        <w:t>为≤</w:t>
      </w:r>
      <w:r>
        <w:t>45mg/L，进水BOD</w:t>
      </w:r>
      <w:r>
        <w:rPr>
          <w:vertAlign w:val="subscript"/>
        </w:rPr>
        <w:t>5</w:t>
      </w:r>
      <w:r>
        <w:t>≤300mg/L，BOD</w:t>
      </w:r>
      <w:r>
        <w:rPr>
          <w:vertAlign w:val="subscript"/>
        </w:rPr>
        <w:t>5</w:t>
      </w:r>
      <w:r>
        <w:t>/TN=6.6，可进行生物脱氮设计</w:t>
      </w:r>
      <w:r>
        <w:rPr>
          <w:rFonts w:hint="eastAsia"/>
        </w:rPr>
        <w:t>。</w:t>
      </w:r>
    </w:p>
    <w:p>
      <w:pPr>
        <w:pStyle w:val="5"/>
        <w:ind w:firstLine="480"/>
      </w:pPr>
      <w:r>
        <w:rPr>
          <w:rFonts w:hint="eastAsia"/>
        </w:rPr>
        <w:t>聚磷菌在好氧段对磷的吸收，取决于在厌氧段对磷的释放，而磷的释放取决于污水中存在的可快速降解的有机物的含量。一般来说，这种有机物与磷的比值越大，除磷效果越好。据资料介绍在厌氧段释放磷的前提条件，是在厌氧段生物体，易生物降解的</w:t>
      </w:r>
      <w:r>
        <w:t>COD 浓度必须大于25mg/L。而易生物降解COD 的浓度仅占COD 总量的20%左右，25mg/L 易生物降解的COD 浓度相当于总COD125mg/L</w:t>
      </w:r>
      <w:r>
        <w:rPr>
          <w:rFonts w:hint="eastAsia"/>
        </w:rPr>
        <w:t>左右。</w:t>
      </w:r>
      <w:r>
        <w:t>BOD</w:t>
      </w:r>
      <w:r>
        <w:rPr>
          <w:vertAlign w:val="subscript"/>
        </w:rPr>
        <w:t>5</w:t>
      </w:r>
      <w:r>
        <w:t>/TP 比值是鉴别能否采用生物除磷的主要指标，一般认为，较高的BOD</w:t>
      </w:r>
      <w:r>
        <w:rPr>
          <w:vertAlign w:val="subscript"/>
        </w:rPr>
        <w:t>5</w:t>
      </w:r>
      <w:r>
        <w:rPr>
          <w:rFonts w:hint="eastAsia"/>
        </w:rPr>
        <w:t>负荷可以取得较好的除磷效果，进行生物除磷的</w:t>
      </w:r>
      <w:r>
        <w:t>BOD</w:t>
      </w:r>
      <w:r>
        <w:rPr>
          <w:vertAlign w:val="subscript"/>
        </w:rPr>
        <w:t>5</w:t>
      </w:r>
      <w:r>
        <w:t>/TP＞17，有机基质不同</w:t>
      </w:r>
      <w:r>
        <w:rPr>
          <w:rFonts w:hint="eastAsia"/>
        </w:rPr>
        <w:t>对除磷也有影响。一般低分子易降解的有机物诱导磷释放的能力较强，高分子难降解的有机物诱导磷释放的能力较弱。而磷释放得越充分，其摄取量也就越大，本工程设计生物池进水</w:t>
      </w:r>
      <w:r>
        <w:t>TP 为≤3.0mg/L，进水BOD</w:t>
      </w:r>
      <w:r>
        <w:rPr>
          <w:vertAlign w:val="subscript"/>
        </w:rPr>
        <w:t>5</w:t>
      </w:r>
      <w:r>
        <w:t>≤300mg/L，BOD</w:t>
      </w:r>
      <w:r>
        <w:rPr>
          <w:vertAlign w:val="subscript"/>
        </w:rPr>
        <w:t>5</w:t>
      </w:r>
      <w:r>
        <w:t>/TP＞100，</w:t>
      </w:r>
      <w:r>
        <w:rPr>
          <w:rFonts w:hint="eastAsia"/>
        </w:rPr>
        <w:t>可以采用生物除磷。本项目采用生物除磷、脱氮的工艺。</w:t>
      </w:r>
    </w:p>
    <w:p>
      <w:pPr>
        <w:pStyle w:val="5"/>
        <w:ind w:firstLine="480"/>
      </w:pPr>
      <w:r>
        <w:rPr>
          <w:rFonts w:hint="eastAsia"/>
        </w:rPr>
        <w:t>（2）SS去除</w:t>
      </w:r>
    </w:p>
    <w:p>
      <w:pPr>
        <w:pStyle w:val="5"/>
        <w:ind w:firstLine="480"/>
      </w:pPr>
      <w:r>
        <w:rPr>
          <w:rFonts w:hint="eastAsia"/>
        </w:rPr>
        <w:t>原水中的漂浮物、杂质、大颗粒及小颗粒分别通过粗格栅、细格栅拦截下来，微小的砂砾在可经沉砂池沉淀下来，充分降低了生物处理的固体负荷。小直径的有机颗粒靠微生物的降解作用去除，而小直径的无机颗粒（包括尺度大小在胶体和亚胶体范围内的无机颗粒）则要靠活性污泥絮体的吸附、网络作用，与活性污泥絮体同时沉淀被去除。污水厂出水中悬浮物浓度不仅涉及到出水</w:t>
      </w:r>
      <w:r>
        <w:t>SS 指标，出水中的BOD</w:t>
      </w:r>
      <w:r>
        <w:rPr>
          <w:vertAlign w:val="subscript"/>
        </w:rPr>
        <w:t>5</w:t>
      </w:r>
      <w:r>
        <w:t>、COD</w:t>
      </w:r>
      <w:r>
        <w:rPr>
          <w:vertAlign w:val="subscript"/>
        </w:rPr>
        <w:t>Cr</w:t>
      </w:r>
      <w:r>
        <w:t>、TP 等指标也与之有关。因为组成出水悬浮物的主要成分是活性污泥絮体，其本</w:t>
      </w:r>
      <w:r>
        <w:rPr>
          <w:rFonts w:hint="eastAsia"/>
        </w:rPr>
        <w:t>身的有机成份就高，而有机物本身就含磷，因此较高的出水悬浮物含量会使得出水的</w:t>
      </w:r>
      <w:r>
        <w:t>BOD</w:t>
      </w:r>
      <w:r>
        <w:rPr>
          <w:vertAlign w:val="subscript"/>
        </w:rPr>
        <w:t>5</w:t>
      </w:r>
      <w:r>
        <w:t>、COD</w:t>
      </w:r>
      <w:r>
        <w:rPr>
          <w:vertAlign w:val="subscript"/>
        </w:rPr>
        <w:t xml:space="preserve">Cr </w:t>
      </w:r>
      <w:r>
        <w:t>和TP 增加。因此，控制污水厂出水的SS 指标是最基本的，</w:t>
      </w:r>
      <w:r>
        <w:rPr>
          <w:rFonts w:hint="eastAsia"/>
        </w:rPr>
        <w:t>也是很重要的。</w:t>
      </w:r>
    </w:p>
    <w:p>
      <w:pPr>
        <w:pStyle w:val="5"/>
        <w:ind w:firstLine="480"/>
      </w:pPr>
      <w:r>
        <w:rPr>
          <w:rFonts w:hint="eastAsia"/>
        </w:rPr>
        <w:t>深度去除</w:t>
      </w:r>
      <w:r>
        <w:t>SS 的工艺主要分两类：第一类是混凝工艺，向水中投加混凝剂通</w:t>
      </w:r>
      <w:r>
        <w:rPr>
          <w:rFonts w:hint="eastAsia"/>
        </w:rPr>
        <w:t>过混合设备快速混合，使药剂均匀分散在污水中，然后慢速混合形成大的可沉絮体。胶体颗粒脱稳碰撞形成微粒的过程称为“凝聚”，微粒在外力扰动下相互碰撞、聚集而形成较大絮体的过程称为“絮凝”，混合、凝聚、絮凝合起来称为混凝，是化学处理的重要环节。由于污水中生物絮粒的存在，并且这种微粒之间及与药剂相互亲和力强，因而投加药剂后，絮凝过程可在较短的时间内完成。第二类是深度过滤工艺，主要原理是通过大小孔径的滤料或滤布深层截污。仅靠二级生化处理去除</w:t>
      </w:r>
      <w:r>
        <w:t>SS 是不够的，增加深度处理</w:t>
      </w:r>
      <w:r>
        <w:rPr>
          <w:rFonts w:hint="eastAsia"/>
        </w:rPr>
        <w:t>工艺来保证出水达标。</w:t>
      </w:r>
    </w:p>
    <w:p>
      <w:pPr>
        <w:pStyle w:val="5"/>
        <w:ind w:firstLine="480"/>
      </w:pPr>
      <w:r>
        <w:rPr>
          <w:rFonts w:hint="eastAsia"/>
        </w:rPr>
        <w:t>（3）</w:t>
      </w:r>
      <w:r>
        <w:t>COD</w:t>
      </w:r>
      <w:r>
        <w:rPr>
          <w:vertAlign w:val="subscript"/>
        </w:rPr>
        <w:t>Cr</w:t>
      </w:r>
      <w:r>
        <w:rPr>
          <w:rFonts w:hint="eastAsia"/>
        </w:rPr>
        <w:t>、</w:t>
      </w:r>
      <w:r>
        <w:t>BOD</w:t>
      </w:r>
      <w:r>
        <w:rPr>
          <w:vertAlign w:val="subscript"/>
        </w:rPr>
        <w:t>5</w:t>
      </w:r>
      <w:r>
        <w:t xml:space="preserve"> </w:t>
      </w:r>
      <w:r>
        <w:rPr>
          <w:rFonts w:hint="eastAsia"/>
        </w:rPr>
        <w:t>的去除</w:t>
      </w:r>
    </w:p>
    <w:p>
      <w:pPr>
        <w:pStyle w:val="5"/>
        <w:ind w:firstLine="480"/>
      </w:pPr>
      <w:r>
        <w:rPr>
          <w:rFonts w:hint="eastAsia"/>
        </w:rPr>
        <w:t>在二级生化处理工艺中，</w:t>
      </w:r>
      <w:r>
        <w:t>BOD</w:t>
      </w:r>
      <w:r>
        <w:rPr>
          <w:vertAlign w:val="subscript"/>
        </w:rPr>
        <w:t>5</w:t>
      </w:r>
      <w:r>
        <w:t xml:space="preserve"> </w:t>
      </w:r>
      <w:r>
        <w:rPr>
          <w:rFonts w:hint="eastAsia"/>
        </w:rPr>
        <w:t>的去除是靠微生物的吸附作用和代谢作用，然后通过泥水分离来完成的。活性污泥中的微生物在有氧条件下将污水中的一部分有机物用于合成新的细胞，将另一部分有机物进行分解代谢以便获得细胞合成所需的能量，其最终产物是</w:t>
      </w:r>
      <w:r>
        <w:t>CO</w:t>
      </w:r>
      <w:r>
        <w:rPr>
          <w:vertAlign w:val="subscript"/>
        </w:rPr>
        <w:t xml:space="preserve">2 </w:t>
      </w:r>
      <w:r>
        <w:rPr>
          <w:rFonts w:hint="eastAsia"/>
        </w:rPr>
        <w:t>和</w:t>
      </w:r>
      <w:r>
        <w:t>H</w:t>
      </w:r>
      <w:r>
        <w:rPr>
          <w:vertAlign w:val="subscript"/>
        </w:rPr>
        <w:t>2</w:t>
      </w:r>
      <w:r>
        <w:t xml:space="preserve">O </w:t>
      </w:r>
      <w:r>
        <w:rPr>
          <w:rFonts w:hint="eastAsia"/>
        </w:rPr>
        <w:t>等稳定物质，其实质是将液相的有机污染物质转化为固相物质，表现为活性污泥量的增长。</w:t>
      </w:r>
    </w:p>
    <w:p>
      <w:pPr>
        <w:pStyle w:val="5"/>
        <w:ind w:firstLine="480"/>
      </w:pPr>
      <w:r>
        <w:t>COD</w:t>
      </w:r>
      <w:r>
        <w:rPr>
          <w:vertAlign w:val="subscript"/>
        </w:rPr>
        <w:t>Cr</w:t>
      </w:r>
      <w:r>
        <w:rPr>
          <w:rFonts w:hint="eastAsia"/>
        </w:rPr>
        <w:t>去除的原理与</w:t>
      </w:r>
      <w:r>
        <w:t>BOD</w:t>
      </w:r>
      <w:r>
        <w:rPr>
          <w:vertAlign w:val="subscript"/>
        </w:rPr>
        <w:t>5</w:t>
      </w:r>
      <w:r>
        <w:rPr>
          <w:rFonts w:hint="eastAsia"/>
        </w:rPr>
        <w:t>基本相同。其去除率常常取决于进水的可生化性，它与污水的组成有关。进水经过强化预处理处理后，再经过水解酸化池处理提高废水可生化性，出水</w:t>
      </w:r>
      <w:r>
        <w:t>COD</w:t>
      </w:r>
      <w:r>
        <w:rPr>
          <w:vertAlign w:val="subscript"/>
        </w:rPr>
        <w:t>cr</w:t>
      </w:r>
      <w:r>
        <w:t xml:space="preserve"> </w:t>
      </w:r>
      <w:r>
        <w:rPr>
          <w:rFonts w:hint="eastAsia"/>
        </w:rPr>
        <w:t>值可以控制在较低的水平。</w:t>
      </w:r>
    </w:p>
    <w:p>
      <w:pPr>
        <w:pStyle w:val="5"/>
        <w:ind w:firstLine="480"/>
      </w:pPr>
      <w:r>
        <w:rPr>
          <w:rFonts w:hint="eastAsia"/>
        </w:rPr>
        <w:t>（4）氨氮的去除</w:t>
      </w:r>
    </w:p>
    <w:p>
      <w:pPr>
        <w:pStyle w:val="5"/>
        <w:ind w:firstLine="480"/>
      </w:pPr>
      <w:r>
        <w:rPr>
          <w:rFonts w:hint="eastAsia"/>
        </w:rPr>
        <w:t>污水去除氨氮方法主要有物理化学法和生物法两大类，在污水处理行业中生物法去除氨氮是主流，也是污水处理中经济和常用的方法。物理化学去除氮主要有折点氯化法、选择性离子交换法、空气吹脱法等；生物去除氨氮工艺较多，但原理大致是一样的。</w:t>
      </w:r>
    </w:p>
    <w:p>
      <w:pPr>
        <w:pStyle w:val="5"/>
        <w:ind w:firstLine="480"/>
      </w:pPr>
      <w:r>
        <w:rPr>
          <w:rFonts w:hint="eastAsia"/>
        </w:rPr>
        <w:t>从经济、管理等方面考虑，物理化学法去除氨氮不适宜在本工程中应用。氨氮的去除应该采用生物处理的方法。</w:t>
      </w:r>
    </w:p>
    <w:p>
      <w:pPr>
        <w:pStyle w:val="5"/>
        <w:ind w:firstLine="480"/>
      </w:pPr>
      <w:r>
        <w:rPr>
          <w:rFonts w:hint="eastAsia"/>
        </w:rPr>
        <w:t>氮是蛋白质不可缺少的组成部分，因此广泛存在于污水之中。在原污水中，氮以</w:t>
      </w:r>
      <w:r>
        <w:t>NH</w:t>
      </w:r>
      <w:r>
        <w:rPr>
          <w:vertAlign w:val="subscript"/>
        </w:rPr>
        <w:t>4</w:t>
      </w:r>
      <w:r>
        <w:rPr>
          <w:vertAlign w:val="superscript"/>
        </w:rPr>
        <w:t>+</w:t>
      </w:r>
      <w:r>
        <w:rPr>
          <w:rFonts w:hint="eastAsia" w:ascii="微软雅黑" w:hAnsi="微软雅黑" w:eastAsia="微软雅黑" w:cs="微软雅黑"/>
        </w:rPr>
        <w:t>−</w:t>
      </w:r>
      <w:r>
        <w:t xml:space="preserve">N </w:t>
      </w:r>
      <w:r>
        <w:rPr>
          <w:rFonts w:hint="eastAsia"/>
        </w:rPr>
        <w:t>及有机氮的形式存在，这两种形式的氮合在一起称之为凯氏氮，用</w:t>
      </w:r>
      <w:r>
        <w:t xml:space="preserve">TKN </w:t>
      </w:r>
      <w:r>
        <w:rPr>
          <w:rFonts w:hint="eastAsia"/>
        </w:rPr>
        <w:t>表示。而原污水中的</w:t>
      </w:r>
      <w:r>
        <w:t>NO</w:t>
      </w:r>
      <w:r>
        <w:rPr>
          <w:vertAlign w:val="subscript"/>
        </w:rPr>
        <w:t>X</w:t>
      </w:r>
      <w:r>
        <w:t>-N</w:t>
      </w:r>
      <w:r>
        <w:rPr>
          <w:rFonts w:hint="eastAsia"/>
        </w:rPr>
        <w:t>（包括亚硝酸盐和硝酸盐在内）含量很少，几乎为零。这些不同形式的氮统称为总氮（</w:t>
      </w:r>
      <w:r>
        <w:t>TN</w:t>
      </w:r>
      <w:r>
        <w:rPr>
          <w:rFonts w:hint="eastAsia"/>
        </w:rPr>
        <w:t>）。</w:t>
      </w:r>
    </w:p>
    <w:p>
      <w:pPr>
        <w:pStyle w:val="5"/>
        <w:ind w:firstLine="480"/>
      </w:pPr>
      <w:r>
        <w:rPr>
          <w:rFonts w:hint="eastAsia"/>
        </w:rPr>
        <w:t>氮也是构成微生物的元素之一，一部分进入细胞体内的氮将随剩余污泥一起从水中去除。这部分氮量约占所去除的</w:t>
      </w:r>
      <w:r>
        <w:t>BOD</w:t>
      </w:r>
      <w:r>
        <w:rPr>
          <w:vertAlign w:val="subscript"/>
        </w:rPr>
        <w:t>5</w:t>
      </w:r>
      <w:r>
        <w:t xml:space="preserve"> </w:t>
      </w:r>
      <w:r>
        <w:rPr>
          <w:rFonts w:hint="eastAsia"/>
        </w:rPr>
        <w:t>的</w:t>
      </w:r>
      <w:r>
        <w:t>5%</w:t>
      </w:r>
      <w:r>
        <w:rPr>
          <w:rFonts w:hint="eastAsia"/>
        </w:rPr>
        <w:t>，为微生物重量的</w:t>
      </w:r>
      <w:r>
        <w:t>12%</w:t>
      </w:r>
      <w:r>
        <w:rPr>
          <w:rFonts w:hint="eastAsia"/>
        </w:rPr>
        <w:t>，约占污水处理厂剩余活性污泥量的</w:t>
      </w:r>
      <w:r>
        <w:t>4%</w:t>
      </w:r>
      <w:r>
        <w:rPr>
          <w:rFonts w:hint="eastAsia"/>
        </w:rPr>
        <w:t>。在有机物被分解的同时，污水中的有机氮也被分解成氨氮，在溶解氧充足、泥龄较长的情况下，进一步被氧化成亚硝酸盐和硝酸盐，通常称之为硝化过程。其反应方程式如下：</w:t>
      </w:r>
    </w:p>
    <w:p>
      <w:pPr>
        <w:pStyle w:val="5"/>
        <w:ind w:firstLine="480"/>
      </w:pPr>
      <w:r>
        <w:t>NH</w:t>
      </w:r>
      <w:r>
        <w:rPr>
          <w:vertAlign w:val="subscript"/>
        </w:rPr>
        <w:t>4</w:t>
      </w:r>
      <w:r>
        <w:rPr>
          <w:vertAlign w:val="superscript"/>
        </w:rPr>
        <w:t>+</w:t>
      </w:r>
      <w:r>
        <w:t>+1.5O</w:t>
      </w:r>
      <w:r>
        <w:rPr>
          <w:vertAlign w:val="subscript"/>
        </w:rPr>
        <w:t>2</w:t>
      </w:r>
      <w:r>
        <w:rPr>
          <w:rFonts w:hint="eastAsia"/>
        </w:rPr>
        <w:t>→</w:t>
      </w:r>
      <w:r>
        <w:t>NO</w:t>
      </w:r>
      <w:r>
        <w:rPr>
          <w:vertAlign w:val="subscript"/>
        </w:rPr>
        <w:t>2</w:t>
      </w:r>
      <w:r>
        <w:rPr>
          <w:rFonts w:hint="eastAsia" w:ascii="微软雅黑" w:hAnsi="微软雅黑" w:eastAsia="微软雅黑" w:cs="微软雅黑"/>
          <w:vertAlign w:val="superscript"/>
        </w:rPr>
        <w:t>−</w:t>
      </w:r>
      <w:r>
        <w:t>+2H</w:t>
      </w:r>
      <w:r>
        <w:rPr>
          <w:vertAlign w:val="superscript"/>
        </w:rPr>
        <w:t>+</w:t>
      </w:r>
      <w:r>
        <w:t>+H</w:t>
      </w:r>
      <w:r>
        <w:rPr>
          <w:vertAlign w:val="subscript"/>
        </w:rPr>
        <w:t>2</w:t>
      </w:r>
      <w:r>
        <w:t>O</w:t>
      </w:r>
    </w:p>
    <w:p>
      <w:pPr>
        <w:pStyle w:val="5"/>
        <w:ind w:firstLine="480"/>
      </w:pPr>
      <w:r>
        <w:t>NO</w:t>
      </w:r>
      <w:r>
        <w:rPr>
          <w:vertAlign w:val="subscript"/>
        </w:rPr>
        <w:t>2</w:t>
      </w:r>
      <w:r>
        <w:rPr>
          <w:rFonts w:hint="eastAsia" w:ascii="微软雅黑" w:hAnsi="微软雅黑" w:eastAsia="微软雅黑" w:cs="微软雅黑"/>
          <w:vertAlign w:val="superscript"/>
        </w:rPr>
        <w:t>−</w:t>
      </w:r>
      <w:r>
        <w:t>+0.5O</w:t>
      </w:r>
      <w:r>
        <w:rPr>
          <w:vertAlign w:val="subscript"/>
        </w:rPr>
        <w:t>2</w:t>
      </w:r>
      <w:r>
        <w:rPr>
          <w:rFonts w:hint="eastAsia"/>
        </w:rPr>
        <w:t>→</w:t>
      </w:r>
      <w:r>
        <w:t>NO</w:t>
      </w:r>
      <w:r>
        <w:rPr>
          <w:vertAlign w:val="subscript"/>
        </w:rPr>
        <w:t>3</w:t>
      </w:r>
      <w:r>
        <w:rPr>
          <w:rFonts w:hint="eastAsia" w:ascii="微软雅黑" w:hAnsi="微软雅黑" w:eastAsia="微软雅黑" w:cs="微软雅黑"/>
          <w:vertAlign w:val="superscript"/>
        </w:rPr>
        <w:t>−</w:t>
      </w:r>
    </w:p>
    <w:p>
      <w:pPr>
        <w:pStyle w:val="5"/>
        <w:ind w:firstLine="480"/>
      </w:pPr>
      <w:r>
        <w:rPr>
          <w:rFonts w:hint="eastAsia"/>
        </w:rPr>
        <w:t>第一步反应靠亚硝化菌完成，第二步反应靠硝化菌完成，总的反应为：</w:t>
      </w:r>
    </w:p>
    <w:p>
      <w:pPr>
        <w:pStyle w:val="5"/>
        <w:ind w:firstLine="480"/>
      </w:pPr>
      <w:r>
        <w:t>NH</w:t>
      </w:r>
      <w:r>
        <w:rPr>
          <w:vertAlign w:val="subscript"/>
        </w:rPr>
        <w:t>4</w:t>
      </w:r>
      <w:r>
        <w:rPr>
          <w:vertAlign w:val="superscript"/>
        </w:rPr>
        <w:t>+</w:t>
      </w:r>
      <w:r>
        <w:t>+2O</w:t>
      </w:r>
      <w:r>
        <w:rPr>
          <w:vertAlign w:val="subscript"/>
        </w:rPr>
        <w:t>2</w:t>
      </w:r>
      <w:r>
        <w:rPr>
          <w:rFonts w:hint="eastAsia"/>
        </w:rPr>
        <w:t>→</w:t>
      </w:r>
      <w:r>
        <w:t>NO</w:t>
      </w:r>
      <w:r>
        <w:rPr>
          <w:vertAlign w:val="subscript"/>
        </w:rPr>
        <w:t>3</w:t>
      </w:r>
      <w:r>
        <w:rPr>
          <w:rFonts w:hint="eastAsia" w:ascii="微软雅黑" w:hAnsi="微软雅黑" w:eastAsia="微软雅黑" w:cs="微软雅黑"/>
          <w:vertAlign w:val="superscript"/>
        </w:rPr>
        <w:t>−</w:t>
      </w:r>
      <w:r>
        <w:t>+2H</w:t>
      </w:r>
      <w:r>
        <w:rPr>
          <w:vertAlign w:val="superscript"/>
        </w:rPr>
        <w:t>+</w:t>
      </w:r>
      <w:r>
        <w:t>+H</w:t>
      </w:r>
      <w:r>
        <w:rPr>
          <w:vertAlign w:val="subscript"/>
        </w:rPr>
        <w:t>2</w:t>
      </w:r>
      <w:r>
        <w:t>O</w:t>
      </w:r>
    </w:p>
    <w:p>
      <w:pPr>
        <w:pStyle w:val="5"/>
        <w:ind w:firstLine="480"/>
      </w:pPr>
      <w:r>
        <w:rPr>
          <w:rFonts w:hint="eastAsia"/>
        </w:rPr>
        <w:t>因为硝化菌属于自养菌，其比生长率μ</w:t>
      </w:r>
      <w:r>
        <w:t xml:space="preserve">N </w:t>
      </w:r>
      <w:r>
        <w:rPr>
          <w:rFonts w:hint="eastAsia"/>
        </w:rPr>
        <w:t>明显小于异养菌的生长率μ</w:t>
      </w:r>
      <w:r>
        <w:t>h</w:t>
      </w:r>
      <w:r>
        <w:rPr>
          <w:rFonts w:hint="eastAsia"/>
        </w:rPr>
        <w:t>，生物脱氮系统维持硝化的必要条件是系统的实际泥龄大于硝化要求的泥龄，也就是说在进水负荷不变的情况下，系统必须维持在较低的污泥负荷条件下运行，使得系统泥龄大于维持硝化所需的最小泥龄。根据大量的试验数据和运转实例，在本工程的水质、水量条件下，设计污泥负荷在</w:t>
      </w:r>
      <w:r>
        <w:t>0.18kgBOD</w:t>
      </w:r>
      <w:r>
        <w:rPr>
          <w:vertAlign w:val="subscript"/>
        </w:rPr>
        <w:t>5</w:t>
      </w:r>
      <w:r>
        <w:t>/kgMLSS</w:t>
      </w:r>
      <w:r>
        <w:rPr>
          <w:rFonts w:hint="eastAsia" w:ascii="MS Gothic" w:hAnsi="MS Gothic" w:eastAsia="MS Gothic" w:cs="MS Gothic"/>
        </w:rPr>
        <w:t>⋅</w:t>
      </w:r>
      <w:r>
        <w:t xml:space="preserve">d </w:t>
      </w:r>
      <w:r>
        <w:rPr>
          <w:rFonts w:hint="eastAsia"/>
        </w:rPr>
        <w:t>及以下，污泥龄大于</w:t>
      </w:r>
      <w:r>
        <w:t xml:space="preserve">5~7d </w:t>
      </w:r>
      <w:r>
        <w:rPr>
          <w:rFonts w:hint="eastAsia"/>
        </w:rPr>
        <w:t>时，就可以达到硝化的目的。</w:t>
      </w:r>
    </w:p>
    <w:p>
      <w:pPr>
        <w:pStyle w:val="5"/>
        <w:ind w:firstLine="480"/>
      </w:pPr>
      <w:r>
        <w:rPr>
          <w:rFonts w:hint="eastAsia"/>
        </w:rPr>
        <w:t>本项目进水氨氮浓度为</w:t>
      </w:r>
      <w:r>
        <w:t>30mg/L</w:t>
      </w:r>
      <w:r>
        <w:rPr>
          <w:rFonts w:hint="eastAsia"/>
        </w:rPr>
        <w:t>，要求出水氨氮浓度小于</w:t>
      </w:r>
      <w:r>
        <w:t>8</w:t>
      </w:r>
      <w:r>
        <w:rPr>
          <w:rFonts w:hint="eastAsia"/>
        </w:rPr>
        <w:t>（</w:t>
      </w:r>
      <w:r>
        <w:t>15</w:t>
      </w:r>
      <w:r>
        <w:rPr>
          <w:rFonts w:hint="eastAsia"/>
        </w:rPr>
        <w:t>）</w:t>
      </w:r>
      <w:r>
        <w:t>mg/L</w:t>
      </w:r>
      <w:r>
        <w:rPr>
          <w:rFonts w:hint="eastAsia"/>
        </w:rPr>
        <w:t>，需要采用硝化工艺才能满足出水要求。</w:t>
      </w:r>
    </w:p>
    <w:p>
      <w:pPr>
        <w:pStyle w:val="5"/>
        <w:ind w:firstLine="480"/>
      </w:pPr>
      <w:r>
        <w:rPr>
          <w:rFonts w:hint="eastAsia"/>
        </w:rPr>
        <w:t>（5）总氮的去除</w:t>
      </w:r>
    </w:p>
    <w:p>
      <w:pPr>
        <w:pStyle w:val="5"/>
        <w:ind w:firstLine="480"/>
        <w:rPr>
          <w:rFonts w:cs="Times New Roman"/>
        </w:rPr>
      </w:pPr>
      <w:r>
        <w:rPr>
          <w:rFonts w:cs="Times New Roman"/>
        </w:rPr>
        <w:t>氮是藻类生长所需的营养物质，容易引起水体的富营养化，因此，一般情况下总氮也是污水处理厂出水的控制指标之一。</w:t>
      </w:r>
    </w:p>
    <w:p>
      <w:pPr>
        <w:pStyle w:val="5"/>
        <w:ind w:firstLine="480"/>
        <w:rPr>
          <w:rFonts w:cs="Times New Roman"/>
        </w:rPr>
      </w:pPr>
      <w:r>
        <w:rPr>
          <w:rFonts w:cs="Times New Roman"/>
        </w:rPr>
        <w:t>经过好氧硝化处理后的污水，其中大部分的氨氮都被氧化成为硝酸盐（NO</w:t>
      </w:r>
      <w:r>
        <w:rPr>
          <w:rFonts w:cs="Times New Roman"/>
          <w:vertAlign w:val="subscript"/>
        </w:rPr>
        <w:t>3</w:t>
      </w:r>
      <w:r>
        <w:rPr>
          <w:rFonts w:cs="Times New Roman"/>
          <w:vertAlign w:val="superscript"/>
        </w:rPr>
        <w:t>-</w:t>
      </w:r>
      <w:r>
        <w:rPr>
          <w:rFonts w:eastAsia="微软雅黑" w:cs="Times New Roman"/>
        </w:rPr>
        <w:t>−</w:t>
      </w:r>
      <w:r>
        <w:rPr>
          <w:rFonts w:cs="Times New Roman"/>
        </w:rPr>
        <w:t>N），反硝化菌在溶解氧浓度极低或缺氧情况下可以利用硝酸盐中氧作为电子受体，氧化有机物，将硝酸盐中的氮还原成氮气（N</w:t>
      </w:r>
      <w:r>
        <w:rPr>
          <w:rFonts w:cs="Times New Roman"/>
          <w:vertAlign w:val="subscript"/>
        </w:rPr>
        <w:t>2</w:t>
      </w:r>
      <w:r>
        <w:rPr>
          <w:rFonts w:cs="Times New Roman"/>
        </w:rPr>
        <w:t>），从而完成污水的脱氮过程，通常称之为反硝化过程。其能量来源于甲醇、乙酸、甲烷或污水中的碳源，反应方程式如下：</w:t>
      </w:r>
    </w:p>
    <w:p>
      <w:pPr>
        <w:pStyle w:val="5"/>
        <w:ind w:firstLine="480"/>
        <w:rPr>
          <w:rFonts w:cs="Times New Roman"/>
        </w:rPr>
      </w:pPr>
      <w:r>
        <w:rPr>
          <w:rFonts w:cs="Times New Roman"/>
        </w:rPr>
        <w:t>6NO</w:t>
      </w:r>
      <w:r>
        <w:rPr>
          <w:rFonts w:cs="Times New Roman"/>
          <w:vertAlign w:val="subscript"/>
        </w:rPr>
        <w:t>3</w:t>
      </w:r>
      <w:r>
        <w:rPr>
          <w:rFonts w:eastAsia="微软雅黑" w:cs="Times New Roman"/>
          <w:vertAlign w:val="superscript"/>
        </w:rPr>
        <w:t>−</w:t>
      </w:r>
      <w:r>
        <w:rPr>
          <w:rFonts w:cs="Times New Roman"/>
        </w:rPr>
        <w:t>+5CH</w:t>
      </w:r>
      <w:r>
        <w:rPr>
          <w:rFonts w:cs="Times New Roman"/>
          <w:vertAlign w:val="subscript"/>
        </w:rPr>
        <w:t>3</w:t>
      </w:r>
      <w:r>
        <w:rPr>
          <w:rFonts w:cs="Times New Roman"/>
        </w:rPr>
        <w:t>OH→3N</w:t>
      </w:r>
      <w:r>
        <w:rPr>
          <w:rFonts w:cs="Times New Roman"/>
          <w:vertAlign w:val="subscript"/>
        </w:rPr>
        <w:t>2</w:t>
      </w:r>
      <w:r>
        <w:rPr>
          <w:rFonts w:cs="Times New Roman"/>
        </w:rPr>
        <w:t>+5CO</w:t>
      </w:r>
      <w:r>
        <w:rPr>
          <w:rFonts w:cs="Times New Roman"/>
          <w:vertAlign w:val="subscript"/>
        </w:rPr>
        <w:t>2</w:t>
      </w:r>
      <w:r>
        <w:rPr>
          <w:rFonts w:cs="Times New Roman"/>
        </w:rPr>
        <w:t>+7H</w:t>
      </w:r>
      <w:r>
        <w:rPr>
          <w:rFonts w:cs="Times New Roman"/>
          <w:vertAlign w:val="subscript"/>
        </w:rPr>
        <w:t>2</w:t>
      </w:r>
      <w:r>
        <w:rPr>
          <w:rFonts w:cs="Times New Roman"/>
        </w:rPr>
        <w:t>O+6OH</w:t>
      </w:r>
      <w:r>
        <w:rPr>
          <w:rFonts w:eastAsia="微软雅黑" w:cs="Times New Roman"/>
          <w:vertAlign w:val="superscript"/>
        </w:rPr>
        <w:t>−</w:t>
      </w:r>
    </w:p>
    <w:p>
      <w:pPr>
        <w:pStyle w:val="5"/>
        <w:ind w:firstLine="480"/>
        <w:rPr>
          <w:rFonts w:cs="Times New Roman"/>
        </w:rPr>
      </w:pPr>
      <w:r>
        <w:rPr>
          <w:rFonts w:cs="Times New Roman"/>
        </w:rPr>
        <w:t>8NO</w:t>
      </w:r>
      <w:r>
        <w:rPr>
          <w:rFonts w:cs="Times New Roman"/>
          <w:vertAlign w:val="subscript"/>
        </w:rPr>
        <w:t>3</w:t>
      </w:r>
      <w:r>
        <w:rPr>
          <w:rFonts w:eastAsia="微软雅黑" w:cs="Times New Roman"/>
          <w:vertAlign w:val="superscript"/>
        </w:rPr>
        <w:t>−</w:t>
      </w:r>
      <w:r>
        <w:rPr>
          <w:rFonts w:cs="Times New Roman"/>
        </w:rPr>
        <w:t>+5CH</w:t>
      </w:r>
      <w:r>
        <w:rPr>
          <w:rFonts w:cs="Times New Roman"/>
          <w:vertAlign w:val="subscript"/>
        </w:rPr>
        <w:t>3</w:t>
      </w:r>
      <w:r>
        <w:rPr>
          <w:rFonts w:cs="Times New Roman"/>
        </w:rPr>
        <w:t>COOH→4N</w:t>
      </w:r>
      <w:r>
        <w:rPr>
          <w:rFonts w:cs="Times New Roman"/>
          <w:vertAlign w:val="subscript"/>
        </w:rPr>
        <w:t>2</w:t>
      </w:r>
      <w:r>
        <w:rPr>
          <w:rFonts w:cs="Times New Roman"/>
        </w:rPr>
        <w:t>+10CO</w:t>
      </w:r>
      <w:r>
        <w:rPr>
          <w:rFonts w:cs="Times New Roman"/>
          <w:vertAlign w:val="subscript"/>
        </w:rPr>
        <w:t>2</w:t>
      </w:r>
      <w:r>
        <w:rPr>
          <w:rFonts w:cs="Times New Roman"/>
        </w:rPr>
        <w:t>+6H</w:t>
      </w:r>
      <w:r>
        <w:rPr>
          <w:rFonts w:cs="Times New Roman"/>
          <w:vertAlign w:val="subscript"/>
        </w:rPr>
        <w:t>2</w:t>
      </w:r>
      <w:r>
        <w:rPr>
          <w:rFonts w:cs="Times New Roman"/>
        </w:rPr>
        <w:t>O+8OH</w:t>
      </w:r>
      <w:r>
        <w:rPr>
          <w:rFonts w:eastAsia="微软雅黑" w:cs="Times New Roman"/>
          <w:vertAlign w:val="superscript"/>
        </w:rPr>
        <w:t>−</w:t>
      </w:r>
    </w:p>
    <w:p>
      <w:pPr>
        <w:pStyle w:val="5"/>
        <w:ind w:firstLine="480"/>
        <w:rPr>
          <w:rFonts w:cs="Times New Roman"/>
        </w:rPr>
      </w:pPr>
      <w:r>
        <w:rPr>
          <w:rFonts w:cs="Times New Roman"/>
        </w:rPr>
        <w:t>8NO</w:t>
      </w:r>
      <w:r>
        <w:rPr>
          <w:rFonts w:cs="Times New Roman"/>
          <w:vertAlign w:val="subscript"/>
        </w:rPr>
        <w:t>3</w:t>
      </w:r>
      <w:r>
        <w:rPr>
          <w:rFonts w:eastAsia="微软雅黑" w:cs="Times New Roman"/>
          <w:vertAlign w:val="superscript"/>
        </w:rPr>
        <w:t>−</w:t>
      </w:r>
      <w:r>
        <w:rPr>
          <w:rFonts w:cs="Times New Roman"/>
        </w:rPr>
        <w:t>+5CH</w:t>
      </w:r>
      <w:r>
        <w:rPr>
          <w:rFonts w:cs="Times New Roman"/>
          <w:vertAlign w:val="subscript"/>
        </w:rPr>
        <w:t>4</w:t>
      </w:r>
      <w:r>
        <w:rPr>
          <w:rFonts w:cs="Times New Roman"/>
        </w:rPr>
        <w:t>→4N</w:t>
      </w:r>
      <w:r>
        <w:rPr>
          <w:rFonts w:cs="Times New Roman"/>
          <w:vertAlign w:val="subscript"/>
        </w:rPr>
        <w:t>2</w:t>
      </w:r>
      <w:r>
        <w:rPr>
          <w:rFonts w:cs="Times New Roman"/>
        </w:rPr>
        <w:t>+5CO</w:t>
      </w:r>
      <w:r>
        <w:rPr>
          <w:rFonts w:cs="Times New Roman"/>
          <w:vertAlign w:val="subscript"/>
        </w:rPr>
        <w:t>2</w:t>
      </w:r>
      <w:r>
        <w:rPr>
          <w:rFonts w:cs="Times New Roman"/>
        </w:rPr>
        <w:t>+6H</w:t>
      </w:r>
      <w:r>
        <w:rPr>
          <w:rFonts w:cs="Times New Roman"/>
          <w:vertAlign w:val="subscript"/>
        </w:rPr>
        <w:t>2</w:t>
      </w:r>
      <w:r>
        <w:rPr>
          <w:rFonts w:cs="Times New Roman"/>
        </w:rPr>
        <w:t>O+8OH</w:t>
      </w:r>
      <w:r>
        <w:rPr>
          <w:rFonts w:eastAsia="微软雅黑" w:cs="Times New Roman"/>
          <w:vertAlign w:val="superscript"/>
        </w:rPr>
        <w:t>−</w:t>
      </w:r>
    </w:p>
    <w:p>
      <w:pPr>
        <w:pStyle w:val="5"/>
        <w:ind w:firstLine="480"/>
        <w:rPr>
          <w:rFonts w:cs="Times New Roman"/>
        </w:rPr>
      </w:pPr>
      <w:r>
        <w:rPr>
          <w:rFonts w:cs="Times New Roman"/>
        </w:rPr>
        <w:t>10NO</w:t>
      </w:r>
      <w:r>
        <w:rPr>
          <w:rFonts w:cs="Times New Roman"/>
          <w:vertAlign w:val="subscript"/>
        </w:rPr>
        <w:t>3</w:t>
      </w:r>
      <w:r>
        <w:rPr>
          <w:rFonts w:eastAsia="微软雅黑" w:cs="Times New Roman"/>
          <w:vertAlign w:val="superscript"/>
        </w:rPr>
        <w:t>−</w:t>
      </w:r>
      <w:r>
        <w:rPr>
          <w:rFonts w:cs="Times New Roman"/>
        </w:rPr>
        <w:t>+C</w:t>
      </w:r>
      <w:r>
        <w:rPr>
          <w:rFonts w:cs="Times New Roman"/>
          <w:vertAlign w:val="subscript"/>
        </w:rPr>
        <w:t>10</w:t>
      </w:r>
      <w:r>
        <w:rPr>
          <w:rFonts w:cs="Times New Roman"/>
        </w:rPr>
        <w:t>H</w:t>
      </w:r>
      <w:r>
        <w:rPr>
          <w:rFonts w:cs="Times New Roman"/>
          <w:vertAlign w:val="subscript"/>
        </w:rPr>
        <w:t>19</w:t>
      </w:r>
      <w:r>
        <w:rPr>
          <w:rFonts w:cs="Times New Roman"/>
        </w:rPr>
        <w:t>O</w:t>
      </w:r>
      <w:r>
        <w:rPr>
          <w:rFonts w:cs="Times New Roman"/>
          <w:vertAlign w:val="subscript"/>
        </w:rPr>
        <w:t>3</w:t>
      </w:r>
      <w:r>
        <w:rPr>
          <w:rFonts w:cs="Times New Roman"/>
        </w:rPr>
        <w:t>N→5N</w:t>
      </w:r>
      <w:r>
        <w:rPr>
          <w:rFonts w:cs="Times New Roman"/>
          <w:vertAlign w:val="subscript"/>
        </w:rPr>
        <w:t>2</w:t>
      </w:r>
      <w:r>
        <w:rPr>
          <w:rFonts w:cs="Times New Roman"/>
        </w:rPr>
        <w:t>+10CO</w:t>
      </w:r>
      <w:r>
        <w:rPr>
          <w:rFonts w:cs="Times New Roman"/>
          <w:vertAlign w:val="subscript"/>
        </w:rPr>
        <w:t>2</w:t>
      </w:r>
      <w:r>
        <w:rPr>
          <w:rFonts w:cs="Times New Roman"/>
        </w:rPr>
        <w:t>+3H</w:t>
      </w:r>
      <w:r>
        <w:rPr>
          <w:rFonts w:cs="Times New Roman"/>
          <w:vertAlign w:val="subscript"/>
        </w:rPr>
        <w:t>2</w:t>
      </w:r>
      <w:r>
        <w:rPr>
          <w:rFonts w:cs="Times New Roman"/>
        </w:rPr>
        <w:t>O+NH</w:t>
      </w:r>
      <w:r>
        <w:rPr>
          <w:rFonts w:cs="Times New Roman"/>
          <w:vertAlign w:val="subscript"/>
        </w:rPr>
        <w:t>3</w:t>
      </w:r>
      <w:r>
        <w:rPr>
          <w:rFonts w:cs="Times New Roman"/>
        </w:rPr>
        <w:t>+10OH</w:t>
      </w:r>
      <w:r>
        <w:rPr>
          <w:rFonts w:eastAsia="微软雅黑" w:cs="Times New Roman"/>
          <w:vertAlign w:val="superscript"/>
        </w:rPr>
        <w:t>−</w:t>
      </w:r>
    </w:p>
    <w:p>
      <w:pPr>
        <w:pStyle w:val="5"/>
        <w:ind w:firstLine="480"/>
        <w:rPr>
          <w:rFonts w:cs="Times New Roman"/>
        </w:rPr>
      </w:pPr>
      <w:r>
        <w:rPr>
          <w:rFonts w:cs="Times New Roman"/>
        </w:rPr>
        <w:t>在反硝化过程氢氧根离子与水中的二氧化碳反应生成碳酸氢根离子：</w:t>
      </w:r>
    </w:p>
    <w:p>
      <w:pPr>
        <w:pStyle w:val="5"/>
        <w:ind w:firstLine="480"/>
        <w:rPr>
          <w:rFonts w:cs="Times New Roman"/>
        </w:rPr>
      </w:pPr>
      <w:r>
        <w:rPr>
          <w:rFonts w:cs="Times New Roman"/>
        </w:rPr>
        <w:t>OH</w:t>
      </w:r>
      <w:r>
        <w:rPr>
          <w:rFonts w:eastAsia="微软雅黑" w:cs="Times New Roman"/>
          <w:vertAlign w:val="superscript"/>
        </w:rPr>
        <w:t>−</w:t>
      </w:r>
      <w:r>
        <w:rPr>
          <w:rFonts w:cs="Times New Roman"/>
        </w:rPr>
        <w:t>+CO</w:t>
      </w:r>
      <w:r>
        <w:rPr>
          <w:rFonts w:cs="Times New Roman"/>
          <w:vertAlign w:val="subscript"/>
        </w:rPr>
        <w:t>2</w:t>
      </w:r>
      <w:r>
        <w:rPr>
          <w:rFonts w:cs="Times New Roman"/>
        </w:rPr>
        <w:t>→HCO</w:t>
      </w:r>
      <w:r>
        <w:rPr>
          <w:rFonts w:cs="Times New Roman"/>
          <w:vertAlign w:val="subscript"/>
        </w:rPr>
        <w:t>3</w:t>
      </w:r>
      <w:r>
        <w:rPr>
          <w:rFonts w:eastAsia="微软雅黑" w:cs="Times New Roman"/>
          <w:vertAlign w:val="superscript"/>
        </w:rPr>
        <w:t>−</w:t>
      </w:r>
    </w:p>
    <w:p>
      <w:pPr>
        <w:pStyle w:val="5"/>
        <w:ind w:firstLine="480"/>
      </w:pPr>
      <w:r>
        <w:rPr>
          <w:rFonts w:hint="eastAsia"/>
        </w:rPr>
        <w:t>从上述硝化和反硝化过程反应方程式可以看出：</w:t>
      </w:r>
    </w:p>
    <w:p>
      <w:pPr>
        <w:pStyle w:val="5"/>
        <w:ind w:firstLine="480"/>
        <w:rPr>
          <w:rFonts w:cs="Times New Roman"/>
        </w:rPr>
      </w:pPr>
      <w:r>
        <w:rPr>
          <w:rFonts w:hint="eastAsia" w:ascii="宋体" w:hAnsi="宋体" w:cs="宋体"/>
        </w:rPr>
        <w:t>①</w:t>
      </w:r>
      <w:r>
        <w:rPr>
          <w:rFonts w:cs="Times New Roman"/>
        </w:rPr>
        <w:t xml:space="preserve"> 在硝酸盐还原为氮气的反硝化过程中，反硝化菌利用硝酸盐（NO</w:t>
      </w:r>
      <w:r>
        <w:rPr>
          <w:rFonts w:cs="Times New Roman"/>
          <w:vertAlign w:val="subscript"/>
        </w:rPr>
        <w:t>3</w:t>
      </w:r>
      <w:r>
        <w:rPr>
          <w:rFonts w:eastAsia="微软雅黑" w:cs="Times New Roman"/>
          <w:vertAlign w:val="superscript"/>
        </w:rPr>
        <w:t>−</w:t>
      </w:r>
      <w:r>
        <w:rPr>
          <w:rFonts w:cs="Times New Roman"/>
        </w:rPr>
        <w:t>）作为电子受体，而以污水中的有机物作为碳源提供能量并使之氧化稳定。每转化</w:t>
      </w:r>
      <w:r>
        <w:t>1kgNO</w:t>
      </w:r>
      <w:r>
        <w:rPr>
          <w:vertAlign w:val="subscript"/>
        </w:rPr>
        <w:t>3</w:t>
      </w:r>
      <w:r>
        <w:rPr>
          <w:rFonts w:hint="eastAsia" w:ascii="微软雅黑" w:hAnsi="微软雅黑" w:eastAsia="微软雅黑" w:cs="微软雅黑"/>
          <w:vertAlign w:val="superscript"/>
        </w:rPr>
        <w:t>−</w:t>
      </w:r>
      <w:r>
        <w:rPr>
          <w:rFonts w:hint="eastAsia" w:ascii="微软雅黑" w:hAnsi="微软雅黑" w:eastAsia="微软雅黑" w:cs="微软雅黑"/>
        </w:rPr>
        <w:t>−</w:t>
      </w:r>
      <w:r>
        <w:t xml:space="preserve">N </w:t>
      </w:r>
      <w:r>
        <w:rPr>
          <w:rFonts w:hint="eastAsia"/>
        </w:rPr>
        <w:t>为</w:t>
      </w:r>
      <w:r>
        <w:t>N</w:t>
      </w:r>
      <w:r>
        <w:rPr>
          <w:vertAlign w:val="subscript"/>
        </w:rPr>
        <w:t>2</w:t>
      </w:r>
      <w:r>
        <w:t xml:space="preserve"> </w:t>
      </w:r>
      <w:r>
        <w:rPr>
          <w:rFonts w:hint="eastAsia"/>
        </w:rPr>
        <w:t>时，需要消耗有机物（以</w:t>
      </w:r>
      <w:r>
        <w:t>BOD</w:t>
      </w:r>
      <w:r>
        <w:rPr>
          <w:vertAlign w:val="subscript"/>
        </w:rPr>
        <w:t>5</w:t>
      </w:r>
      <w:r>
        <w:t xml:space="preserve"> </w:t>
      </w:r>
      <w:r>
        <w:rPr>
          <w:rFonts w:hint="eastAsia"/>
        </w:rPr>
        <w:t>计）</w:t>
      </w:r>
      <w:r>
        <w:t>2.86kg</w:t>
      </w:r>
      <w:r>
        <w:rPr>
          <w:rFonts w:hint="eastAsia"/>
        </w:rPr>
        <w:t>，即反硝化</w:t>
      </w:r>
      <w:r>
        <w:t xml:space="preserve">1kg </w:t>
      </w:r>
      <w:r>
        <w:rPr>
          <w:rFonts w:hint="eastAsia"/>
        </w:rPr>
        <w:t>硝酸盐可以回收</w:t>
      </w:r>
      <w:r>
        <w:t xml:space="preserve">2.86kg </w:t>
      </w:r>
      <w:r>
        <w:rPr>
          <w:rFonts w:hint="eastAsia"/>
        </w:rPr>
        <w:t>氧。</w:t>
      </w:r>
    </w:p>
    <w:p>
      <w:pPr>
        <w:pStyle w:val="5"/>
        <w:ind w:firstLine="480"/>
      </w:pPr>
      <w:r>
        <w:rPr>
          <w:rFonts w:hint="eastAsia"/>
        </w:rPr>
        <w:t>②</w:t>
      </w:r>
      <w:r>
        <w:t xml:space="preserve"> </w:t>
      </w:r>
      <w:r>
        <w:rPr>
          <w:rFonts w:hint="eastAsia"/>
        </w:rPr>
        <w:t>硝化过程有</w:t>
      </w:r>
      <w:r>
        <w:t>H</w:t>
      </w:r>
      <w:r>
        <w:rPr>
          <w:vertAlign w:val="superscript"/>
        </w:rPr>
        <w:t>+</w:t>
      </w:r>
      <w:r>
        <w:rPr>
          <w:rFonts w:hint="eastAsia"/>
        </w:rPr>
        <w:t>产生，要消耗水中碱度，当碱度不够时，污水的</w:t>
      </w:r>
      <w:r>
        <w:t xml:space="preserve">pH </w:t>
      </w:r>
      <w:r>
        <w:rPr>
          <w:rFonts w:hint="eastAsia"/>
        </w:rPr>
        <w:t>值将下降至维持硝化反应正常进行所需的</w:t>
      </w:r>
      <w:r>
        <w:t xml:space="preserve">pH </w:t>
      </w:r>
      <w:r>
        <w:rPr>
          <w:rFonts w:hint="eastAsia"/>
        </w:rPr>
        <w:t>值之下，从而使硝化反应不能正常进行。每氧化</w:t>
      </w:r>
      <w:r>
        <w:t>1kgNH</w:t>
      </w:r>
      <w:r>
        <w:rPr>
          <w:vertAlign w:val="subscript"/>
        </w:rPr>
        <w:t>4</w:t>
      </w:r>
      <w:r>
        <w:rPr>
          <w:vertAlign w:val="superscript"/>
        </w:rPr>
        <w:t>+</w:t>
      </w:r>
      <w:r>
        <w:rPr>
          <w:rFonts w:hint="eastAsia" w:ascii="微软雅黑" w:hAnsi="微软雅黑" w:eastAsia="微软雅黑" w:cs="微软雅黑"/>
        </w:rPr>
        <w:t>−</w:t>
      </w:r>
      <w:r>
        <w:t xml:space="preserve">N </w:t>
      </w:r>
      <w:r>
        <w:rPr>
          <w:rFonts w:hint="eastAsia"/>
        </w:rPr>
        <w:t>为</w:t>
      </w:r>
      <w:r>
        <w:t>NO</w:t>
      </w:r>
      <w:r>
        <w:rPr>
          <w:vertAlign w:val="subscript"/>
        </w:rPr>
        <w:t>3</w:t>
      </w:r>
      <w:r>
        <w:rPr>
          <w:rFonts w:hint="eastAsia" w:ascii="微软雅黑" w:hAnsi="微软雅黑" w:eastAsia="微软雅黑" w:cs="微软雅黑"/>
          <w:vertAlign w:val="superscript"/>
        </w:rPr>
        <w:t>−</w:t>
      </w:r>
      <w:r>
        <w:rPr>
          <w:rFonts w:hint="eastAsia" w:ascii="微软雅黑" w:hAnsi="微软雅黑" w:eastAsia="微软雅黑" w:cs="微软雅黑"/>
        </w:rPr>
        <w:t>−</w:t>
      </w:r>
      <w:r>
        <w:t xml:space="preserve">N </w:t>
      </w:r>
      <w:r>
        <w:rPr>
          <w:rFonts w:hint="eastAsia"/>
        </w:rPr>
        <w:t>时要消耗碱度</w:t>
      </w:r>
      <w:r>
        <w:t>7.14kg</w:t>
      </w:r>
      <w:r>
        <w:rPr>
          <w:rFonts w:hint="eastAsia"/>
        </w:rPr>
        <w:t>。而反硝化反应则伴随有</w:t>
      </w:r>
      <w:r>
        <w:t>OH</w:t>
      </w:r>
      <w:r>
        <w:rPr>
          <w:rFonts w:hint="eastAsia" w:ascii="微软雅黑" w:hAnsi="微软雅黑" w:eastAsia="微软雅黑" w:cs="微软雅黑"/>
          <w:vertAlign w:val="superscript"/>
        </w:rPr>
        <w:t>−</w:t>
      </w:r>
      <w:r>
        <w:rPr>
          <w:rFonts w:hint="eastAsia"/>
        </w:rPr>
        <w:t>产生，每转化</w:t>
      </w:r>
      <w:r>
        <w:t>1kgNO</w:t>
      </w:r>
      <w:r>
        <w:rPr>
          <w:vertAlign w:val="subscript"/>
        </w:rPr>
        <w:t>3</w:t>
      </w:r>
      <w:r>
        <w:rPr>
          <w:rFonts w:hint="eastAsia" w:ascii="微软雅黑" w:hAnsi="微软雅黑" w:eastAsia="微软雅黑" w:cs="微软雅黑"/>
          <w:vertAlign w:val="superscript"/>
        </w:rPr>
        <w:t>−</w:t>
      </w:r>
      <w:r>
        <w:rPr>
          <w:rFonts w:hint="eastAsia" w:ascii="微软雅黑" w:hAnsi="微软雅黑" w:eastAsia="微软雅黑" w:cs="微软雅黑"/>
        </w:rPr>
        <w:t>−</w:t>
      </w:r>
      <w:r>
        <w:t xml:space="preserve">N </w:t>
      </w:r>
      <w:r>
        <w:rPr>
          <w:rFonts w:hint="eastAsia"/>
        </w:rPr>
        <w:t>为</w:t>
      </w:r>
      <w:r>
        <w:t>N</w:t>
      </w:r>
      <w:r>
        <w:rPr>
          <w:vertAlign w:val="subscript"/>
        </w:rPr>
        <w:t>2</w:t>
      </w:r>
      <w:r>
        <w:t xml:space="preserve"> </w:t>
      </w:r>
      <w:r>
        <w:rPr>
          <w:rFonts w:hint="eastAsia"/>
        </w:rPr>
        <w:t>时要产生</w:t>
      </w:r>
      <w:r>
        <w:t xml:space="preserve">3.75kg </w:t>
      </w:r>
      <w:r>
        <w:rPr>
          <w:rFonts w:hint="eastAsia"/>
        </w:rPr>
        <w:t>碱度，即可以回收</w:t>
      </w:r>
      <w:r>
        <w:t xml:space="preserve">3.75kg </w:t>
      </w:r>
      <w:r>
        <w:rPr>
          <w:rFonts w:hint="eastAsia"/>
        </w:rPr>
        <w:t>碱度，使硝化过程消耗的部分碱度得到补充。</w:t>
      </w:r>
    </w:p>
    <w:p>
      <w:pPr>
        <w:pStyle w:val="5"/>
        <w:ind w:firstLine="480"/>
      </w:pPr>
      <w:r>
        <w:rPr>
          <w:rFonts w:hint="eastAsia"/>
        </w:rPr>
        <w:t>因此，从降低能耗（利用</w:t>
      </w:r>
      <w:r>
        <w:t>NO</w:t>
      </w:r>
      <w:r>
        <w:rPr>
          <w:vertAlign w:val="subscript"/>
        </w:rPr>
        <w:t>3</w:t>
      </w:r>
      <w:r>
        <w:rPr>
          <w:rFonts w:hint="eastAsia" w:ascii="微软雅黑" w:hAnsi="微软雅黑" w:eastAsia="微软雅黑" w:cs="微软雅黑"/>
          <w:vertAlign w:val="superscript"/>
        </w:rPr>
        <w:t>−</w:t>
      </w:r>
      <w:r>
        <w:rPr>
          <w:rFonts w:hint="eastAsia" w:ascii="微软雅黑" w:hAnsi="微软雅黑" w:eastAsia="微软雅黑" w:cs="微软雅黑"/>
        </w:rPr>
        <w:t>−</w:t>
      </w:r>
      <w:r>
        <w:t>N</w:t>
      </w:r>
      <w:r>
        <w:rPr>
          <w:rFonts w:hint="eastAsia"/>
        </w:rPr>
        <w:t>作为电子受体氧化有机物）、回收碱度，保证硝化进行过程以及改善生物除磷效率的角度来看，在本项目采用反硝化或部分反硝化的生物脱氮工艺是有利的。</w:t>
      </w:r>
    </w:p>
    <w:p>
      <w:pPr>
        <w:pStyle w:val="5"/>
        <w:ind w:firstLine="480"/>
      </w:pPr>
      <w:r>
        <w:rPr>
          <w:rFonts w:hint="eastAsia"/>
        </w:rPr>
        <w:t>(6)</w:t>
      </w:r>
      <w:r>
        <w:t xml:space="preserve">TP </w:t>
      </w:r>
      <w:r>
        <w:rPr>
          <w:rFonts w:hint="eastAsia"/>
        </w:rPr>
        <w:t>的去除</w:t>
      </w:r>
    </w:p>
    <w:p>
      <w:pPr>
        <w:pStyle w:val="5"/>
        <w:ind w:firstLine="480"/>
      </w:pPr>
      <w:r>
        <w:rPr>
          <w:rFonts w:hint="eastAsia"/>
        </w:rPr>
        <w:t>污水除磷主要有生物除磷和化学除磷两大类。</w:t>
      </w:r>
    </w:p>
    <w:p>
      <w:pPr>
        <w:pStyle w:val="5"/>
        <w:ind w:firstLine="480"/>
      </w:pPr>
      <w:r>
        <w:t xml:space="preserve">A. </w:t>
      </w:r>
      <w:r>
        <w:rPr>
          <w:rFonts w:hint="eastAsia"/>
        </w:rPr>
        <w:t>生物除磷</w:t>
      </w:r>
    </w:p>
    <w:p>
      <w:pPr>
        <w:pStyle w:val="5"/>
        <w:ind w:firstLine="480"/>
      </w:pPr>
      <w:r>
        <w:rPr>
          <w:rFonts w:hint="eastAsia"/>
        </w:rPr>
        <w:t>生物除磷是污水中的聚磷菌在厌氧条件下，受到压抑而释放出体内的磷酸盐，产生能量用以吸收快速降解有机物，并转化为</w:t>
      </w:r>
      <w:r>
        <w:t>pHB</w:t>
      </w:r>
      <w:r>
        <w:rPr>
          <w:rFonts w:hint="eastAsia"/>
        </w:rPr>
        <w:t>（聚β羟丁酸）储存起来。当这些聚磷菌进入好氧条件下时就降解体内储存的</w:t>
      </w:r>
      <w:r>
        <w:t xml:space="preserve">pHB </w:t>
      </w:r>
      <w:r>
        <w:rPr>
          <w:rFonts w:hint="eastAsia"/>
        </w:rPr>
        <w:t>产生能量，用于细胞的合成和吸磷，形成高浓度的含磷污泥，随剩余污泥一起排出系统，从而达到除磷的目的。生物除磷的优点在于不增加剩余污泥量，处理成本较低。缺点是为了避免剩余污泥中磷的再次释放，对污泥处理工艺的选择有一定的限制。据资料介绍，在厌氧段释放</w:t>
      </w:r>
      <w:r>
        <w:t xml:space="preserve">1mg </w:t>
      </w:r>
      <w:r>
        <w:rPr>
          <w:rFonts w:hint="eastAsia"/>
        </w:rPr>
        <w:t>的磷吸收储存的有机物，经好氧分解后产生的能量用于细胞合成、增殖，能够吸收</w:t>
      </w:r>
      <w:r>
        <w:t xml:space="preserve">2-2.4mg </w:t>
      </w:r>
      <w:r>
        <w:rPr>
          <w:rFonts w:hint="eastAsia"/>
        </w:rPr>
        <w:t>的磷。因此磷的吸收取决于磷的释放，而磷的释放取决于污水中存在的可快速降解的有机物的含量，一般来说，这种有机物与磷的比值越大，降磷效果越好。一般的活性污泥法，其剩余污泥中的含磷量为</w:t>
      </w:r>
      <w:r>
        <w:t>1.5%-2%</w:t>
      </w:r>
      <w:r>
        <w:rPr>
          <w:rFonts w:hint="eastAsia"/>
        </w:rPr>
        <w:t>，采用生物除磷工艺的剩余活性污泥中磷的含量可以达到传统活性污泥法的</w:t>
      </w:r>
      <w:r>
        <w:t xml:space="preserve">2~3 </w:t>
      </w:r>
      <w:r>
        <w:rPr>
          <w:rFonts w:hint="eastAsia"/>
        </w:rPr>
        <w:t>倍。</w:t>
      </w:r>
    </w:p>
    <w:p>
      <w:pPr>
        <w:pStyle w:val="5"/>
        <w:ind w:firstLine="480"/>
      </w:pPr>
      <w:r>
        <w:rPr>
          <w:rFonts w:hint="eastAsia"/>
        </w:rPr>
        <w:t>生物除磷工艺的前提条件是聚磷菌必须在厌氧条件下受到抑制，而后进入好氧阶段才能增大磷的吸收量。因此，污水除磷的处理工艺必须在曝气池前设置厌氧段。尽管生物法除磷的运行费用较低，且在最佳工艺参数条件下对磷的去除率较高，但生物法除磷的波动性较大，去除效果不稳定；对易生物降解的有机物浓度依赖性较强，当废水中有机物含量较低或磷含量较高时，出水很难满足磷的排放标准。</w:t>
      </w:r>
    </w:p>
    <w:p>
      <w:pPr>
        <w:pStyle w:val="5"/>
        <w:ind w:firstLine="480"/>
      </w:pPr>
      <w:r>
        <w:rPr>
          <w:rFonts w:hint="eastAsia"/>
        </w:rPr>
        <w:t>根据本工程进水含磷量和出水含磷要求，磷的去除率要求大于</w:t>
      </w:r>
      <w:r>
        <w:t>83.3%</w:t>
      </w:r>
      <w:r>
        <w:rPr>
          <w:rFonts w:hint="eastAsia"/>
        </w:rPr>
        <w:t>，出水含磷量小于</w:t>
      </w:r>
      <w:r>
        <w:t>0.5mg/L</w:t>
      </w:r>
      <w:r>
        <w:rPr>
          <w:rFonts w:hint="eastAsia"/>
        </w:rPr>
        <w:t>。采用单独的生物除磷工艺很难使出水稳定达到排放标准，因此需辅以化学除磷，即在生物处理后投加混凝药剂，再经沉淀和过滤截留下难溶物质，保证出水磷的达标。</w:t>
      </w:r>
    </w:p>
    <w:p>
      <w:pPr>
        <w:pStyle w:val="5"/>
        <w:ind w:firstLine="480"/>
      </w:pPr>
      <w:r>
        <w:t xml:space="preserve">B. </w:t>
      </w:r>
      <w:r>
        <w:rPr>
          <w:rFonts w:hint="eastAsia"/>
        </w:rPr>
        <w:t>化学除磷</w:t>
      </w:r>
    </w:p>
    <w:p>
      <w:pPr>
        <w:pStyle w:val="5"/>
        <w:ind w:firstLine="480"/>
      </w:pPr>
      <w:r>
        <w:rPr>
          <w:rFonts w:hint="eastAsia"/>
        </w:rPr>
        <w:t>化学除磷的优点是工艺简单，除加药设备外不需要增加其它设施，因此特别适用于旧厂改造。其缺点是药剂消耗量大，剩余污泥量增加，浓度降低，体积增大，使污泥处理的难度增加，同时还要消耗水中碱度，影响氨氮硝化。本工程要求出水含磷量较低（</w:t>
      </w:r>
      <w:r>
        <w:t>0.5mg/L</w:t>
      </w:r>
      <w:r>
        <w:rPr>
          <w:rFonts w:hint="eastAsia"/>
        </w:rPr>
        <w:t>），进水含磷量较高，因此采用生物除磷为主，必要时辅以化学除磷作为补充，设计中将考虑设置化学除磷装置，根据实际水质情况，加铝盐辅助生物除磷，以确保出水磷浓度满足排放标准的要求，并尽可能地减少加药量，降低处理成本。</w:t>
      </w:r>
    </w:p>
    <w:p>
      <w:pPr>
        <w:pStyle w:val="5"/>
        <w:ind w:firstLine="480"/>
      </w:pPr>
      <w:r>
        <w:t>1</w:t>
      </w:r>
      <w:r>
        <w:rPr>
          <w:rFonts w:hint="eastAsia"/>
        </w:rPr>
        <w:t>）除磷药剂的选择</w:t>
      </w:r>
    </w:p>
    <w:p>
      <w:pPr>
        <w:pStyle w:val="5"/>
        <w:ind w:firstLine="480"/>
      </w:pPr>
      <w:r>
        <w:rPr>
          <w:rFonts w:hint="eastAsia"/>
        </w:rPr>
        <w:t>化学除磷的主要药剂有石灰、铁盐和铝盐。</w:t>
      </w:r>
    </w:p>
    <w:p>
      <w:pPr>
        <w:pStyle w:val="5"/>
        <w:ind w:firstLine="480"/>
      </w:pPr>
      <w:r>
        <w:rPr>
          <w:rFonts w:hint="eastAsia"/>
        </w:rPr>
        <w:t>投加石灰法：</w:t>
      </w:r>
    </w:p>
    <w:p>
      <w:pPr>
        <w:pStyle w:val="5"/>
        <w:ind w:firstLine="480"/>
      </w:pPr>
      <w:r>
        <w:rPr>
          <w:rFonts w:hint="eastAsia"/>
        </w:rPr>
        <w:t>向污水中投加石灰，污水中磷酸盐与石灰的化学反应可用下式表示：</w:t>
      </w:r>
    </w:p>
    <w:p>
      <w:pPr>
        <w:pStyle w:val="5"/>
        <w:ind w:firstLine="480"/>
      </w:pPr>
      <w:r>
        <w:t>3HPO</w:t>
      </w:r>
      <w:r>
        <w:rPr>
          <w:vertAlign w:val="subscript"/>
        </w:rPr>
        <w:t>4</w:t>
      </w:r>
      <w:r>
        <w:rPr>
          <w:vertAlign w:val="superscript"/>
        </w:rPr>
        <w:t>2</w:t>
      </w:r>
      <w:r>
        <w:rPr>
          <w:rFonts w:hint="eastAsia" w:ascii="微软雅黑" w:hAnsi="微软雅黑" w:eastAsia="微软雅黑" w:cs="微软雅黑"/>
          <w:vertAlign w:val="superscript"/>
        </w:rPr>
        <w:t>−</w:t>
      </w:r>
      <w:r>
        <w:t>+5Ca</w:t>
      </w:r>
      <w:r>
        <w:rPr>
          <w:vertAlign w:val="superscript"/>
        </w:rPr>
        <w:t>2+</w:t>
      </w:r>
      <w:r>
        <w:t>+4OH</w:t>
      </w:r>
      <w:r>
        <w:rPr>
          <w:rFonts w:hint="eastAsia"/>
          <w:vertAlign w:val="superscript"/>
        </w:rPr>
        <w:t>－</w:t>
      </w:r>
      <w:r>
        <w:rPr>
          <w:rFonts w:hint="eastAsia"/>
        </w:rPr>
        <w:t>→</w:t>
      </w:r>
      <w:r>
        <w:t>Ca</w:t>
      </w:r>
      <w:r>
        <w:rPr>
          <w:vertAlign w:val="subscript"/>
        </w:rPr>
        <w:t>5</w:t>
      </w:r>
      <w:r>
        <w:rPr>
          <w:rFonts w:hint="eastAsia"/>
        </w:rPr>
        <w:t>（</w:t>
      </w:r>
      <w:r>
        <w:t>OH</w:t>
      </w:r>
      <w:r>
        <w:rPr>
          <w:rFonts w:hint="eastAsia"/>
        </w:rPr>
        <w:t>）（</w:t>
      </w:r>
      <w:r>
        <w:t>PO</w:t>
      </w:r>
      <w:r>
        <w:rPr>
          <w:vertAlign w:val="subscript"/>
        </w:rPr>
        <w:t>4</w:t>
      </w:r>
      <w:r>
        <w:rPr>
          <w:rFonts w:hint="eastAsia"/>
        </w:rPr>
        <w:t>）</w:t>
      </w:r>
      <w:r>
        <w:rPr>
          <w:vertAlign w:val="subscript"/>
        </w:rPr>
        <w:t>3</w:t>
      </w:r>
      <w:r>
        <w:rPr>
          <w:rFonts w:hint="eastAsia"/>
        </w:rPr>
        <w:t>↓</w:t>
      </w:r>
      <w:r>
        <w:t>+3H</w:t>
      </w:r>
      <w:r>
        <w:rPr>
          <w:vertAlign w:val="subscript"/>
        </w:rPr>
        <w:t>2</w:t>
      </w:r>
      <w:r>
        <w:t>O</w:t>
      </w:r>
    </w:p>
    <w:p>
      <w:pPr>
        <w:pStyle w:val="5"/>
        <w:ind w:firstLine="480"/>
      </w:pPr>
      <w:r>
        <w:rPr>
          <w:rFonts w:hint="eastAsia"/>
        </w:rPr>
        <w:t>污水碱度所消耗的石灰量常比形成磷酸钙类的沉淀物所需的石灰量大几个数量级。石灰法除磷所需的石灰量取决于污水的碱度，而不是污水含磷量，满足除磷要求的石灰投加量的为碳酸钙碱度的</w:t>
      </w:r>
      <w:r>
        <w:t xml:space="preserve">1.5 </w:t>
      </w:r>
      <w:r>
        <w:rPr>
          <w:rFonts w:hint="eastAsia"/>
        </w:rPr>
        <w:t>倍。</w:t>
      </w:r>
    </w:p>
    <w:p>
      <w:pPr>
        <w:pStyle w:val="5"/>
        <w:ind w:firstLine="480"/>
      </w:pPr>
      <w:r>
        <w:rPr>
          <w:rFonts w:hint="eastAsia"/>
        </w:rPr>
        <w:t>石灰法除磷的</w:t>
      </w:r>
      <w:r>
        <w:t xml:space="preserve">pH </w:t>
      </w:r>
      <w:r>
        <w:rPr>
          <w:rFonts w:hint="eastAsia"/>
        </w:rPr>
        <w:t>值通常控制在</w:t>
      </w:r>
      <w:r>
        <w:t xml:space="preserve">10 </w:t>
      </w:r>
      <w:r>
        <w:rPr>
          <w:rFonts w:hint="eastAsia"/>
        </w:rPr>
        <w:t>以上，过高的</w:t>
      </w:r>
      <w:r>
        <w:t xml:space="preserve">pH </w:t>
      </w:r>
      <w:r>
        <w:rPr>
          <w:rFonts w:hint="eastAsia"/>
        </w:rPr>
        <w:t>会抑制微生物生长，并破坏微生物酶的活性。因此，石灰法不能用于协同沉淀法除磷，只能用于前置沉淀和后置沉淀法除磷，并且需要进行</w:t>
      </w:r>
      <w:r>
        <w:t xml:space="preserve">pH </w:t>
      </w:r>
      <w:r>
        <w:rPr>
          <w:rFonts w:hint="eastAsia"/>
        </w:rPr>
        <w:t>值调节，使排放污水的</w:t>
      </w:r>
      <w:r>
        <w:t xml:space="preserve">pH </w:t>
      </w:r>
      <w:r>
        <w:rPr>
          <w:rFonts w:hint="eastAsia"/>
        </w:rPr>
        <w:t>值符合排放标准。</w:t>
      </w:r>
    </w:p>
    <w:p>
      <w:pPr>
        <w:pStyle w:val="5"/>
        <w:ind w:firstLine="480"/>
      </w:pPr>
      <w:r>
        <w:rPr>
          <w:rFonts w:hint="eastAsia"/>
        </w:rPr>
        <w:t>投加铁盐和铝盐：</w:t>
      </w:r>
    </w:p>
    <w:p>
      <w:pPr>
        <w:pStyle w:val="5"/>
        <w:ind w:firstLine="480"/>
      </w:pPr>
      <w:r>
        <w:rPr>
          <w:rFonts w:hint="eastAsia"/>
        </w:rPr>
        <w:t>以硫酸铝和三氯化铁、硫酸亚铁混凝剂为例，金属盐与污水中的磷酸盐碱度进行反应。</w:t>
      </w:r>
    </w:p>
    <w:p>
      <w:pPr>
        <w:pStyle w:val="5"/>
        <w:ind w:firstLine="480"/>
      </w:pPr>
      <w:r>
        <w:rPr>
          <w:rFonts w:hint="eastAsia"/>
        </w:rPr>
        <w:t>硫酸亚铁混凝：</w:t>
      </w:r>
      <w:r>
        <w:t>3Fe</w:t>
      </w:r>
      <w:r>
        <w:rPr>
          <w:vertAlign w:val="superscript"/>
        </w:rPr>
        <w:t>2+</w:t>
      </w:r>
      <w:r>
        <w:t>+2PO</w:t>
      </w:r>
      <w:r>
        <w:rPr>
          <w:vertAlign w:val="subscript"/>
        </w:rPr>
        <w:t>4</w:t>
      </w:r>
      <w:r>
        <w:rPr>
          <w:vertAlign w:val="superscript"/>
        </w:rPr>
        <w:t>3</w:t>
      </w:r>
      <w:r>
        <w:rPr>
          <w:rFonts w:hint="eastAsia" w:ascii="微软雅黑" w:hAnsi="微软雅黑" w:eastAsia="微软雅黑" w:cs="微软雅黑"/>
          <w:vertAlign w:val="superscript"/>
        </w:rPr>
        <w:t>−</w:t>
      </w:r>
      <w:r>
        <w:t>=Fe</w:t>
      </w:r>
      <w:r>
        <w:rPr>
          <w:vertAlign w:val="subscript"/>
        </w:rPr>
        <w:t>3</w:t>
      </w:r>
      <w:r>
        <w:rPr>
          <w:rFonts w:hint="eastAsia"/>
        </w:rPr>
        <w:t>（</w:t>
      </w:r>
      <w:r>
        <w:t>PO</w:t>
      </w:r>
      <w:r>
        <w:rPr>
          <w:vertAlign w:val="subscript"/>
        </w:rPr>
        <w:t>4</w:t>
      </w:r>
      <w:r>
        <w:rPr>
          <w:rFonts w:hint="eastAsia"/>
        </w:rPr>
        <w:t>）</w:t>
      </w:r>
      <w:r>
        <w:rPr>
          <w:vertAlign w:val="subscript"/>
        </w:rPr>
        <w:t>2</w:t>
      </w:r>
      <w:r>
        <w:rPr>
          <w:rFonts w:hint="eastAsia"/>
        </w:rPr>
        <w:t>↓</w:t>
      </w:r>
    </w:p>
    <w:p>
      <w:pPr>
        <w:pStyle w:val="5"/>
        <w:ind w:firstLine="480"/>
      </w:pPr>
      <w:r>
        <w:rPr>
          <w:rFonts w:hint="eastAsia"/>
        </w:rPr>
        <w:t>三氯化铁混凝：</w:t>
      </w:r>
    </w:p>
    <w:p>
      <w:pPr>
        <w:pStyle w:val="5"/>
        <w:ind w:firstLine="480"/>
      </w:pPr>
      <w:r>
        <w:rPr>
          <w:rFonts w:hint="eastAsia"/>
        </w:rPr>
        <w:t>主反应为</w:t>
      </w:r>
      <w:r>
        <w:t>FeCl</w:t>
      </w:r>
      <w:r>
        <w:rPr>
          <w:vertAlign w:val="subscript"/>
        </w:rPr>
        <w:t>3</w:t>
      </w:r>
      <w:r>
        <w:t>+PO</w:t>
      </w:r>
      <w:r>
        <w:rPr>
          <w:vertAlign w:val="subscript"/>
        </w:rPr>
        <w:t>4</w:t>
      </w:r>
      <w:r>
        <w:rPr>
          <w:vertAlign w:val="superscript"/>
        </w:rPr>
        <w:t>3</w:t>
      </w:r>
      <w:r>
        <w:rPr>
          <w:rFonts w:hint="eastAsia" w:ascii="微软雅黑" w:hAnsi="微软雅黑" w:eastAsia="微软雅黑" w:cs="微软雅黑"/>
          <w:vertAlign w:val="superscript"/>
        </w:rPr>
        <w:t>−</w:t>
      </w:r>
      <w:r>
        <w:rPr>
          <w:rFonts w:hint="eastAsia"/>
        </w:rPr>
        <w:t>→</w:t>
      </w:r>
      <w:r>
        <w:t>FePO</w:t>
      </w:r>
      <w:r>
        <w:rPr>
          <w:vertAlign w:val="subscript"/>
        </w:rPr>
        <w:t>4</w:t>
      </w:r>
      <w:r>
        <w:rPr>
          <w:rFonts w:hint="eastAsia"/>
        </w:rPr>
        <w:t>↓</w:t>
      </w:r>
      <w:r>
        <w:t>+3Cl</w:t>
      </w:r>
      <w:r>
        <w:rPr>
          <w:rFonts w:hint="eastAsia" w:ascii="微软雅黑" w:hAnsi="微软雅黑" w:eastAsia="微软雅黑" w:cs="微软雅黑"/>
          <w:vertAlign w:val="superscript"/>
        </w:rPr>
        <w:t>−</w:t>
      </w:r>
    </w:p>
    <w:p>
      <w:pPr>
        <w:pStyle w:val="5"/>
        <w:ind w:firstLine="480"/>
      </w:pPr>
      <w:r>
        <w:rPr>
          <w:rFonts w:hint="eastAsia"/>
        </w:rPr>
        <w:t>副反应为</w:t>
      </w:r>
      <w:r>
        <w:t>2FeCl</w:t>
      </w:r>
      <w:r>
        <w:rPr>
          <w:vertAlign w:val="subscript"/>
        </w:rPr>
        <w:t>3</w:t>
      </w:r>
      <w:r>
        <w:t>+Ca</w:t>
      </w:r>
      <w:r>
        <w:rPr>
          <w:rFonts w:hint="eastAsia"/>
        </w:rPr>
        <w:t>（</w:t>
      </w:r>
      <w:r>
        <w:t>HCO</w:t>
      </w:r>
      <w:r>
        <w:rPr>
          <w:vertAlign w:val="subscript"/>
        </w:rPr>
        <w:t>3</w:t>
      </w:r>
      <w:r>
        <w:rPr>
          <w:rFonts w:hint="eastAsia"/>
        </w:rPr>
        <w:t>）</w:t>
      </w:r>
      <w:r>
        <w:rPr>
          <w:vertAlign w:val="subscript"/>
        </w:rPr>
        <w:t>2</w:t>
      </w:r>
      <w:r>
        <w:rPr>
          <w:rFonts w:hint="eastAsia"/>
        </w:rPr>
        <w:t>→</w:t>
      </w:r>
      <w:r>
        <w:t>2Fe</w:t>
      </w:r>
      <w:r>
        <w:rPr>
          <w:rFonts w:hint="eastAsia"/>
        </w:rPr>
        <w:t>（</w:t>
      </w:r>
      <w:r>
        <w:t>OH</w:t>
      </w:r>
      <w:r>
        <w:rPr>
          <w:rFonts w:hint="eastAsia"/>
        </w:rPr>
        <w:t>）</w:t>
      </w:r>
      <w:r>
        <w:rPr>
          <w:vertAlign w:val="subscript"/>
        </w:rPr>
        <w:t>3</w:t>
      </w:r>
      <w:r>
        <w:rPr>
          <w:rFonts w:hint="eastAsia"/>
        </w:rPr>
        <w:t>↓</w:t>
      </w:r>
      <w:r>
        <w:t>+3CaCl</w:t>
      </w:r>
      <w:r>
        <w:rPr>
          <w:vertAlign w:val="subscript"/>
        </w:rPr>
        <w:t>2</w:t>
      </w:r>
      <w:r>
        <w:t>+6CO</w:t>
      </w:r>
      <w:r>
        <w:rPr>
          <w:vertAlign w:val="subscript"/>
        </w:rPr>
        <w:t>2</w:t>
      </w:r>
    </w:p>
    <w:p>
      <w:pPr>
        <w:pStyle w:val="5"/>
        <w:ind w:firstLine="480"/>
      </w:pPr>
      <w:r>
        <w:rPr>
          <w:rFonts w:hint="eastAsia"/>
        </w:rPr>
        <w:t>硫酸铝混凝：</w:t>
      </w:r>
    </w:p>
    <w:p>
      <w:pPr>
        <w:pStyle w:val="5"/>
        <w:ind w:firstLine="480"/>
      </w:pPr>
      <w:r>
        <w:rPr>
          <w:rFonts w:hint="eastAsia"/>
        </w:rPr>
        <w:t>主反应为</w:t>
      </w:r>
      <w:r>
        <w:t>Al</w:t>
      </w:r>
      <w:r>
        <w:rPr>
          <w:vertAlign w:val="subscript"/>
        </w:rPr>
        <w:t>2</w:t>
      </w:r>
      <w:r>
        <w:rPr>
          <w:rFonts w:hint="eastAsia"/>
        </w:rPr>
        <w:t>（</w:t>
      </w:r>
      <w:r>
        <w:t>SO</w:t>
      </w:r>
      <w:r>
        <w:rPr>
          <w:vertAlign w:val="subscript"/>
        </w:rPr>
        <w:t>4</w:t>
      </w:r>
      <w:r>
        <w:rPr>
          <w:rFonts w:hint="eastAsia"/>
        </w:rPr>
        <w:t>）</w:t>
      </w:r>
      <w:r>
        <w:rPr>
          <w:vertAlign w:val="subscript"/>
        </w:rPr>
        <w:t>3</w:t>
      </w:r>
      <w:r>
        <w:rPr>
          <w:rFonts w:hint="eastAsia"/>
        </w:rPr>
        <w:t>·</w:t>
      </w:r>
      <w:r>
        <w:t>14H</w:t>
      </w:r>
      <w:r>
        <w:rPr>
          <w:vertAlign w:val="subscript"/>
        </w:rPr>
        <w:t>2</w:t>
      </w:r>
      <w:r>
        <w:t>O+2PO</w:t>
      </w:r>
      <w:r>
        <w:rPr>
          <w:vertAlign w:val="subscript"/>
        </w:rPr>
        <w:t>4</w:t>
      </w:r>
      <w:r>
        <w:rPr>
          <w:vertAlign w:val="superscript"/>
        </w:rPr>
        <w:t>3</w:t>
      </w:r>
      <w:r>
        <w:rPr>
          <w:rFonts w:hint="eastAsia" w:ascii="微软雅黑" w:hAnsi="微软雅黑" w:eastAsia="微软雅黑" w:cs="微软雅黑"/>
          <w:vertAlign w:val="superscript"/>
        </w:rPr>
        <w:t>−</w:t>
      </w:r>
      <w:r>
        <w:rPr>
          <w:rFonts w:hint="eastAsia"/>
        </w:rPr>
        <w:t>→</w:t>
      </w:r>
      <w:r>
        <w:t>2AlPO</w:t>
      </w:r>
      <w:r>
        <w:rPr>
          <w:vertAlign w:val="subscript"/>
        </w:rPr>
        <w:t>4</w:t>
      </w:r>
      <w:r>
        <w:rPr>
          <w:rFonts w:hint="eastAsia"/>
        </w:rPr>
        <w:t>↓</w:t>
      </w:r>
      <w:r>
        <w:t>+3SO</w:t>
      </w:r>
      <w:r>
        <w:rPr>
          <w:vertAlign w:val="subscript"/>
        </w:rPr>
        <w:t>4</w:t>
      </w:r>
      <w:r>
        <w:rPr>
          <w:vertAlign w:val="superscript"/>
        </w:rPr>
        <w:t>2</w:t>
      </w:r>
      <w:r>
        <w:rPr>
          <w:rFonts w:hint="eastAsia" w:ascii="微软雅黑" w:hAnsi="微软雅黑" w:eastAsia="微软雅黑" w:cs="微软雅黑"/>
          <w:vertAlign w:val="superscript"/>
        </w:rPr>
        <w:t>−</w:t>
      </w:r>
      <w:r>
        <w:t>+14H</w:t>
      </w:r>
      <w:r>
        <w:rPr>
          <w:vertAlign w:val="subscript"/>
        </w:rPr>
        <w:t>2</w:t>
      </w:r>
      <w:r>
        <w:t>O</w:t>
      </w:r>
    </w:p>
    <w:p>
      <w:pPr>
        <w:pStyle w:val="5"/>
        <w:ind w:firstLine="480"/>
      </w:pPr>
      <w:r>
        <w:rPr>
          <w:rFonts w:hint="eastAsia"/>
        </w:rPr>
        <w:t>副反应为</w:t>
      </w:r>
      <w:r>
        <w:t>Al</w:t>
      </w:r>
      <w:r>
        <w:rPr>
          <w:vertAlign w:val="subscript"/>
        </w:rPr>
        <w:t>2</w:t>
      </w:r>
      <w:r>
        <w:rPr>
          <w:rFonts w:hint="eastAsia"/>
        </w:rPr>
        <w:t>（</w:t>
      </w:r>
      <w:r>
        <w:t>SO</w:t>
      </w:r>
      <w:r>
        <w:rPr>
          <w:vertAlign w:val="subscript"/>
        </w:rPr>
        <w:t>4</w:t>
      </w:r>
      <w:r>
        <w:rPr>
          <w:rFonts w:hint="eastAsia"/>
        </w:rPr>
        <w:t>）</w:t>
      </w:r>
      <w:r>
        <w:rPr>
          <w:vertAlign w:val="subscript"/>
        </w:rPr>
        <w:t>3</w:t>
      </w:r>
      <w:r>
        <w:rPr>
          <w:rFonts w:hint="eastAsia"/>
        </w:rPr>
        <w:t>·</w:t>
      </w:r>
      <w:r>
        <w:t>14H</w:t>
      </w:r>
      <w:r>
        <w:rPr>
          <w:vertAlign w:val="subscript"/>
        </w:rPr>
        <w:t>2</w:t>
      </w:r>
      <w:r>
        <w:t>O+6HCO</w:t>
      </w:r>
      <w:r>
        <w:rPr>
          <w:vertAlign w:val="subscript"/>
        </w:rPr>
        <w:t>3</w:t>
      </w:r>
      <w:r>
        <w:rPr>
          <w:rFonts w:hint="eastAsia" w:ascii="微软雅黑" w:hAnsi="微软雅黑" w:eastAsia="微软雅黑" w:cs="微软雅黑"/>
        </w:rPr>
        <w:t>−</w:t>
      </w:r>
      <w:r>
        <w:rPr>
          <w:rFonts w:hint="eastAsia"/>
        </w:rPr>
        <w:t>→</w:t>
      </w:r>
      <w:r>
        <w:t>2Al</w:t>
      </w:r>
      <w:r>
        <w:rPr>
          <w:rFonts w:hint="eastAsia"/>
        </w:rPr>
        <w:t>（</w:t>
      </w:r>
      <w:r>
        <w:t>OH</w:t>
      </w:r>
      <w:r>
        <w:rPr>
          <w:rFonts w:hint="eastAsia"/>
        </w:rPr>
        <w:t>）</w:t>
      </w:r>
      <w:r>
        <w:rPr>
          <w:vertAlign w:val="subscript"/>
        </w:rPr>
        <w:t>3</w:t>
      </w:r>
      <w:r>
        <w:rPr>
          <w:rFonts w:hint="eastAsia"/>
        </w:rPr>
        <w:t>↓</w:t>
      </w:r>
      <w:r>
        <w:t>+3SO</w:t>
      </w:r>
      <w:r>
        <w:rPr>
          <w:vertAlign w:val="subscript"/>
        </w:rPr>
        <w:t>4</w:t>
      </w:r>
      <w:r>
        <w:rPr>
          <w:vertAlign w:val="superscript"/>
        </w:rPr>
        <w:t>2</w:t>
      </w:r>
      <w:r>
        <w:rPr>
          <w:rFonts w:hint="eastAsia" w:ascii="微软雅黑" w:hAnsi="微软雅黑" w:eastAsia="微软雅黑" w:cs="微软雅黑"/>
          <w:vertAlign w:val="superscript"/>
        </w:rPr>
        <w:t>−</w:t>
      </w:r>
      <w:r>
        <w:t>+6CO</w:t>
      </w:r>
      <w:r>
        <w:rPr>
          <w:vertAlign w:val="subscript"/>
        </w:rPr>
        <w:t>2</w:t>
      </w:r>
      <w:r>
        <w:t>+14H</w:t>
      </w:r>
      <w:r>
        <w:rPr>
          <w:vertAlign w:val="subscript"/>
        </w:rPr>
        <w:t>2</w:t>
      </w:r>
      <w:r>
        <w:t>O</w:t>
      </w:r>
    </w:p>
    <w:p>
      <w:pPr>
        <w:pStyle w:val="5"/>
        <w:ind w:firstLine="480"/>
      </w:pPr>
      <w:r>
        <w:rPr>
          <w:rFonts w:hint="eastAsia"/>
        </w:rPr>
        <w:t>可见，铁盐和铝盐均能与磷酸根离子（</w:t>
      </w:r>
      <w:r>
        <w:t>PO</w:t>
      </w:r>
      <w:r>
        <w:rPr>
          <w:vertAlign w:val="subscript"/>
        </w:rPr>
        <w:t>4</w:t>
      </w:r>
      <w:r>
        <w:rPr>
          <w:vertAlign w:val="superscript"/>
        </w:rPr>
        <w:t>3</w:t>
      </w:r>
      <w:r>
        <w:rPr>
          <w:rFonts w:hint="eastAsia" w:ascii="微软雅黑" w:hAnsi="微软雅黑" w:eastAsia="微软雅黑" w:cs="微软雅黑"/>
          <w:vertAlign w:val="superscript"/>
        </w:rPr>
        <w:t>−</w:t>
      </w:r>
      <w:r>
        <w:rPr>
          <w:rFonts w:hint="eastAsia"/>
        </w:rPr>
        <w:t>）作用生成难溶性的沉淀物，通过去除沉淀物而除水中的磷。</w:t>
      </w:r>
    </w:p>
    <w:p>
      <w:pPr>
        <w:pStyle w:val="5"/>
        <w:ind w:firstLine="480"/>
      </w:pPr>
      <w:r>
        <w:rPr>
          <w:rFonts w:hint="eastAsia"/>
        </w:rPr>
        <w:t>化学除磷所需的金属盐消耗量与要求的出水含磷量有关，当要求出水含磷≤</w:t>
      </w:r>
      <w:r>
        <w:t xml:space="preserve">0.5mg/L </w:t>
      </w:r>
      <w:r>
        <w:rPr>
          <w:rFonts w:hint="eastAsia"/>
        </w:rPr>
        <w:t>时，一般去除</w:t>
      </w:r>
      <w:r>
        <w:t xml:space="preserve">1kg </w:t>
      </w:r>
      <w:r>
        <w:rPr>
          <w:rFonts w:hint="eastAsia"/>
        </w:rPr>
        <w:t>磷需要投加</w:t>
      </w:r>
      <w:r>
        <w:t xml:space="preserve">2.7kg </w:t>
      </w:r>
      <w:r>
        <w:rPr>
          <w:rFonts w:hint="eastAsia"/>
        </w:rPr>
        <w:t>铁或</w:t>
      </w:r>
      <w:r>
        <w:t xml:space="preserve">1.3kg </w:t>
      </w:r>
      <w:r>
        <w:rPr>
          <w:rFonts w:hint="eastAsia"/>
        </w:rPr>
        <w:t>铝。对特定的污水，金属盐投加量需通过试验确定，进水</w:t>
      </w:r>
      <w:r>
        <w:t xml:space="preserve">TP </w:t>
      </w:r>
      <w:r>
        <w:rPr>
          <w:rFonts w:hint="eastAsia"/>
        </w:rPr>
        <w:t>浓度和期望的除磷率不同，相应的投加量也不同。</w:t>
      </w:r>
    </w:p>
    <w:p>
      <w:pPr>
        <w:pStyle w:val="5"/>
        <w:ind w:firstLine="480"/>
      </w:pPr>
      <w:r>
        <w:rPr>
          <w:rFonts w:hint="eastAsia"/>
        </w:rPr>
        <w:t>由于磷酸铁沉淀物最低溶解度的</w:t>
      </w:r>
      <w:r>
        <w:t xml:space="preserve">pH </w:t>
      </w:r>
      <w:r>
        <w:rPr>
          <w:rFonts w:hint="eastAsia"/>
        </w:rPr>
        <w:t>值为</w:t>
      </w:r>
      <w:r>
        <w:t>5.5</w:t>
      </w:r>
      <w:r>
        <w:rPr>
          <w:rFonts w:hint="eastAsia"/>
        </w:rPr>
        <w:t>，磷酸铝沉淀物最低溶解度的</w:t>
      </w:r>
      <w:r>
        <w:t xml:space="preserve">pH </w:t>
      </w:r>
      <w:r>
        <w:rPr>
          <w:rFonts w:hint="eastAsia"/>
        </w:rPr>
        <w:t>值为</w:t>
      </w:r>
      <w:r>
        <w:t>6.5</w:t>
      </w:r>
      <w:r>
        <w:rPr>
          <w:rFonts w:hint="eastAsia"/>
        </w:rPr>
        <w:t>，污水</w:t>
      </w:r>
      <w:r>
        <w:t xml:space="preserve">pH </w:t>
      </w:r>
      <w:r>
        <w:rPr>
          <w:rFonts w:hint="eastAsia"/>
        </w:rPr>
        <w:t>值一般在</w:t>
      </w:r>
      <w:r>
        <w:t>6.5</w:t>
      </w:r>
      <w:r>
        <w:rPr>
          <w:rFonts w:hint="eastAsia"/>
        </w:rPr>
        <w:t>～</w:t>
      </w:r>
      <w:r>
        <w:t>7.5</w:t>
      </w:r>
      <w:r>
        <w:rPr>
          <w:rFonts w:hint="eastAsia"/>
        </w:rPr>
        <w:t>，且铁盐的腐蚀性强、处理出水色度较高，聚铁对悬浮物的去除效果较差。因此采用铝盐。铝盐中应用较广泛的有硫酸铝（明矾）和碱式氯化铝（</w:t>
      </w:r>
      <w:r>
        <w:t>PAC</w:t>
      </w:r>
      <w:r>
        <w:rPr>
          <w:rFonts w:hint="eastAsia"/>
        </w:rPr>
        <w:t>），采用碱式氯化铝作为附加化学除磷药剂。</w:t>
      </w:r>
    </w:p>
    <w:p>
      <w:pPr>
        <w:pStyle w:val="5"/>
        <w:ind w:firstLine="480"/>
      </w:pPr>
      <w:r>
        <w:rPr>
          <w:rFonts w:hint="eastAsia"/>
        </w:rPr>
        <w:t>污水生物处理工艺比较见下表。</w:t>
      </w:r>
    </w:p>
    <w:p>
      <w:pPr>
        <w:pStyle w:val="14"/>
        <w:keepNext/>
      </w:pPr>
      <w:r>
        <w:t xml:space="preserve">表 </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4</w:t>
      </w:r>
      <w:r>
        <w:fldChar w:fldCharType="end"/>
      </w:r>
      <w:r>
        <w:rPr>
          <w:rFonts w:hint="eastAsia"/>
        </w:rPr>
        <w:t xml:space="preserve">   污水生物处理工艺比较</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837"/>
        <w:gridCol w:w="2230"/>
        <w:gridCol w:w="1351"/>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63"/>
            </w:pPr>
            <w:r>
              <w:rPr>
                <w:rFonts w:hint="eastAsia"/>
              </w:rPr>
              <w:t>方案</w:t>
            </w:r>
          </w:p>
        </w:tc>
        <w:tc>
          <w:tcPr>
            <w:tcW w:w="2837" w:type="dxa"/>
            <w:vAlign w:val="center"/>
          </w:tcPr>
          <w:p>
            <w:pPr>
              <w:pStyle w:val="63"/>
            </w:pPr>
            <w:r>
              <w:rPr>
                <w:rFonts w:hint="eastAsia"/>
              </w:rPr>
              <w:t>优点</w:t>
            </w:r>
          </w:p>
        </w:tc>
        <w:tc>
          <w:tcPr>
            <w:tcW w:w="2230" w:type="dxa"/>
            <w:vAlign w:val="center"/>
          </w:tcPr>
          <w:p>
            <w:pPr>
              <w:pStyle w:val="63"/>
            </w:pPr>
            <w:r>
              <w:rPr>
                <w:rFonts w:hint="eastAsia"/>
              </w:rPr>
              <w:t>缺点</w:t>
            </w:r>
          </w:p>
        </w:tc>
        <w:tc>
          <w:tcPr>
            <w:tcW w:w="1351" w:type="dxa"/>
            <w:vAlign w:val="center"/>
          </w:tcPr>
          <w:p>
            <w:pPr>
              <w:pStyle w:val="63"/>
            </w:pPr>
            <w:r>
              <w:rPr>
                <w:rFonts w:hint="eastAsia"/>
              </w:rPr>
              <w:t>深度处理</w:t>
            </w:r>
          </w:p>
        </w:tc>
        <w:tc>
          <w:tcPr>
            <w:tcW w:w="1788" w:type="dxa"/>
            <w:vAlign w:val="center"/>
          </w:tcPr>
          <w:p>
            <w:pPr>
              <w:pStyle w:val="63"/>
            </w:pPr>
            <w:r>
              <w:rPr>
                <w:rFonts w:hint="eastAsia"/>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63"/>
            </w:pPr>
            <w:r>
              <w:rPr>
                <w:rFonts w:hint="eastAsia"/>
              </w:rPr>
              <w:t>AAO</w:t>
            </w:r>
          </w:p>
        </w:tc>
        <w:tc>
          <w:tcPr>
            <w:tcW w:w="2837" w:type="dxa"/>
            <w:vAlign w:val="center"/>
          </w:tcPr>
          <w:p>
            <w:pPr>
              <w:pStyle w:val="63"/>
            </w:pPr>
            <w:r>
              <w:t>a.工艺成熟b.耐冲击负荷能力强，出</w:t>
            </w:r>
            <w:r>
              <w:rPr>
                <w:rFonts w:hint="eastAsia"/>
              </w:rPr>
              <w:t>水稳定</w:t>
            </w:r>
            <w:r>
              <w:t>c.脱氮效果好d.建设投资及直接运行费</w:t>
            </w:r>
          </w:p>
          <w:p>
            <w:pPr>
              <w:pStyle w:val="63"/>
            </w:pPr>
            <w:r>
              <w:rPr>
                <w:rFonts w:hint="eastAsia"/>
              </w:rPr>
              <w:t>用低</w:t>
            </w:r>
          </w:p>
        </w:tc>
        <w:tc>
          <w:tcPr>
            <w:tcW w:w="2230" w:type="dxa"/>
            <w:vAlign w:val="center"/>
          </w:tcPr>
          <w:p>
            <w:pPr>
              <w:pStyle w:val="63"/>
              <w:jc w:val="left"/>
            </w:pPr>
            <w:r>
              <w:t>a.占地较大b.除磷效果较差，需</w:t>
            </w:r>
            <w:r>
              <w:rPr>
                <w:rFonts w:hint="eastAsia"/>
              </w:rPr>
              <w:t>辅助化学除磷</w:t>
            </w:r>
          </w:p>
        </w:tc>
        <w:tc>
          <w:tcPr>
            <w:tcW w:w="1351" w:type="dxa"/>
            <w:vAlign w:val="center"/>
          </w:tcPr>
          <w:p>
            <w:pPr>
              <w:pStyle w:val="63"/>
            </w:pPr>
            <w:r>
              <w:rPr>
                <w:rFonts w:hint="eastAsia"/>
              </w:rPr>
              <w:t>需要后续工艺</w:t>
            </w:r>
          </w:p>
        </w:tc>
        <w:tc>
          <w:tcPr>
            <w:tcW w:w="1788" w:type="dxa"/>
            <w:vAlign w:val="center"/>
          </w:tcPr>
          <w:p>
            <w:pPr>
              <w:pStyle w:val="63"/>
            </w:pPr>
            <w:r>
              <w:rPr>
                <w:rFonts w:hint="eastAsia"/>
              </w:rPr>
              <w:t>对脱氮去除效率要求高的污水处理厂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63"/>
            </w:pPr>
            <w:r>
              <w:rPr>
                <w:rFonts w:hint="eastAsia"/>
              </w:rPr>
              <w:t>氧化沟</w:t>
            </w:r>
          </w:p>
        </w:tc>
        <w:tc>
          <w:tcPr>
            <w:tcW w:w="2837" w:type="dxa"/>
            <w:vAlign w:val="center"/>
          </w:tcPr>
          <w:p>
            <w:pPr>
              <w:pStyle w:val="63"/>
            </w:pPr>
            <w:r>
              <w:t>a．构筑物少，可不设初沉</w:t>
            </w:r>
            <w:r>
              <w:rPr>
                <w:rFonts w:hint="eastAsia"/>
              </w:rPr>
              <w:t>池和鼓风机房</w:t>
            </w:r>
            <w:r>
              <w:t>b．污泥龄长，臭味小c．除氮效果好d．抗冲击负荷能力强，出</w:t>
            </w:r>
            <w:r>
              <w:rPr>
                <w:rFonts w:hint="eastAsia"/>
              </w:rPr>
              <w:t>水稳定</w:t>
            </w:r>
          </w:p>
        </w:tc>
        <w:tc>
          <w:tcPr>
            <w:tcW w:w="2230" w:type="dxa"/>
            <w:vAlign w:val="center"/>
          </w:tcPr>
          <w:p>
            <w:pPr>
              <w:pStyle w:val="63"/>
              <w:jc w:val="left"/>
            </w:pPr>
            <w:r>
              <w:t>a.占地较大b.设备多、维修维护</w:t>
            </w:r>
            <w:r>
              <w:rPr>
                <w:rFonts w:hint="eastAsia"/>
              </w:rPr>
              <w:t>费用高</w:t>
            </w:r>
            <w:r>
              <w:t>c.耗能高</w:t>
            </w:r>
          </w:p>
        </w:tc>
        <w:tc>
          <w:tcPr>
            <w:tcW w:w="1351" w:type="dxa"/>
            <w:vAlign w:val="center"/>
          </w:tcPr>
          <w:p>
            <w:pPr>
              <w:pStyle w:val="63"/>
            </w:pPr>
            <w:r>
              <w:rPr>
                <w:rFonts w:hint="eastAsia"/>
              </w:rPr>
              <w:t>需要后续工艺</w:t>
            </w:r>
          </w:p>
        </w:tc>
        <w:tc>
          <w:tcPr>
            <w:tcW w:w="1788" w:type="dxa"/>
            <w:vAlign w:val="center"/>
          </w:tcPr>
          <w:p>
            <w:pPr>
              <w:pStyle w:val="63"/>
              <w:jc w:val="left"/>
            </w:pPr>
            <w:r>
              <w:rPr>
                <w:rFonts w:hint="eastAsia"/>
              </w:rPr>
              <w:t>进水水质、水量变化大的污水处理厂、冬季气温偏低的北方地区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63"/>
            </w:pPr>
            <w:r>
              <w:rPr>
                <w:rFonts w:hint="eastAsia"/>
              </w:rPr>
              <w:t>CASS</w:t>
            </w:r>
          </w:p>
        </w:tc>
        <w:tc>
          <w:tcPr>
            <w:tcW w:w="2837" w:type="dxa"/>
            <w:vAlign w:val="center"/>
          </w:tcPr>
          <w:p>
            <w:pPr>
              <w:pStyle w:val="63"/>
            </w:pPr>
            <w:r>
              <w:t>a. 工艺流程简单，占地面</w:t>
            </w:r>
            <w:r>
              <w:rPr>
                <w:rFonts w:hint="eastAsia"/>
              </w:rPr>
              <w:t>积小，投资较低</w:t>
            </w:r>
            <w:r>
              <w:t>b. 生化反应推动力大c. 沉淀效果好</w:t>
            </w:r>
          </w:p>
          <w:p>
            <w:pPr>
              <w:pStyle w:val="63"/>
              <w:jc w:val="left"/>
            </w:pPr>
            <w:r>
              <w:t>d. 运行灵活，抗冲击能力</w:t>
            </w:r>
            <w:r>
              <w:rPr>
                <w:rFonts w:hint="eastAsia"/>
              </w:rPr>
              <w:t>强</w:t>
            </w:r>
            <w:r>
              <w:t>e. 不易发生污泥膨胀f. 适合分期建设g. 剩余污泥量小，性质稳</w:t>
            </w:r>
            <w:r>
              <w:rPr>
                <w:rFonts w:hint="eastAsia"/>
              </w:rPr>
              <w:t>定</w:t>
            </w:r>
          </w:p>
        </w:tc>
        <w:tc>
          <w:tcPr>
            <w:tcW w:w="2230" w:type="dxa"/>
            <w:vAlign w:val="center"/>
          </w:tcPr>
          <w:p>
            <w:pPr>
              <w:pStyle w:val="63"/>
              <w:jc w:val="left"/>
            </w:pPr>
            <w:r>
              <w:t>a.自动化程度高，控</w:t>
            </w:r>
            <w:r>
              <w:rPr>
                <w:rFonts w:hint="eastAsia"/>
              </w:rPr>
              <w:t>制系统繁琐</w:t>
            </w:r>
            <w:r>
              <w:t>b.设备多，维修维护</w:t>
            </w:r>
            <w:r>
              <w:rPr>
                <w:rFonts w:hint="eastAsia"/>
              </w:rPr>
              <w:t>费用高</w:t>
            </w:r>
            <w:r>
              <w:t>c.对操作人员素质要</w:t>
            </w:r>
            <w:r>
              <w:rPr>
                <w:rFonts w:hint="eastAsia"/>
              </w:rPr>
              <w:t>求高</w:t>
            </w:r>
          </w:p>
        </w:tc>
        <w:tc>
          <w:tcPr>
            <w:tcW w:w="1351" w:type="dxa"/>
            <w:vAlign w:val="center"/>
          </w:tcPr>
          <w:p>
            <w:pPr>
              <w:pStyle w:val="63"/>
            </w:pPr>
            <w:r>
              <w:rPr>
                <w:rFonts w:hint="eastAsia"/>
              </w:rPr>
              <w:t>需要后续工艺</w:t>
            </w:r>
          </w:p>
        </w:tc>
        <w:tc>
          <w:tcPr>
            <w:tcW w:w="1788" w:type="dxa"/>
            <w:vAlign w:val="center"/>
          </w:tcPr>
          <w:p>
            <w:pPr>
              <w:pStyle w:val="63"/>
            </w:pPr>
            <w:r>
              <w:rPr>
                <w:rFonts w:hint="eastAsia"/>
              </w:rPr>
              <w:t>用地紧张的中小型城市生活污水处理厂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63"/>
            </w:pPr>
            <w:r>
              <w:rPr>
                <w:rFonts w:hint="eastAsia"/>
              </w:rPr>
              <w:t>MBR</w:t>
            </w:r>
          </w:p>
        </w:tc>
        <w:tc>
          <w:tcPr>
            <w:tcW w:w="2837" w:type="dxa"/>
            <w:vAlign w:val="center"/>
          </w:tcPr>
          <w:p>
            <w:pPr>
              <w:pStyle w:val="63"/>
              <w:jc w:val="left"/>
            </w:pPr>
            <w:r>
              <w:t>a.流程简单、占地少b.程序控制，操作灵活，</w:t>
            </w:r>
            <w:r>
              <w:rPr>
                <w:rFonts w:hint="eastAsia"/>
              </w:rPr>
              <w:t>自动化程度高</w:t>
            </w:r>
            <w:r>
              <w:t>c.脱氮除磷效果好，水质</w:t>
            </w:r>
            <w:r>
              <w:rPr>
                <w:rFonts w:hint="eastAsia"/>
              </w:rPr>
              <w:t>好</w:t>
            </w:r>
          </w:p>
        </w:tc>
        <w:tc>
          <w:tcPr>
            <w:tcW w:w="2230" w:type="dxa"/>
            <w:vAlign w:val="center"/>
          </w:tcPr>
          <w:p>
            <w:pPr>
              <w:pStyle w:val="63"/>
              <w:jc w:val="left"/>
            </w:pPr>
            <w:r>
              <w:t>a.投资较高b.运行能耗较高c.对操作人员素质要</w:t>
            </w:r>
            <w:r>
              <w:rPr>
                <w:rFonts w:hint="eastAsia"/>
              </w:rPr>
              <w:t>求高</w:t>
            </w:r>
          </w:p>
        </w:tc>
        <w:tc>
          <w:tcPr>
            <w:tcW w:w="1351" w:type="dxa"/>
            <w:vAlign w:val="center"/>
          </w:tcPr>
          <w:p>
            <w:pPr>
              <w:pStyle w:val="63"/>
            </w:pPr>
            <w:r>
              <w:rPr>
                <w:rFonts w:hint="eastAsia"/>
              </w:rPr>
              <w:t>无需后续工艺</w:t>
            </w:r>
          </w:p>
        </w:tc>
        <w:tc>
          <w:tcPr>
            <w:tcW w:w="1788" w:type="dxa"/>
            <w:vAlign w:val="center"/>
          </w:tcPr>
          <w:p>
            <w:pPr>
              <w:pStyle w:val="63"/>
            </w:pPr>
            <w:r>
              <w:rPr>
                <w:rFonts w:hint="eastAsia"/>
              </w:rPr>
              <w:t>用地紧张的中大型污水处理厂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63"/>
            </w:pPr>
            <w:r>
              <w:rPr>
                <w:rFonts w:hint="eastAsia"/>
              </w:rPr>
              <w:t>BAF</w:t>
            </w:r>
          </w:p>
        </w:tc>
        <w:tc>
          <w:tcPr>
            <w:tcW w:w="2837" w:type="dxa"/>
            <w:vAlign w:val="center"/>
          </w:tcPr>
          <w:p>
            <w:pPr>
              <w:pStyle w:val="63"/>
            </w:pPr>
            <w:r>
              <w:t>a. 去除有机物及脱氮效</w:t>
            </w:r>
            <w:r>
              <w:rPr>
                <w:rFonts w:hint="eastAsia"/>
              </w:rPr>
              <w:t>率高</w:t>
            </w:r>
            <w:r>
              <w:t>b.出水SS 很低，水质好c.氧利用率高，能耗低d.占地少，抗冲击负荷能</w:t>
            </w:r>
            <w:r>
              <w:rPr>
                <w:rFonts w:hint="eastAsia"/>
              </w:rPr>
              <w:t>力强</w:t>
            </w:r>
          </w:p>
        </w:tc>
        <w:tc>
          <w:tcPr>
            <w:tcW w:w="2230" w:type="dxa"/>
            <w:vAlign w:val="center"/>
          </w:tcPr>
          <w:p>
            <w:pPr>
              <w:pStyle w:val="63"/>
            </w:pPr>
            <w:r>
              <w:t>a.对填料质量要求高b.设备种类较多，维</w:t>
            </w:r>
            <w:r>
              <w:rPr>
                <w:rFonts w:hint="eastAsia"/>
              </w:rPr>
              <w:t>护要求较高</w:t>
            </w:r>
            <w:r>
              <w:t>c.除磷效果差，需后</w:t>
            </w:r>
            <w:r>
              <w:rPr>
                <w:rFonts w:hint="eastAsia"/>
              </w:rPr>
              <w:t>续处理</w:t>
            </w:r>
          </w:p>
        </w:tc>
        <w:tc>
          <w:tcPr>
            <w:tcW w:w="1351" w:type="dxa"/>
            <w:vAlign w:val="center"/>
          </w:tcPr>
          <w:p>
            <w:pPr>
              <w:pStyle w:val="63"/>
            </w:pPr>
            <w:r>
              <w:rPr>
                <w:rFonts w:hint="eastAsia"/>
              </w:rPr>
              <w:t>需要后续工艺</w:t>
            </w:r>
          </w:p>
        </w:tc>
        <w:tc>
          <w:tcPr>
            <w:tcW w:w="1788" w:type="dxa"/>
            <w:vAlign w:val="center"/>
          </w:tcPr>
          <w:p>
            <w:pPr>
              <w:pStyle w:val="63"/>
            </w:pPr>
            <w:r>
              <w:rPr>
                <w:rFonts w:hint="eastAsia"/>
              </w:rPr>
              <w:t>用地紧张的中小型污水处理厂</w:t>
            </w:r>
          </w:p>
        </w:tc>
      </w:tr>
    </w:tbl>
    <w:p/>
    <w:p>
      <w:pPr>
        <w:pStyle w:val="5"/>
        <w:ind w:firstLine="480"/>
      </w:pPr>
      <w:r>
        <w:rPr>
          <w:rFonts w:hint="eastAsia"/>
        </w:rPr>
        <w:t>通过以上比较可知，氧化沟工艺占地面积最大，其次为</w:t>
      </w:r>
      <w:r>
        <w:t>AAO 工艺，CASS</w:t>
      </w:r>
      <w:r>
        <w:rPr>
          <w:rFonts w:hint="eastAsia"/>
        </w:rPr>
        <w:t>工艺、</w:t>
      </w:r>
      <w:r>
        <w:t>MBR 工艺及BAF 工艺占地面积均较少，考虑本项目为生态城污水处理厂，</w:t>
      </w:r>
      <w:r>
        <w:rPr>
          <w:rFonts w:hint="eastAsia"/>
        </w:rPr>
        <w:t>从节省占地方面考虑选用占地较少的污水处理工艺。</w:t>
      </w:r>
    </w:p>
    <w:p>
      <w:pPr>
        <w:pStyle w:val="5"/>
        <w:ind w:firstLine="480"/>
      </w:pPr>
      <w:r>
        <w:t>BAF 工艺加药量较大、化学产泥量大，造成污水处理成本较高，虽然其占</w:t>
      </w:r>
      <w:r>
        <w:rPr>
          <w:rFonts w:hint="eastAsia"/>
        </w:rPr>
        <w:t>地面积小，但是脱氮除磷效果差，在国内应用实例较少。</w:t>
      </w:r>
      <w:r>
        <w:t>MBR 工艺投资较高、运行能耗较高、对操作人员素质要求高，主要应用于</w:t>
      </w:r>
      <w:r>
        <w:rPr>
          <w:rFonts w:hint="eastAsia"/>
        </w:rPr>
        <w:t>用地紧张的中大型污水处理厂及对出水水质有更严格要求的污水处理厂，本工程用地充裕，且要求选择运行管理简单成熟、投资和运行成本低廉的工艺。</w:t>
      </w:r>
      <w:r>
        <w:t>AAO 工艺在国内工业园污水处理厂中的实例非常多，事实证明其具有良好</w:t>
      </w:r>
      <w:r>
        <w:rPr>
          <w:rFonts w:hint="eastAsia"/>
        </w:rPr>
        <w:t>稳定的脱氮除磷能力、良好的抗冲击负荷能力、较多的运行管理经验，能够更加稳定可靠地保证出水达标。</w:t>
      </w:r>
    </w:p>
    <w:p>
      <w:pPr>
        <w:pStyle w:val="5"/>
        <w:ind w:firstLine="480"/>
      </w:pPr>
      <w:r>
        <w:rPr>
          <w:rFonts w:hint="eastAsia"/>
        </w:rPr>
        <w:t>通过以上比较可以看出，投资低，运行成本小，且该工艺可灵活调节，分别强化脱氮或除磷效果，适用范围广，并在国内有着成熟的工程应用，对于本工程来说具有一定的优势。因此本项目采用“</w:t>
      </w:r>
      <w:r>
        <w:t>A/A/O 工艺”为生化处理工艺。</w:t>
      </w:r>
    </w:p>
    <w:p>
      <w:pPr>
        <w:pStyle w:val="6"/>
        <w:spacing w:before="156" w:after="156"/>
      </w:pPr>
      <w:r>
        <w:rPr>
          <w:rFonts w:hint="eastAsia"/>
        </w:rPr>
        <w:t>深度处理工艺确定</w:t>
      </w:r>
    </w:p>
    <w:p>
      <w:pPr>
        <w:pStyle w:val="5"/>
        <w:ind w:firstLine="480"/>
      </w:pPr>
      <w:r>
        <w:rPr>
          <w:rFonts w:hint="eastAsia"/>
        </w:rPr>
        <w:t>深度处理的目的主要是去除仍然较高的</w:t>
      </w:r>
      <w:r>
        <w:t>SS 值以及进一</w:t>
      </w:r>
      <w:r>
        <w:rPr>
          <w:rFonts w:hint="eastAsia"/>
        </w:rPr>
        <w:t>步降低水中的</w:t>
      </w:r>
      <w:r>
        <w:t>TP、氨氮、CODcr 和BOD</w:t>
      </w:r>
      <w:r>
        <w:rPr>
          <w:vertAlign w:val="subscript"/>
        </w:rPr>
        <w:t>5</w:t>
      </w:r>
      <w:r>
        <w:t>，确保出水达标。</w:t>
      </w:r>
      <w:r>
        <w:rPr>
          <w:rFonts w:hint="eastAsia"/>
        </w:rPr>
        <w:t>常用的污水深度处理工序依次包括混合、絮凝、沉淀及过滤，目标是去除部分</w:t>
      </w:r>
      <w:r>
        <w:t>COD，SS 及TP，该工艺处理效果好、运</w:t>
      </w:r>
      <w:r>
        <w:rPr>
          <w:rFonts w:hint="eastAsia"/>
        </w:rPr>
        <w:t>行成本低、操作管理方便。</w:t>
      </w:r>
    </w:p>
    <w:p>
      <w:pPr>
        <w:pStyle w:val="5"/>
        <w:ind w:firstLine="480"/>
      </w:pPr>
      <w:r>
        <w:rPr>
          <w:rFonts w:hint="eastAsia"/>
        </w:rPr>
        <w:t>混凝、加药沉淀处理工艺可有效去除被处理水体中含有的悬浮物、部分有机污染物及其他杂质，在国内和国际上该处理工艺均被广泛采用。混凝沉淀的工艺主要有机械絮凝沉淀池和高效沉淀池，两种混凝沉淀工艺的比较见</w:t>
      </w:r>
      <w:r>
        <w:fldChar w:fldCharType="begin"/>
      </w:r>
      <w:r>
        <w:instrText xml:space="preserve"> </w:instrText>
      </w:r>
      <w:r>
        <w:rPr>
          <w:rFonts w:hint="eastAsia"/>
        </w:rPr>
        <w:instrText xml:space="preserve">REF _Ref170726709 \h</w:instrText>
      </w:r>
      <w:r>
        <w:instrText xml:space="preserve"> </w:instrText>
      </w:r>
      <w:r>
        <w:fldChar w:fldCharType="separate"/>
      </w:r>
      <w:r>
        <w:t>表 5.2</w:t>
      </w:r>
      <w:r>
        <w:noBreakHyphen/>
      </w:r>
      <w:r>
        <w:t>5</w:t>
      </w:r>
      <w:r>
        <w:fldChar w:fldCharType="end"/>
      </w:r>
      <w:r>
        <w:rPr>
          <w:rFonts w:hint="eastAsia"/>
        </w:rPr>
        <w:t>，由于高效沉淀池效果好，抗冲击负荷强，运行稳定。所以，本项目采用“高效沉淀池”作为污水三级处理的混凝沉淀工艺。</w:t>
      </w:r>
    </w:p>
    <w:p>
      <w:pPr>
        <w:pStyle w:val="14"/>
        <w:keepNext/>
      </w:pPr>
      <w:bookmarkStart w:id="119" w:name="_Ref170726709"/>
      <w:r>
        <w:t xml:space="preserve">表 </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5</w:t>
      </w:r>
      <w:r>
        <w:fldChar w:fldCharType="end"/>
      </w:r>
      <w:bookmarkEnd w:id="119"/>
      <w:r>
        <w:rPr>
          <w:rFonts w:hint="eastAsia"/>
        </w:rPr>
        <w:t xml:space="preserve">   混凝沉淀工艺比较</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3"/>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pStyle w:val="63"/>
            </w:pPr>
            <w:r>
              <w:rPr>
                <w:rFonts w:hint="eastAsia"/>
              </w:rPr>
              <w:t>项目</w:t>
            </w:r>
          </w:p>
        </w:tc>
        <w:tc>
          <w:tcPr>
            <w:tcW w:w="2983" w:type="dxa"/>
          </w:tcPr>
          <w:p>
            <w:pPr>
              <w:pStyle w:val="63"/>
            </w:pPr>
            <w:r>
              <w:rPr>
                <w:rFonts w:hint="eastAsia"/>
              </w:rPr>
              <w:t>机械絮凝沉淀池</w:t>
            </w:r>
          </w:p>
        </w:tc>
        <w:tc>
          <w:tcPr>
            <w:tcW w:w="2983" w:type="dxa"/>
          </w:tcPr>
          <w:p>
            <w:pPr>
              <w:pStyle w:val="63"/>
            </w:pPr>
            <w:r>
              <w:rPr>
                <w:rFonts w:hint="eastAsia"/>
              </w:rPr>
              <w:t>高效沉淀池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pStyle w:val="63"/>
            </w:pPr>
            <w:r>
              <w:rPr>
                <w:rFonts w:hint="eastAsia"/>
              </w:rPr>
              <w:t>处理效果</w:t>
            </w:r>
          </w:p>
        </w:tc>
        <w:tc>
          <w:tcPr>
            <w:tcW w:w="2983" w:type="dxa"/>
          </w:tcPr>
          <w:p>
            <w:pPr>
              <w:pStyle w:val="63"/>
            </w:pPr>
            <w:r>
              <w:rPr>
                <w:rFonts w:hint="eastAsia"/>
              </w:rPr>
              <w:t>满足出水水质要求</w:t>
            </w:r>
          </w:p>
        </w:tc>
        <w:tc>
          <w:tcPr>
            <w:tcW w:w="2983" w:type="dxa"/>
          </w:tcPr>
          <w:p>
            <w:pPr>
              <w:pStyle w:val="63"/>
            </w:pPr>
            <w:r>
              <w:rPr>
                <w:rFonts w:hint="eastAsia"/>
              </w:rPr>
              <w:t>满足出水水质要求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pStyle w:val="63"/>
            </w:pPr>
            <w:r>
              <w:rPr>
                <w:rFonts w:hint="eastAsia"/>
              </w:rPr>
              <w:t>对低温低浊水处理效果</w:t>
            </w:r>
          </w:p>
        </w:tc>
        <w:tc>
          <w:tcPr>
            <w:tcW w:w="2983" w:type="dxa"/>
          </w:tcPr>
          <w:p>
            <w:pPr>
              <w:pStyle w:val="63"/>
            </w:pPr>
            <w:r>
              <w:rPr>
                <w:rFonts w:hint="eastAsia"/>
              </w:rPr>
              <w:t>较差</w:t>
            </w:r>
          </w:p>
        </w:tc>
        <w:tc>
          <w:tcPr>
            <w:tcW w:w="2983" w:type="dxa"/>
          </w:tcPr>
          <w:p>
            <w:pPr>
              <w:pStyle w:val="63"/>
            </w:pPr>
            <w:r>
              <w:rPr>
                <w:rFonts w:hint="eastAsia"/>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pStyle w:val="63"/>
            </w:pPr>
            <w:r>
              <w:rPr>
                <w:rFonts w:hint="eastAsia"/>
              </w:rPr>
              <w:t>抗负荷冲击能力</w:t>
            </w:r>
          </w:p>
        </w:tc>
        <w:tc>
          <w:tcPr>
            <w:tcW w:w="2983" w:type="dxa"/>
          </w:tcPr>
          <w:p>
            <w:pPr>
              <w:pStyle w:val="63"/>
            </w:pPr>
            <w:r>
              <w:rPr>
                <w:rFonts w:hint="eastAsia"/>
              </w:rPr>
              <w:t>较强</w:t>
            </w:r>
          </w:p>
        </w:tc>
        <w:tc>
          <w:tcPr>
            <w:tcW w:w="2983" w:type="dxa"/>
          </w:tcPr>
          <w:p>
            <w:pPr>
              <w:pStyle w:val="63"/>
            </w:pPr>
            <w:r>
              <w:rPr>
                <w:rFonts w:hint="eastAsia"/>
              </w:rPr>
              <w:t>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pStyle w:val="63"/>
            </w:pPr>
            <w:r>
              <w:rPr>
                <w:rFonts w:hint="eastAsia"/>
              </w:rPr>
              <w:t>运行稳定性</w:t>
            </w:r>
          </w:p>
        </w:tc>
        <w:tc>
          <w:tcPr>
            <w:tcW w:w="2983" w:type="dxa"/>
          </w:tcPr>
          <w:p>
            <w:pPr>
              <w:pStyle w:val="63"/>
            </w:pPr>
            <w:r>
              <w:rPr>
                <w:rFonts w:hint="eastAsia"/>
              </w:rPr>
              <w:t>比较稳定</w:t>
            </w:r>
          </w:p>
        </w:tc>
        <w:tc>
          <w:tcPr>
            <w:tcW w:w="2983" w:type="dxa"/>
          </w:tcPr>
          <w:p>
            <w:pPr>
              <w:pStyle w:val="63"/>
            </w:pPr>
            <w:r>
              <w:rPr>
                <w:rFonts w:hint="eastAsia"/>
              </w:rPr>
              <w:t>比较稳定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pStyle w:val="63"/>
            </w:pPr>
            <w:r>
              <w:rPr>
                <w:rFonts w:hint="eastAsia"/>
              </w:rPr>
              <w:t>运行维护费用</w:t>
            </w:r>
          </w:p>
        </w:tc>
        <w:tc>
          <w:tcPr>
            <w:tcW w:w="2983" w:type="dxa"/>
          </w:tcPr>
          <w:p>
            <w:pPr>
              <w:pStyle w:val="63"/>
            </w:pPr>
            <w:r>
              <w:rPr>
                <w:rFonts w:hint="eastAsia"/>
              </w:rPr>
              <w:t>较低</w:t>
            </w:r>
          </w:p>
        </w:tc>
        <w:tc>
          <w:tcPr>
            <w:tcW w:w="2983" w:type="dxa"/>
          </w:tcPr>
          <w:p>
            <w:pPr>
              <w:pStyle w:val="63"/>
            </w:pPr>
            <w:r>
              <w:rPr>
                <w:rFonts w:hint="eastAsia"/>
              </w:rPr>
              <w:t>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pStyle w:val="63"/>
            </w:pPr>
            <w:r>
              <w:rPr>
                <w:rFonts w:hint="eastAsia"/>
              </w:rPr>
              <w:t>技术管理要求</w:t>
            </w:r>
          </w:p>
        </w:tc>
        <w:tc>
          <w:tcPr>
            <w:tcW w:w="2983" w:type="dxa"/>
          </w:tcPr>
          <w:p>
            <w:pPr>
              <w:pStyle w:val="63"/>
            </w:pPr>
            <w:r>
              <w:rPr>
                <w:rFonts w:hint="eastAsia"/>
              </w:rPr>
              <w:t>操作管理简单</w:t>
            </w:r>
          </w:p>
        </w:tc>
        <w:tc>
          <w:tcPr>
            <w:tcW w:w="2983" w:type="dxa"/>
          </w:tcPr>
          <w:p>
            <w:pPr>
              <w:pStyle w:val="63"/>
            </w:pPr>
            <w:r>
              <w:rPr>
                <w:rFonts w:hint="eastAsia"/>
              </w:rPr>
              <w:t>操作挂你较为复杂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pStyle w:val="63"/>
            </w:pPr>
            <w:r>
              <w:rPr>
                <w:rFonts w:hint="eastAsia"/>
              </w:rPr>
              <w:t>处理厂占地</w:t>
            </w:r>
          </w:p>
        </w:tc>
        <w:tc>
          <w:tcPr>
            <w:tcW w:w="2983" w:type="dxa"/>
          </w:tcPr>
          <w:p>
            <w:pPr>
              <w:pStyle w:val="63"/>
            </w:pPr>
            <w:r>
              <w:rPr>
                <w:rFonts w:hint="eastAsia"/>
              </w:rPr>
              <w:t>占地面积较大</w:t>
            </w:r>
          </w:p>
        </w:tc>
        <w:tc>
          <w:tcPr>
            <w:tcW w:w="2983" w:type="dxa"/>
          </w:tcPr>
          <w:p>
            <w:pPr>
              <w:pStyle w:val="63"/>
            </w:pPr>
            <w:r>
              <w:rPr>
                <w:rFonts w:hint="eastAsia"/>
              </w:rPr>
              <w:t>紧凑、占地省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tcPr>
          <w:p>
            <w:pPr>
              <w:pStyle w:val="63"/>
            </w:pPr>
            <w:r>
              <w:rPr>
                <w:rFonts w:hint="eastAsia"/>
              </w:rPr>
              <w:t>排泥方式</w:t>
            </w:r>
          </w:p>
        </w:tc>
        <w:tc>
          <w:tcPr>
            <w:tcW w:w="2983" w:type="dxa"/>
          </w:tcPr>
          <w:p>
            <w:pPr>
              <w:pStyle w:val="63"/>
            </w:pPr>
            <w:r>
              <w:rPr>
                <w:rFonts w:hint="eastAsia"/>
              </w:rPr>
              <w:t>静压排泥或刮泥机排泥</w:t>
            </w:r>
          </w:p>
        </w:tc>
        <w:tc>
          <w:tcPr>
            <w:tcW w:w="2983" w:type="dxa"/>
          </w:tcPr>
          <w:p>
            <w:pPr>
              <w:pStyle w:val="63"/>
            </w:pPr>
            <w:r>
              <w:rPr>
                <w:rFonts w:hint="eastAsia"/>
              </w:rPr>
              <w:t>刮泥机排泥</w:t>
            </w:r>
          </w:p>
        </w:tc>
      </w:tr>
    </w:tbl>
    <w:p>
      <w:pPr>
        <w:pStyle w:val="5"/>
        <w:ind w:firstLine="480"/>
      </w:pPr>
      <w:r>
        <w:rPr>
          <w:rFonts w:hint="eastAsia"/>
        </w:rPr>
        <w:t>国内常用的滤池型式有很多，如普通快滤池、</w:t>
      </w:r>
      <w:r>
        <w:t>普通快滤池、彗星式纤维滤池、V 型滤池</w:t>
      </w:r>
      <w:r>
        <w:rPr>
          <w:rFonts w:hint="eastAsia"/>
        </w:rPr>
        <w:t>、滤布滤池等。</w:t>
      </w:r>
      <w:r>
        <w:t>石英砂过滤器单套处理能力较小，影响大规模污水处理厂使用；普通快滤池结构较复杂、孔口水头损失大，冲洗时动力消耗大、管</w:t>
      </w:r>
      <w:r>
        <w:rPr>
          <w:rFonts w:hint="eastAsia"/>
        </w:rPr>
        <w:t>道易结垢，增加检修困难；</w:t>
      </w:r>
      <w:r>
        <w:t>彗星式纤维滤池：过滤速度快，抗负荷能力强，纳污量大，检修维护</w:t>
      </w:r>
      <w:r>
        <w:rPr>
          <w:rFonts w:hint="eastAsia"/>
        </w:rPr>
        <w:t>方便，使用寿命长，运行费用低，系统压损较大；</w:t>
      </w:r>
      <w:r>
        <w:t>V型滤池运行稳妥可靠；滤床含污量大、过滤周期长、滤速高、出</w:t>
      </w:r>
      <w:r>
        <w:rPr>
          <w:rFonts w:hint="eastAsia"/>
        </w:rPr>
        <w:t>水水质较好，具有气水反冲洗和水表面扫洗，冲洗效果较好，运行技术和设计技术成熟；单</w:t>
      </w:r>
      <w:r>
        <w:t>V型滤池滤速较低，占地面积较大；系统压损较大</w:t>
      </w:r>
      <w:r>
        <w:rPr>
          <w:rFonts w:hint="eastAsia"/>
        </w:rPr>
        <w:t>；</w:t>
      </w:r>
      <w:r>
        <w:t>滤布滤池耐冲击负荷，适应性强，出水水质优秀，水量不稳定，运</w:t>
      </w:r>
      <w:r>
        <w:rPr>
          <w:rFonts w:hint="eastAsia"/>
        </w:rPr>
        <w:t>行维护费用高。综合考虑采用</w:t>
      </w:r>
      <w:r>
        <w:t>彗星式纤维滤池</w:t>
      </w:r>
      <w:r>
        <w:rPr>
          <w:rFonts w:hint="eastAsia"/>
        </w:rPr>
        <w:t>。</w:t>
      </w:r>
    </w:p>
    <w:p>
      <w:pPr>
        <w:pStyle w:val="5"/>
        <w:ind w:firstLine="480"/>
      </w:pPr>
      <w:r>
        <w:rPr>
          <w:rFonts w:hint="eastAsia"/>
        </w:rPr>
        <w:t>综上，深度处理采用高效沉淀池+</w:t>
      </w:r>
      <w:r>
        <w:t>彗星式纤维滤池</w:t>
      </w:r>
      <w:r>
        <w:rPr>
          <w:rFonts w:hint="eastAsia"/>
        </w:rPr>
        <w:t>。</w:t>
      </w:r>
    </w:p>
    <w:p>
      <w:pPr>
        <w:pStyle w:val="6"/>
        <w:spacing w:before="156" w:after="156"/>
      </w:pPr>
      <w:r>
        <w:rPr>
          <w:rFonts w:hint="eastAsia"/>
        </w:rPr>
        <w:t>消毒工艺确定</w:t>
      </w:r>
    </w:p>
    <w:p>
      <w:pPr>
        <w:pStyle w:val="5"/>
        <w:ind w:firstLine="480"/>
      </w:pPr>
      <w:r>
        <w:rPr>
          <w:rFonts w:hint="eastAsia"/>
        </w:rPr>
        <w:t>在水处理中常用的消毒剂有液氯、次氯酸钠、臭氧、二氧化氯和紫外线等。项目采用“紫外线消毒工艺”，原由为：（</w:t>
      </w:r>
      <w:r>
        <w:t>1）工艺已经成熟可靠，具有实际运行经验，操作管理简便易行。</w:t>
      </w:r>
      <w:r>
        <w:rPr>
          <w:rFonts w:hint="eastAsia"/>
        </w:rPr>
        <w:t>（</w:t>
      </w:r>
      <w:r>
        <w:t>2）杀菌速度快，处理水量大，占地面积小。</w:t>
      </w:r>
      <w:r>
        <w:rPr>
          <w:rFonts w:hint="eastAsia"/>
        </w:rPr>
        <w:t>（</w:t>
      </w:r>
      <w:r>
        <w:t>3）设备安全性高，无二次污染，维护检修方便。</w:t>
      </w:r>
      <w:r>
        <w:rPr>
          <w:rFonts w:hint="eastAsia"/>
        </w:rPr>
        <w:t>（</w:t>
      </w:r>
      <w:r>
        <w:t>4）紫外线对水中的有害菌灭活，同时不改变水的物理化学性质，且不产</w:t>
      </w:r>
      <w:r>
        <w:rPr>
          <w:rFonts w:hint="eastAsia"/>
        </w:rPr>
        <w:t>生气味和其他有害的卤代甲烷等副产物，环境影响甚微。</w:t>
      </w:r>
    </w:p>
    <w:p>
      <w:pPr>
        <w:pStyle w:val="14"/>
        <w:keepNext/>
      </w:pPr>
      <w:r>
        <w:t xml:space="preserve">表 </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6</w:t>
      </w:r>
      <w:r>
        <w:fldChar w:fldCharType="end"/>
      </w:r>
      <w:r>
        <w:rPr>
          <w:rFonts w:hint="eastAsia"/>
        </w:rPr>
        <w:t xml:space="preserve">   常见尾水消毒技术比较</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9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项目</w:t>
            </w:r>
          </w:p>
        </w:tc>
        <w:tc>
          <w:tcPr>
            <w:tcW w:w="1789" w:type="dxa"/>
          </w:tcPr>
          <w:p>
            <w:pPr>
              <w:pStyle w:val="63"/>
            </w:pPr>
            <w:r>
              <w:rPr>
                <w:rFonts w:hint="eastAsia"/>
              </w:rPr>
              <w:t>液氯</w:t>
            </w:r>
          </w:p>
        </w:tc>
        <w:tc>
          <w:tcPr>
            <w:tcW w:w="1790" w:type="dxa"/>
          </w:tcPr>
          <w:p>
            <w:pPr>
              <w:pStyle w:val="63"/>
            </w:pPr>
            <w:r>
              <w:rPr>
                <w:rFonts w:hint="eastAsia"/>
              </w:rPr>
              <w:t>二氧化氯</w:t>
            </w:r>
          </w:p>
        </w:tc>
        <w:tc>
          <w:tcPr>
            <w:tcW w:w="1790" w:type="dxa"/>
          </w:tcPr>
          <w:p>
            <w:pPr>
              <w:pStyle w:val="63"/>
            </w:pPr>
            <w:r>
              <w:rPr>
                <w:rFonts w:hint="eastAsia"/>
              </w:rPr>
              <w:t>臭氧</w:t>
            </w:r>
          </w:p>
        </w:tc>
        <w:tc>
          <w:tcPr>
            <w:tcW w:w="1790" w:type="dxa"/>
          </w:tcPr>
          <w:p>
            <w:pPr>
              <w:pStyle w:val="63"/>
            </w:pPr>
            <w:r>
              <w:rPr>
                <w:rFonts w:hint="eastAsia"/>
              </w:rPr>
              <w:t>紫外线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消毒效果</w:t>
            </w:r>
          </w:p>
        </w:tc>
        <w:tc>
          <w:tcPr>
            <w:tcW w:w="1789" w:type="dxa"/>
          </w:tcPr>
          <w:p>
            <w:pPr>
              <w:pStyle w:val="63"/>
            </w:pPr>
            <w:r>
              <w:rPr>
                <w:rFonts w:hint="eastAsia"/>
              </w:rPr>
              <w:t>较好</w:t>
            </w:r>
          </w:p>
        </w:tc>
        <w:tc>
          <w:tcPr>
            <w:tcW w:w="1790" w:type="dxa"/>
          </w:tcPr>
          <w:p>
            <w:pPr>
              <w:pStyle w:val="63"/>
            </w:pPr>
            <w:r>
              <w:rPr>
                <w:rFonts w:hint="eastAsia"/>
              </w:rPr>
              <w:t>好</w:t>
            </w:r>
          </w:p>
        </w:tc>
        <w:tc>
          <w:tcPr>
            <w:tcW w:w="1790" w:type="dxa"/>
          </w:tcPr>
          <w:p>
            <w:pPr>
              <w:pStyle w:val="63"/>
            </w:pPr>
            <w:r>
              <w:rPr>
                <w:rFonts w:hint="eastAsia"/>
              </w:rPr>
              <w:t>好</w:t>
            </w:r>
          </w:p>
        </w:tc>
        <w:tc>
          <w:tcPr>
            <w:tcW w:w="1790" w:type="dxa"/>
          </w:tcPr>
          <w:p>
            <w:pPr>
              <w:pStyle w:val="63"/>
            </w:pPr>
            <w:r>
              <w:rPr>
                <w:rFonts w:hint="eastAsia"/>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除臭去味</w:t>
            </w:r>
          </w:p>
        </w:tc>
        <w:tc>
          <w:tcPr>
            <w:tcW w:w="1789" w:type="dxa"/>
          </w:tcPr>
          <w:p>
            <w:pPr>
              <w:pStyle w:val="63"/>
            </w:pPr>
            <w:r>
              <w:rPr>
                <w:rFonts w:hint="eastAsia"/>
              </w:rPr>
              <w:t>无作用</w:t>
            </w:r>
          </w:p>
        </w:tc>
        <w:tc>
          <w:tcPr>
            <w:tcW w:w="1790" w:type="dxa"/>
          </w:tcPr>
          <w:p>
            <w:pPr>
              <w:pStyle w:val="63"/>
            </w:pPr>
            <w:r>
              <w:rPr>
                <w:rFonts w:hint="eastAsia"/>
              </w:rPr>
              <w:t>较好</w:t>
            </w:r>
          </w:p>
        </w:tc>
        <w:tc>
          <w:tcPr>
            <w:tcW w:w="1790" w:type="dxa"/>
          </w:tcPr>
          <w:p>
            <w:pPr>
              <w:pStyle w:val="63"/>
            </w:pPr>
            <w:r>
              <w:rPr>
                <w:rFonts w:hint="eastAsia"/>
              </w:rPr>
              <w:t>较好</w:t>
            </w:r>
          </w:p>
        </w:tc>
        <w:tc>
          <w:tcPr>
            <w:tcW w:w="1790" w:type="dxa"/>
          </w:tcPr>
          <w:p>
            <w:pPr>
              <w:pStyle w:val="63"/>
            </w:pPr>
            <w:r>
              <w:rPr>
                <w:rFonts w:hint="eastAsia"/>
              </w:rPr>
              <w:t>无作用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pH影响</w:t>
            </w:r>
          </w:p>
        </w:tc>
        <w:tc>
          <w:tcPr>
            <w:tcW w:w="1789" w:type="dxa"/>
          </w:tcPr>
          <w:p>
            <w:pPr>
              <w:pStyle w:val="63"/>
            </w:pPr>
            <w:r>
              <w:rPr>
                <w:rFonts w:hint="eastAsia"/>
              </w:rPr>
              <w:t>较大</w:t>
            </w:r>
          </w:p>
        </w:tc>
        <w:tc>
          <w:tcPr>
            <w:tcW w:w="1790" w:type="dxa"/>
          </w:tcPr>
          <w:p>
            <w:pPr>
              <w:pStyle w:val="63"/>
            </w:pPr>
            <w:r>
              <w:rPr>
                <w:rFonts w:hint="eastAsia"/>
              </w:rPr>
              <w:t>较小</w:t>
            </w:r>
          </w:p>
        </w:tc>
        <w:tc>
          <w:tcPr>
            <w:tcW w:w="1790" w:type="dxa"/>
          </w:tcPr>
          <w:p>
            <w:pPr>
              <w:pStyle w:val="63"/>
            </w:pPr>
            <w:r>
              <w:rPr>
                <w:rFonts w:hint="eastAsia"/>
              </w:rPr>
              <w:t>小</w:t>
            </w:r>
          </w:p>
        </w:tc>
        <w:tc>
          <w:tcPr>
            <w:tcW w:w="1790" w:type="dxa"/>
          </w:tcPr>
          <w:p>
            <w:pPr>
              <w:pStyle w:val="63"/>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水中溶解度</w:t>
            </w:r>
          </w:p>
        </w:tc>
        <w:tc>
          <w:tcPr>
            <w:tcW w:w="1789" w:type="dxa"/>
          </w:tcPr>
          <w:p>
            <w:pPr>
              <w:pStyle w:val="63"/>
            </w:pPr>
            <w:r>
              <w:rPr>
                <w:rFonts w:hint="eastAsia"/>
              </w:rPr>
              <w:t>高</w:t>
            </w:r>
          </w:p>
        </w:tc>
        <w:tc>
          <w:tcPr>
            <w:tcW w:w="1790" w:type="dxa"/>
          </w:tcPr>
          <w:p>
            <w:pPr>
              <w:pStyle w:val="63"/>
            </w:pPr>
            <w:r>
              <w:rPr>
                <w:rFonts w:hint="eastAsia"/>
              </w:rPr>
              <w:t>很高</w:t>
            </w:r>
          </w:p>
        </w:tc>
        <w:tc>
          <w:tcPr>
            <w:tcW w:w="1790" w:type="dxa"/>
          </w:tcPr>
          <w:p>
            <w:pPr>
              <w:pStyle w:val="63"/>
            </w:pPr>
            <w:r>
              <w:rPr>
                <w:rFonts w:hint="eastAsia"/>
              </w:rPr>
              <w:t>较低</w:t>
            </w:r>
          </w:p>
        </w:tc>
        <w:tc>
          <w:tcPr>
            <w:tcW w:w="1790" w:type="dxa"/>
          </w:tcPr>
          <w:p>
            <w:pPr>
              <w:pStyle w:val="63"/>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致癌物质形成</w:t>
            </w:r>
          </w:p>
        </w:tc>
        <w:tc>
          <w:tcPr>
            <w:tcW w:w="1789" w:type="dxa"/>
          </w:tcPr>
          <w:p>
            <w:pPr>
              <w:pStyle w:val="63"/>
            </w:pPr>
            <w:r>
              <w:rPr>
                <w:rFonts w:hint="eastAsia"/>
              </w:rPr>
              <w:t>明显</w:t>
            </w:r>
          </w:p>
        </w:tc>
        <w:tc>
          <w:tcPr>
            <w:tcW w:w="1790" w:type="dxa"/>
          </w:tcPr>
          <w:p>
            <w:pPr>
              <w:pStyle w:val="63"/>
            </w:pPr>
            <w:r>
              <w:rPr>
                <w:rFonts w:hint="eastAsia"/>
              </w:rPr>
              <w:t>无</w:t>
            </w:r>
          </w:p>
        </w:tc>
        <w:tc>
          <w:tcPr>
            <w:tcW w:w="1790" w:type="dxa"/>
          </w:tcPr>
          <w:p>
            <w:pPr>
              <w:pStyle w:val="63"/>
            </w:pPr>
            <w:r>
              <w:rPr>
                <w:rFonts w:hint="eastAsia"/>
              </w:rPr>
              <w:t>有</w:t>
            </w:r>
          </w:p>
        </w:tc>
        <w:tc>
          <w:tcPr>
            <w:tcW w:w="1790" w:type="dxa"/>
          </w:tcPr>
          <w:p>
            <w:pPr>
              <w:pStyle w:val="63"/>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水中停留时间</w:t>
            </w:r>
          </w:p>
        </w:tc>
        <w:tc>
          <w:tcPr>
            <w:tcW w:w="1789" w:type="dxa"/>
          </w:tcPr>
          <w:p>
            <w:pPr>
              <w:pStyle w:val="63"/>
            </w:pPr>
            <w:r>
              <w:rPr>
                <w:rFonts w:hint="eastAsia"/>
              </w:rPr>
              <w:t>长</w:t>
            </w:r>
          </w:p>
        </w:tc>
        <w:tc>
          <w:tcPr>
            <w:tcW w:w="1790" w:type="dxa"/>
          </w:tcPr>
          <w:p>
            <w:pPr>
              <w:pStyle w:val="63"/>
            </w:pPr>
            <w:r>
              <w:rPr>
                <w:rFonts w:hint="eastAsia"/>
              </w:rPr>
              <w:t>长</w:t>
            </w:r>
          </w:p>
        </w:tc>
        <w:tc>
          <w:tcPr>
            <w:tcW w:w="1790" w:type="dxa"/>
          </w:tcPr>
          <w:p>
            <w:pPr>
              <w:pStyle w:val="63"/>
            </w:pPr>
            <w:r>
              <w:rPr>
                <w:rFonts w:hint="eastAsia"/>
              </w:rPr>
              <w:t xml:space="preserve">短 </w:t>
            </w:r>
          </w:p>
        </w:tc>
        <w:tc>
          <w:tcPr>
            <w:tcW w:w="1790" w:type="dxa"/>
          </w:tcPr>
          <w:p>
            <w:pPr>
              <w:pStyle w:val="63"/>
            </w:pPr>
            <w:r>
              <w:rPr>
                <w:rFonts w:hint="eastAsia"/>
              </w:rPr>
              <w:t>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消毒效果持续性</w:t>
            </w:r>
          </w:p>
        </w:tc>
        <w:tc>
          <w:tcPr>
            <w:tcW w:w="1789" w:type="dxa"/>
          </w:tcPr>
          <w:p>
            <w:pPr>
              <w:pStyle w:val="63"/>
            </w:pPr>
            <w:r>
              <w:rPr>
                <w:rFonts w:hint="eastAsia"/>
              </w:rPr>
              <w:t>有</w:t>
            </w:r>
          </w:p>
        </w:tc>
        <w:tc>
          <w:tcPr>
            <w:tcW w:w="1790" w:type="dxa"/>
          </w:tcPr>
          <w:p>
            <w:pPr>
              <w:pStyle w:val="63"/>
            </w:pPr>
            <w:r>
              <w:rPr>
                <w:rFonts w:hint="eastAsia"/>
              </w:rPr>
              <w:t>一般</w:t>
            </w:r>
          </w:p>
        </w:tc>
        <w:tc>
          <w:tcPr>
            <w:tcW w:w="1790" w:type="dxa"/>
          </w:tcPr>
          <w:p>
            <w:pPr>
              <w:pStyle w:val="63"/>
            </w:pPr>
            <w:r>
              <w:rPr>
                <w:rFonts w:hint="eastAsia"/>
              </w:rPr>
              <w:t>少</w:t>
            </w:r>
          </w:p>
        </w:tc>
        <w:tc>
          <w:tcPr>
            <w:tcW w:w="1790" w:type="dxa"/>
          </w:tcPr>
          <w:p>
            <w:pPr>
              <w:pStyle w:val="63"/>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杀菌速度</w:t>
            </w:r>
          </w:p>
        </w:tc>
        <w:tc>
          <w:tcPr>
            <w:tcW w:w="1789" w:type="dxa"/>
          </w:tcPr>
          <w:p>
            <w:pPr>
              <w:pStyle w:val="63"/>
            </w:pPr>
            <w:r>
              <w:rPr>
                <w:rFonts w:hint="eastAsia"/>
              </w:rPr>
              <w:t>中等</w:t>
            </w:r>
          </w:p>
        </w:tc>
        <w:tc>
          <w:tcPr>
            <w:tcW w:w="1790" w:type="dxa"/>
          </w:tcPr>
          <w:p>
            <w:pPr>
              <w:pStyle w:val="63"/>
            </w:pPr>
            <w:r>
              <w:rPr>
                <w:rFonts w:hint="eastAsia"/>
              </w:rPr>
              <w:t>快</w:t>
            </w:r>
          </w:p>
        </w:tc>
        <w:tc>
          <w:tcPr>
            <w:tcW w:w="1790" w:type="dxa"/>
          </w:tcPr>
          <w:p>
            <w:pPr>
              <w:pStyle w:val="63"/>
            </w:pPr>
            <w:r>
              <w:rPr>
                <w:rFonts w:hint="eastAsia"/>
              </w:rPr>
              <w:t>快</w:t>
            </w:r>
          </w:p>
        </w:tc>
        <w:tc>
          <w:tcPr>
            <w:tcW w:w="1790" w:type="dxa"/>
          </w:tcPr>
          <w:p>
            <w:pPr>
              <w:pStyle w:val="63"/>
            </w:pPr>
            <w:r>
              <w:rPr>
                <w:rFonts w:hint="eastAsia"/>
              </w:rPr>
              <w:t>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等效条件剂量</w:t>
            </w:r>
          </w:p>
        </w:tc>
        <w:tc>
          <w:tcPr>
            <w:tcW w:w="1789" w:type="dxa"/>
          </w:tcPr>
          <w:p>
            <w:pPr>
              <w:pStyle w:val="63"/>
            </w:pPr>
            <w:r>
              <w:rPr>
                <w:rFonts w:hint="eastAsia"/>
              </w:rPr>
              <w:t>较多</w:t>
            </w:r>
          </w:p>
        </w:tc>
        <w:tc>
          <w:tcPr>
            <w:tcW w:w="1790" w:type="dxa"/>
          </w:tcPr>
          <w:p>
            <w:pPr>
              <w:pStyle w:val="63"/>
            </w:pPr>
            <w:r>
              <w:rPr>
                <w:rFonts w:hint="eastAsia"/>
              </w:rPr>
              <w:t>少</w:t>
            </w:r>
          </w:p>
        </w:tc>
        <w:tc>
          <w:tcPr>
            <w:tcW w:w="1790" w:type="dxa"/>
          </w:tcPr>
          <w:p>
            <w:pPr>
              <w:pStyle w:val="63"/>
            </w:pPr>
            <w:r>
              <w:rPr>
                <w:rFonts w:hint="eastAsia"/>
              </w:rPr>
              <w:t>较少</w:t>
            </w:r>
          </w:p>
        </w:tc>
        <w:tc>
          <w:tcPr>
            <w:tcW w:w="1790" w:type="dxa"/>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处理水量</w:t>
            </w:r>
          </w:p>
        </w:tc>
        <w:tc>
          <w:tcPr>
            <w:tcW w:w="1789" w:type="dxa"/>
          </w:tcPr>
          <w:p>
            <w:pPr>
              <w:pStyle w:val="63"/>
            </w:pPr>
            <w:r>
              <w:rPr>
                <w:rFonts w:hint="eastAsia"/>
              </w:rPr>
              <w:t>大</w:t>
            </w:r>
          </w:p>
        </w:tc>
        <w:tc>
          <w:tcPr>
            <w:tcW w:w="1790" w:type="dxa"/>
          </w:tcPr>
          <w:p>
            <w:pPr>
              <w:pStyle w:val="63"/>
            </w:pPr>
            <w:r>
              <w:rPr>
                <w:rFonts w:hint="eastAsia"/>
              </w:rPr>
              <w:t>大</w:t>
            </w:r>
          </w:p>
        </w:tc>
        <w:tc>
          <w:tcPr>
            <w:tcW w:w="1790" w:type="dxa"/>
          </w:tcPr>
          <w:p>
            <w:pPr>
              <w:pStyle w:val="63"/>
            </w:pPr>
            <w:r>
              <w:rPr>
                <w:rFonts w:hint="eastAsia"/>
              </w:rPr>
              <w:t>较小</w:t>
            </w:r>
          </w:p>
        </w:tc>
        <w:tc>
          <w:tcPr>
            <w:tcW w:w="1790" w:type="dxa"/>
          </w:tcPr>
          <w:p>
            <w:pPr>
              <w:pStyle w:val="63"/>
            </w:pPr>
            <w:r>
              <w:rPr>
                <w:rFonts w:hint="eastAsia"/>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使用范围</w:t>
            </w:r>
          </w:p>
        </w:tc>
        <w:tc>
          <w:tcPr>
            <w:tcW w:w="1789" w:type="dxa"/>
          </w:tcPr>
          <w:p>
            <w:pPr>
              <w:pStyle w:val="63"/>
            </w:pPr>
            <w:r>
              <w:rPr>
                <w:rFonts w:hint="eastAsia"/>
              </w:rPr>
              <w:t>广</w:t>
            </w:r>
          </w:p>
        </w:tc>
        <w:tc>
          <w:tcPr>
            <w:tcW w:w="1790" w:type="dxa"/>
          </w:tcPr>
          <w:p>
            <w:pPr>
              <w:pStyle w:val="63"/>
            </w:pPr>
            <w:r>
              <w:rPr>
                <w:rFonts w:hint="eastAsia"/>
              </w:rPr>
              <w:t>广</w:t>
            </w:r>
          </w:p>
        </w:tc>
        <w:tc>
          <w:tcPr>
            <w:tcW w:w="1790" w:type="dxa"/>
          </w:tcPr>
          <w:p>
            <w:pPr>
              <w:pStyle w:val="63"/>
            </w:pPr>
            <w:r>
              <w:rPr>
                <w:rFonts w:hint="eastAsia"/>
              </w:rPr>
              <w:t>水量小</w:t>
            </w:r>
          </w:p>
        </w:tc>
        <w:tc>
          <w:tcPr>
            <w:tcW w:w="1790" w:type="dxa"/>
          </w:tcPr>
          <w:p>
            <w:pPr>
              <w:pStyle w:val="63"/>
            </w:pPr>
            <w:r>
              <w:rPr>
                <w:rFonts w:hint="eastAsia"/>
              </w:rPr>
              <w:t>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氨的影响</w:t>
            </w:r>
          </w:p>
        </w:tc>
        <w:tc>
          <w:tcPr>
            <w:tcW w:w="1789" w:type="dxa"/>
          </w:tcPr>
          <w:p>
            <w:pPr>
              <w:pStyle w:val="63"/>
            </w:pPr>
            <w:r>
              <w:rPr>
                <w:rFonts w:hint="eastAsia"/>
              </w:rPr>
              <w:t>大</w:t>
            </w:r>
          </w:p>
        </w:tc>
        <w:tc>
          <w:tcPr>
            <w:tcW w:w="1790" w:type="dxa"/>
          </w:tcPr>
          <w:p>
            <w:pPr>
              <w:pStyle w:val="63"/>
            </w:pPr>
            <w:r>
              <w:rPr>
                <w:rFonts w:hint="eastAsia"/>
              </w:rPr>
              <w:t>无</w:t>
            </w:r>
          </w:p>
        </w:tc>
        <w:tc>
          <w:tcPr>
            <w:tcW w:w="1790" w:type="dxa"/>
          </w:tcPr>
          <w:p>
            <w:pPr>
              <w:pStyle w:val="63"/>
            </w:pPr>
            <w:r>
              <w:rPr>
                <w:rFonts w:hint="eastAsia"/>
              </w:rPr>
              <w:t>无</w:t>
            </w:r>
          </w:p>
        </w:tc>
        <w:tc>
          <w:tcPr>
            <w:tcW w:w="1790" w:type="dxa"/>
          </w:tcPr>
          <w:p>
            <w:pPr>
              <w:pStyle w:val="63"/>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原料</w:t>
            </w:r>
          </w:p>
        </w:tc>
        <w:tc>
          <w:tcPr>
            <w:tcW w:w="1789" w:type="dxa"/>
          </w:tcPr>
          <w:p>
            <w:pPr>
              <w:pStyle w:val="63"/>
            </w:pPr>
            <w:r>
              <w:rPr>
                <w:rFonts w:hint="eastAsia"/>
              </w:rPr>
              <w:t>易得</w:t>
            </w:r>
          </w:p>
        </w:tc>
        <w:tc>
          <w:tcPr>
            <w:tcW w:w="1790" w:type="dxa"/>
          </w:tcPr>
          <w:p>
            <w:pPr>
              <w:pStyle w:val="63"/>
            </w:pPr>
            <w:r>
              <w:rPr>
                <w:rFonts w:hint="eastAsia"/>
              </w:rPr>
              <w:t>易得</w:t>
            </w:r>
          </w:p>
        </w:tc>
        <w:tc>
          <w:tcPr>
            <w:tcW w:w="1790" w:type="dxa"/>
          </w:tcPr>
          <w:p>
            <w:pPr>
              <w:pStyle w:val="63"/>
            </w:pPr>
            <w:r>
              <w:rPr>
                <w:rFonts w:hint="eastAsia"/>
              </w:rPr>
              <w:t>-</w:t>
            </w:r>
          </w:p>
        </w:tc>
        <w:tc>
          <w:tcPr>
            <w:tcW w:w="1790" w:type="dxa"/>
          </w:tcPr>
          <w:p>
            <w:pPr>
              <w:pStyle w:val="63"/>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管理简便性</w:t>
            </w:r>
          </w:p>
        </w:tc>
        <w:tc>
          <w:tcPr>
            <w:tcW w:w="1789" w:type="dxa"/>
          </w:tcPr>
          <w:p>
            <w:pPr>
              <w:pStyle w:val="63"/>
            </w:pPr>
            <w:r>
              <w:rPr>
                <w:rFonts w:hint="eastAsia"/>
              </w:rPr>
              <w:t>较简便</w:t>
            </w:r>
          </w:p>
        </w:tc>
        <w:tc>
          <w:tcPr>
            <w:tcW w:w="1790" w:type="dxa"/>
          </w:tcPr>
          <w:p>
            <w:pPr>
              <w:pStyle w:val="63"/>
            </w:pPr>
            <w:r>
              <w:rPr>
                <w:rFonts w:hint="eastAsia"/>
              </w:rPr>
              <w:t>简便</w:t>
            </w:r>
          </w:p>
        </w:tc>
        <w:tc>
          <w:tcPr>
            <w:tcW w:w="1790" w:type="dxa"/>
          </w:tcPr>
          <w:p>
            <w:pPr>
              <w:pStyle w:val="63"/>
            </w:pPr>
            <w:r>
              <w:rPr>
                <w:rFonts w:hint="eastAsia"/>
              </w:rPr>
              <w:t>复杂</w:t>
            </w:r>
          </w:p>
        </w:tc>
        <w:tc>
          <w:tcPr>
            <w:tcW w:w="1790" w:type="dxa"/>
          </w:tcPr>
          <w:p>
            <w:pPr>
              <w:pStyle w:val="63"/>
            </w:pPr>
            <w:r>
              <w:rPr>
                <w:rFonts w:hint="eastAsia"/>
              </w:rPr>
              <w:t>简便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操作安全性</w:t>
            </w:r>
          </w:p>
        </w:tc>
        <w:tc>
          <w:tcPr>
            <w:tcW w:w="1789" w:type="dxa"/>
          </w:tcPr>
          <w:p>
            <w:pPr>
              <w:pStyle w:val="63"/>
            </w:pPr>
            <w:r>
              <w:rPr>
                <w:rFonts w:hint="eastAsia"/>
              </w:rPr>
              <w:t>不安全</w:t>
            </w:r>
          </w:p>
        </w:tc>
        <w:tc>
          <w:tcPr>
            <w:tcW w:w="1790" w:type="dxa"/>
          </w:tcPr>
          <w:p>
            <w:pPr>
              <w:pStyle w:val="63"/>
            </w:pPr>
            <w:r>
              <w:rPr>
                <w:rFonts w:hint="eastAsia"/>
              </w:rPr>
              <w:t>安全</w:t>
            </w:r>
          </w:p>
        </w:tc>
        <w:tc>
          <w:tcPr>
            <w:tcW w:w="1790" w:type="dxa"/>
          </w:tcPr>
          <w:p>
            <w:pPr>
              <w:pStyle w:val="63"/>
            </w:pPr>
            <w:r>
              <w:rPr>
                <w:rFonts w:hint="eastAsia"/>
              </w:rPr>
              <w:t>不安全</w:t>
            </w:r>
          </w:p>
        </w:tc>
        <w:tc>
          <w:tcPr>
            <w:tcW w:w="1790" w:type="dxa"/>
          </w:tcPr>
          <w:p>
            <w:pPr>
              <w:pStyle w:val="63"/>
            </w:pPr>
            <w:r>
              <w:rPr>
                <w:rFonts w:hint="eastAsia"/>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自动化程度</w:t>
            </w:r>
          </w:p>
        </w:tc>
        <w:tc>
          <w:tcPr>
            <w:tcW w:w="1789" w:type="dxa"/>
          </w:tcPr>
          <w:p>
            <w:pPr>
              <w:pStyle w:val="63"/>
            </w:pPr>
            <w:r>
              <w:rPr>
                <w:rFonts w:hint="eastAsia"/>
              </w:rPr>
              <w:t>一般</w:t>
            </w:r>
          </w:p>
        </w:tc>
        <w:tc>
          <w:tcPr>
            <w:tcW w:w="1790" w:type="dxa"/>
          </w:tcPr>
          <w:p>
            <w:pPr>
              <w:pStyle w:val="63"/>
            </w:pPr>
            <w:r>
              <w:rPr>
                <w:rFonts w:hint="eastAsia"/>
              </w:rPr>
              <w:t>一般</w:t>
            </w:r>
          </w:p>
        </w:tc>
        <w:tc>
          <w:tcPr>
            <w:tcW w:w="1790" w:type="dxa"/>
          </w:tcPr>
          <w:p>
            <w:pPr>
              <w:pStyle w:val="63"/>
            </w:pPr>
            <w:r>
              <w:rPr>
                <w:rFonts w:hint="eastAsia"/>
              </w:rPr>
              <w:t>较高</w:t>
            </w:r>
          </w:p>
        </w:tc>
        <w:tc>
          <w:tcPr>
            <w:tcW w:w="1790" w:type="dxa"/>
          </w:tcPr>
          <w:p>
            <w:pPr>
              <w:pStyle w:val="63"/>
            </w:pPr>
            <w:r>
              <w:rPr>
                <w:rFonts w:hint="eastAsia"/>
              </w:rPr>
              <w:t>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投资</w:t>
            </w:r>
          </w:p>
        </w:tc>
        <w:tc>
          <w:tcPr>
            <w:tcW w:w="1789" w:type="dxa"/>
          </w:tcPr>
          <w:p>
            <w:pPr>
              <w:pStyle w:val="63"/>
            </w:pPr>
            <w:r>
              <w:rPr>
                <w:rFonts w:hint="eastAsia"/>
              </w:rPr>
              <w:t>低</w:t>
            </w:r>
          </w:p>
        </w:tc>
        <w:tc>
          <w:tcPr>
            <w:tcW w:w="1790" w:type="dxa"/>
          </w:tcPr>
          <w:p>
            <w:pPr>
              <w:pStyle w:val="63"/>
            </w:pPr>
            <w:r>
              <w:rPr>
                <w:rFonts w:hint="eastAsia"/>
              </w:rPr>
              <w:t>一般</w:t>
            </w:r>
          </w:p>
        </w:tc>
        <w:tc>
          <w:tcPr>
            <w:tcW w:w="1790" w:type="dxa"/>
          </w:tcPr>
          <w:p>
            <w:pPr>
              <w:pStyle w:val="63"/>
            </w:pPr>
            <w:r>
              <w:rPr>
                <w:rFonts w:hint="eastAsia"/>
              </w:rPr>
              <w:t>高</w:t>
            </w:r>
          </w:p>
        </w:tc>
        <w:tc>
          <w:tcPr>
            <w:tcW w:w="1790" w:type="dxa"/>
          </w:tcPr>
          <w:p>
            <w:pPr>
              <w:pStyle w:val="63"/>
            </w:pPr>
            <w:r>
              <w:rPr>
                <w:rFonts w:hint="eastAsia"/>
              </w:rPr>
              <w:t>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设备安装</w:t>
            </w:r>
          </w:p>
        </w:tc>
        <w:tc>
          <w:tcPr>
            <w:tcW w:w="1789" w:type="dxa"/>
          </w:tcPr>
          <w:p>
            <w:pPr>
              <w:pStyle w:val="63"/>
            </w:pPr>
            <w:r>
              <w:rPr>
                <w:rFonts w:hint="eastAsia"/>
              </w:rPr>
              <w:t>简便</w:t>
            </w:r>
          </w:p>
        </w:tc>
        <w:tc>
          <w:tcPr>
            <w:tcW w:w="1790" w:type="dxa"/>
          </w:tcPr>
          <w:p>
            <w:pPr>
              <w:pStyle w:val="63"/>
            </w:pPr>
            <w:r>
              <w:rPr>
                <w:rFonts w:hint="eastAsia"/>
              </w:rPr>
              <w:t>简便</w:t>
            </w:r>
          </w:p>
        </w:tc>
        <w:tc>
          <w:tcPr>
            <w:tcW w:w="1790" w:type="dxa"/>
          </w:tcPr>
          <w:p>
            <w:pPr>
              <w:pStyle w:val="63"/>
            </w:pPr>
            <w:r>
              <w:rPr>
                <w:rFonts w:hint="eastAsia"/>
              </w:rPr>
              <w:t>复杂</w:t>
            </w:r>
          </w:p>
        </w:tc>
        <w:tc>
          <w:tcPr>
            <w:tcW w:w="1790" w:type="dxa"/>
          </w:tcPr>
          <w:p>
            <w:pPr>
              <w:pStyle w:val="63"/>
            </w:pPr>
            <w:r>
              <w:rPr>
                <w:rFonts w:hint="eastAsia"/>
              </w:rPr>
              <w:t>简便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占地面积</w:t>
            </w:r>
          </w:p>
        </w:tc>
        <w:tc>
          <w:tcPr>
            <w:tcW w:w="1789" w:type="dxa"/>
          </w:tcPr>
          <w:p>
            <w:pPr>
              <w:pStyle w:val="63"/>
            </w:pPr>
            <w:r>
              <w:rPr>
                <w:rFonts w:hint="eastAsia"/>
              </w:rPr>
              <w:t>大</w:t>
            </w:r>
          </w:p>
        </w:tc>
        <w:tc>
          <w:tcPr>
            <w:tcW w:w="1790" w:type="dxa"/>
          </w:tcPr>
          <w:p>
            <w:pPr>
              <w:pStyle w:val="63"/>
            </w:pPr>
            <w:r>
              <w:rPr>
                <w:rFonts w:hint="eastAsia"/>
              </w:rPr>
              <w:t>小</w:t>
            </w:r>
          </w:p>
        </w:tc>
        <w:tc>
          <w:tcPr>
            <w:tcW w:w="1790" w:type="dxa"/>
          </w:tcPr>
          <w:p>
            <w:pPr>
              <w:pStyle w:val="63"/>
            </w:pPr>
            <w:r>
              <w:rPr>
                <w:rFonts w:hint="eastAsia"/>
              </w:rPr>
              <w:t>大</w:t>
            </w:r>
          </w:p>
        </w:tc>
        <w:tc>
          <w:tcPr>
            <w:tcW w:w="1790" w:type="dxa"/>
          </w:tcPr>
          <w:p>
            <w:pPr>
              <w:pStyle w:val="63"/>
            </w:pPr>
            <w:r>
              <w:rPr>
                <w:rFonts w:hint="eastAsia"/>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维护工作量</w:t>
            </w:r>
          </w:p>
        </w:tc>
        <w:tc>
          <w:tcPr>
            <w:tcW w:w="1789" w:type="dxa"/>
          </w:tcPr>
          <w:p>
            <w:pPr>
              <w:pStyle w:val="63"/>
            </w:pPr>
            <w:r>
              <w:rPr>
                <w:rFonts w:hint="eastAsia"/>
              </w:rPr>
              <w:t>小</w:t>
            </w:r>
          </w:p>
        </w:tc>
        <w:tc>
          <w:tcPr>
            <w:tcW w:w="1790" w:type="dxa"/>
          </w:tcPr>
          <w:p>
            <w:pPr>
              <w:pStyle w:val="63"/>
            </w:pPr>
            <w:r>
              <w:rPr>
                <w:rFonts w:hint="eastAsia"/>
              </w:rPr>
              <w:t>小</w:t>
            </w:r>
          </w:p>
        </w:tc>
        <w:tc>
          <w:tcPr>
            <w:tcW w:w="1790" w:type="dxa"/>
          </w:tcPr>
          <w:p>
            <w:pPr>
              <w:pStyle w:val="63"/>
            </w:pPr>
            <w:r>
              <w:rPr>
                <w:rFonts w:hint="eastAsia"/>
              </w:rPr>
              <w:t>大</w:t>
            </w:r>
          </w:p>
        </w:tc>
        <w:tc>
          <w:tcPr>
            <w:tcW w:w="1790" w:type="dxa"/>
          </w:tcPr>
          <w:p>
            <w:pPr>
              <w:pStyle w:val="63"/>
            </w:pPr>
            <w:r>
              <w:rPr>
                <w:rFonts w:hint="eastAsia"/>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电耗</w:t>
            </w:r>
          </w:p>
        </w:tc>
        <w:tc>
          <w:tcPr>
            <w:tcW w:w="1789" w:type="dxa"/>
          </w:tcPr>
          <w:p>
            <w:pPr>
              <w:pStyle w:val="63"/>
            </w:pPr>
            <w:r>
              <w:rPr>
                <w:rFonts w:hint="eastAsia"/>
              </w:rPr>
              <w:t>低</w:t>
            </w:r>
          </w:p>
        </w:tc>
        <w:tc>
          <w:tcPr>
            <w:tcW w:w="1790" w:type="dxa"/>
          </w:tcPr>
          <w:p>
            <w:pPr>
              <w:pStyle w:val="63"/>
            </w:pPr>
            <w:r>
              <w:rPr>
                <w:rFonts w:hint="eastAsia"/>
              </w:rPr>
              <w:t>一般</w:t>
            </w:r>
          </w:p>
        </w:tc>
        <w:tc>
          <w:tcPr>
            <w:tcW w:w="1790" w:type="dxa"/>
          </w:tcPr>
          <w:p>
            <w:pPr>
              <w:pStyle w:val="63"/>
            </w:pPr>
            <w:r>
              <w:rPr>
                <w:rFonts w:hint="eastAsia"/>
              </w:rPr>
              <w:t>高</w:t>
            </w:r>
          </w:p>
        </w:tc>
        <w:tc>
          <w:tcPr>
            <w:tcW w:w="1790" w:type="dxa"/>
          </w:tcPr>
          <w:p>
            <w:pPr>
              <w:pStyle w:val="63"/>
            </w:pPr>
            <w:r>
              <w:rPr>
                <w:rFonts w:hint="eastAsia"/>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运行费用</w:t>
            </w:r>
          </w:p>
        </w:tc>
        <w:tc>
          <w:tcPr>
            <w:tcW w:w="1789" w:type="dxa"/>
          </w:tcPr>
          <w:p>
            <w:pPr>
              <w:pStyle w:val="63"/>
            </w:pPr>
            <w:r>
              <w:rPr>
                <w:rFonts w:hint="eastAsia"/>
              </w:rPr>
              <w:t>低</w:t>
            </w:r>
          </w:p>
        </w:tc>
        <w:tc>
          <w:tcPr>
            <w:tcW w:w="1790" w:type="dxa"/>
          </w:tcPr>
          <w:p>
            <w:pPr>
              <w:pStyle w:val="63"/>
            </w:pPr>
            <w:r>
              <w:rPr>
                <w:rFonts w:hint="eastAsia"/>
              </w:rPr>
              <w:t>一般</w:t>
            </w:r>
          </w:p>
        </w:tc>
        <w:tc>
          <w:tcPr>
            <w:tcW w:w="1790" w:type="dxa"/>
          </w:tcPr>
          <w:p>
            <w:pPr>
              <w:pStyle w:val="63"/>
            </w:pPr>
            <w:r>
              <w:rPr>
                <w:rFonts w:hint="eastAsia"/>
              </w:rPr>
              <w:t>高</w:t>
            </w:r>
          </w:p>
        </w:tc>
        <w:tc>
          <w:tcPr>
            <w:tcW w:w="1790" w:type="dxa"/>
          </w:tcPr>
          <w:p>
            <w:pPr>
              <w:pStyle w:val="63"/>
            </w:pPr>
            <w:r>
              <w:rPr>
                <w:rFonts w:hint="eastAsia"/>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维护费用</w:t>
            </w:r>
          </w:p>
        </w:tc>
        <w:tc>
          <w:tcPr>
            <w:tcW w:w="1789" w:type="dxa"/>
          </w:tcPr>
          <w:p>
            <w:pPr>
              <w:pStyle w:val="63"/>
            </w:pPr>
            <w:r>
              <w:rPr>
                <w:rFonts w:hint="eastAsia"/>
              </w:rPr>
              <w:t>低</w:t>
            </w:r>
          </w:p>
        </w:tc>
        <w:tc>
          <w:tcPr>
            <w:tcW w:w="1790" w:type="dxa"/>
          </w:tcPr>
          <w:p>
            <w:pPr>
              <w:pStyle w:val="63"/>
            </w:pPr>
            <w:r>
              <w:rPr>
                <w:rFonts w:hint="eastAsia"/>
              </w:rPr>
              <w:t>低</w:t>
            </w:r>
          </w:p>
        </w:tc>
        <w:tc>
          <w:tcPr>
            <w:tcW w:w="1790" w:type="dxa"/>
          </w:tcPr>
          <w:p>
            <w:pPr>
              <w:pStyle w:val="63"/>
            </w:pPr>
            <w:r>
              <w:rPr>
                <w:rFonts w:hint="eastAsia"/>
              </w:rPr>
              <w:t>高</w:t>
            </w:r>
          </w:p>
        </w:tc>
        <w:tc>
          <w:tcPr>
            <w:tcW w:w="1790" w:type="dxa"/>
          </w:tcPr>
          <w:p>
            <w:pPr>
              <w:pStyle w:val="63"/>
            </w:pPr>
            <w:r>
              <w:rPr>
                <w:rFonts w:hint="eastAsia"/>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二次污染</w:t>
            </w:r>
          </w:p>
        </w:tc>
        <w:tc>
          <w:tcPr>
            <w:tcW w:w="1789" w:type="dxa"/>
          </w:tcPr>
          <w:p>
            <w:pPr>
              <w:pStyle w:val="63"/>
            </w:pPr>
            <w:r>
              <w:rPr>
                <w:rFonts w:hint="eastAsia"/>
              </w:rPr>
              <w:t>一般</w:t>
            </w:r>
          </w:p>
        </w:tc>
        <w:tc>
          <w:tcPr>
            <w:tcW w:w="1790" w:type="dxa"/>
          </w:tcPr>
          <w:p>
            <w:pPr>
              <w:pStyle w:val="63"/>
            </w:pPr>
            <w:r>
              <w:rPr>
                <w:rFonts w:hint="eastAsia"/>
              </w:rPr>
              <w:t>小</w:t>
            </w:r>
          </w:p>
        </w:tc>
        <w:tc>
          <w:tcPr>
            <w:tcW w:w="1790" w:type="dxa"/>
          </w:tcPr>
          <w:p>
            <w:pPr>
              <w:pStyle w:val="63"/>
            </w:pPr>
            <w:r>
              <w:rPr>
                <w:rFonts w:hint="eastAsia"/>
              </w:rPr>
              <w:t>小</w:t>
            </w:r>
          </w:p>
        </w:tc>
        <w:tc>
          <w:tcPr>
            <w:tcW w:w="1790" w:type="dxa"/>
          </w:tcPr>
          <w:p>
            <w:pPr>
              <w:pStyle w:val="63"/>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安全性</w:t>
            </w:r>
          </w:p>
        </w:tc>
        <w:tc>
          <w:tcPr>
            <w:tcW w:w="1789" w:type="dxa"/>
          </w:tcPr>
          <w:p>
            <w:pPr>
              <w:pStyle w:val="63"/>
            </w:pPr>
            <w:r>
              <w:rPr>
                <w:rFonts w:hint="eastAsia"/>
              </w:rPr>
              <w:t>一般</w:t>
            </w:r>
          </w:p>
        </w:tc>
        <w:tc>
          <w:tcPr>
            <w:tcW w:w="1790" w:type="dxa"/>
          </w:tcPr>
          <w:p>
            <w:pPr>
              <w:pStyle w:val="63"/>
            </w:pPr>
            <w:r>
              <w:rPr>
                <w:rFonts w:hint="eastAsia"/>
              </w:rPr>
              <w:t>一般</w:t>
            </w:r>
          </w:p>
        </w:tc>
        <w:tc>
          <w:tcPr>
            <w:tcW w:w="1790" w:type="dxa"/>
          </w:tcPr>
          <w:p>
            <w:pPr>
              <w:pStyle w:val="63"/>
            </w:pPr>
            <w:r>
              <w:rPr>
                <w:rFonts w:hint="eastAsia"/>
              </w:rPr>
              <w:t>一般</w:t>
            </w:r>
          </w:p>
        </w:tc>
        <w:tc>
          <w:tcPr>
            <w:tcW w:w="1790" w:type="dxa"/>
          </w:tcPr>
          <w:p>
            <w:pPr>
              <w:pStyle w:val="63"/>
            </w:pPr>
            <w:r>
              <w:rPr>
                <w:rFonts w:hint="eastAsia"/>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pStyle w:val="63"/>
            </w:pPr>
            <w:r>
              <w:rPr>
                <w:rFonts w:hint="eastAsia"/>
              </w:rPr>
              <w:t>消毒设施占地</w:t>
            </w:r>
          </w:p>
        </w:tc>
        <w:tc>
          <w:tcPr>
            <w:tcW w:w="1789" w:type="dxa"/>
          </w:tcPr>
          <w:p>
            <w:pPr>
              <w:pStyle w:val="63"/>
            </w:pPr>
            <w:r>
              <w:rPr>
                <w:rFonts w:hint="eastAsia"/>
              </w:rPr>
              <w:t>大</w:t>
            </w:r>
          </w:p>
        </w:tc>
        <w:tc>
          <w:tcPr>
            <w:tcW w:w="1790" w:type="dxa"/>
          </w:tcPr>
          <w:p>
            <w:pPr>
              <w:pStyle w:val="63"/>
            </w:pPr>
            <w:r>
              <w:rPr>
                <w:rFonts w:hint="eastAsia"/>
              </w:rPr>
              <w:t>大</w:t>
            </w:r>
          </w:p>
        </w:tc>
        <w:tc>
          <w:tcPr>
            <w:tcW w:w="1790" w:type="dxa"/>
          </w:tcPr>
          <w:p>
            <w:pPr>
              <w:pStyle w:val="63"/>
            </w:pPr>
            <w:r>
              <w:rPr>
                <w:rFonts w:hint="eastAsia"/>
              </w:rPr>
              <w:t>一般</w:t>
            </w:r>
          </w:p>
        </w:tc>
        <w:tc>
          <w:tcPr>
            <w:tcW w:w="1790" w:type="dxa"/>
          </w:tcPr>
          <w:p>
            <w:pPr>
              <w:pStyle w:val="63"/>
            </w:pPr>
            <w:r>
              <w:rPr>
                <w:rFonts w:hint="eastAsia"/>
              </w:rPr>
              <w:t>小</w:t>
            </w:r>
          </w:p>
        </w:tc>
      </w:tr>
    </w:tbl>
    <w:p>
      <w:pPr>
        <w:pStyle w:val="63"/>
      </w:pPr>
    </w:p>
    <w:p>
      <w:pPr>
        <w:pStyle w:val="4"/>
        <w:spacing w:before="156" w:after="156"/>
      </w:pPr>
      <w:r>
        <w:rPr>
          <w:rFonts w:hint="eastAsia"/>
        </w:rPr>
        <w:t>水处理工艺可行性分析</w:t>
      </w:r>
    </w:p>
    <w:p>
      <w:pPr>
        <w:pStyle w:val="5"/>
        <w:ind w:firstLine="480"/>
      </w:pPr>
      <w:r>
        <w:rPr>
          <w:rFonts w:hint="eastAsia"/>
        </w:rPr>
        <w:t>根据《排污许可证申请与核发技术规范 水处理（试行）》（HJ978-2018），水处理工艺可行性见</w:t>
      </w:r>
      <w:r>
        <w:fldChar w:fldCharType="begin"/>
      </w:r>
      <w:r>
        <w:instrText xml:space="preserve"> </w:instrText>
      </w:r>
      <w:r>
        <w:rPr>
          <w:rFonts w:hint="eastAsia"/>
        </w:rPr>
        <w:instrText xml:space="preserve">REF _Ref170738434 \h</w:instrText>
      </w:r>
      <w:r>
        <w:instrText xml:space="preserve"> </w:instrText>
      </w:r>
      <w:r>
        <w:fldChar w:fldCharType="separate"/>
      </w:r>
      <w:r>
        <w:t>表 5.2</w:t>
      </w:r>
      <w:r>
        <w:noBreakHyphen/>
      </w:r>
      <w:r>
        <w:t>7</w:t>
      </w:r>
      <w:r>
        <w:fldChar w:fldCharType="end"/>
      </w:r>
      <w:r>
        <w:rPr>
          <w:rFonts w:hint="eastAsia"/>
        </w:rPr>
        <w:t>。根据下表，本项目水处理工艺为可行性技术。</w:t>
      </w:r>
    </w:p>
    <w:p>
      <w:pPr>
        <w:pStyle w:val="14"/>
        <w:keepNext/>
      </w:pPr>
      <w:bookmarkStart w:id="120" w:name="_Ref170738434"/>
      <w:r>
        <w:t xml:space="preserve">表 </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7</w:t>
      </w:r>
      <w:r>
        <w:fldChar w:fldCharType="end"/>
      </w:r>
      <w:bookmarkEnd w:id="120"/>
      <w:r>
        <w:rPr>
          <w:rFonts w:hint="eastAsia"/>
        </w:rPr>
        <w:t xml:space="preserve">   水处理工艺可行性分析</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969"/>
        <w:gridCol w:w="2835"/>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4" w:type="dxa"/>
            <w:vAlign w:val="center"/>
          </w:tcPr>
          <w:p>
            <w:pPr>
              <w:pStyle w:val="63"/>
            </w:pPr>
            <w:r>
              <w:rPr>
                <w:rFonts w:hint="eastAsia"/>
              </w:rPr>
              <w:t>废水</w:t>
            </w:r>
          </w:p>
          <w:p>
            <w:pPr>
              <w:pStyle w:val="63"/>
            </w:pPr>
            <w:r>
              <w:rPr>
                <w:rFonts w:hint="eastAsia"/>
              </w:rPr>
              <w:t>类别</w:t>
            </w:r>
          </w:p>
        </w:tc>
        <w:tc>
          <w:tcPr>
            <w:tcW w:w="3969" w:type="dxa"/>
            <w:vAlign w:val="center"/>
          </w:tcPr>
          <w:p>
            <w:pPr>
              <w:pStyle w:val="63"/>
            </w:pPr>
            <w:r>
              <w:rPr>
                <w:rFonts w:hint="eastAsia"/>
              </w:rPr>
              <w:t>HJ978-2018可行技术-执行GB18918中一级标准的A标准</w:t>
            </w:r>
          </w:p>
        </w:tc>
        <w:tc>
          <w:tcPr>
            <w:tcW w:w="2835" w:type="dxa"/>
            <w:vAlign w:val="center"/>
          </w:tcPr>
          <w:p>
            <w:pPr>
              <w:pStyle w:val="63"/>
            </w:pPr>
            <w:r>
              <w:rPr>
                <w:rFonts w:hint="eastAsia"/>
              </w:rPr>
              <w:t>本项目</w:t>
            </w:r>
          </w:p>
        </w:tc>
        <w:tc>
          <w:tcPr>
            <w:tcW w:w="1440" w:type="dxa"/>
            <w:vAlign w:val="center"/>
          </w:tcPr>
          <w:p>
            <w:pPr>
              <w:pStyle w:val="63"/>
            </w:pPr>
            <w:r>
              <w:rPr>
                <w:rFonts w:hint="eastAsia"/>
              </w:rPr>
              <w:t>是否为可行性技术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restart"/>
            <w:vAlign w:val="center"/>
          </w:tcPr>
          <w:p>
            <w:pPr>
              <w:pStyle w:val="63"/>
            </w:pPr>
            <w:r>
              <w:rPr>
                <w:rFonts w:hint="eastAsia"/>
              </w:rPr>
              <w:t>生活污水</w:t>
            </w:r>
          </w:p>
        </w:tc>
        <w:tc>
          <w:tcPr>
            <w:tcW w:w="3969" w:type="dxa"/>
            <w:vAlign w:val="center"/>
          </w:tcPr>
          <w:p>
            <w:pPr>
              <w:pStyle w:val="63"/>
            </w:pPr>
            <w:r>
              <w:rPr>
                <w:rFonts w:hint="eastAsia"/>
              </w:rPr>
              <w:t>预处理：格栅、沉淀（沉砂、初沉）、调节</w:t>
            </w:r>
          </w:p>
        </w:tc>
        <w:tc>
          <w:tcPr>
            <w:tcW w:w="2835" w:type="dxa"/>
            <w:vAlign w:val="center"/>
          </w:tcPr>
          <w:p>
            <w:pPr>
              <w:pStyle w:val="63"/>
            </w:pPr>
            <w:r>
              <w:rPr>
                <w:rFonts w:hint="eastAsia"/>
              </w:rPr>
              <w:t>预处理：格栅、沉淀、调节、气浮、水解酸化</w:t>
            </w:r>
          </w:p>
        </w:tc>
        <w:tc>
          <w:tcPr>
            <w:tcW w:w="1440" w:type="dxa"/>
            <w:vAlign w:val="center"/>
          </w:tcPr>
          <w:p>
            <w:pPr>
              <w:pStyle w:val="63"/>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pStyle w:val="63"/>
            </w:pPr>
          </w:p>
        </w:tc>
        <w:tc>
          <w:tcPr>
            <w:tcW w:w="3969" w:type="dxa"/>
            <w:vAlign w:val="center"/>
          </w:tcPr>
          <w:p>
            <w:pPr>
              <w:pStyle w:val="63"/>
            </w:pPr>
            <w:r>
              <w:rPr>
                <w:rFonts w:hint="eastAsia"/>
              </w:rPr>
              <w:t>生化处理：缺氧好氧、厌氧缺氧好氧、序批式活性污泥、接触氧化、氧化沟、移动生物床反应器、膜生物反应器；</w:t>
            </w:r>
          </w:p>
        </w:tc>
        <w:tc>
          <w:tcPr>
            <w:tcW w:w="2835" w:type="dxa"/>
            <w:vAlign w:val="center"/>
          </w:tcPr>
          <w:p>
            <w:pPr>
              <w:pStyle w:val="63"/>
            </w:pPr>
            <w:r>
              <w:rPr>
                <w:rFonts w:hint="eastAsia"/>
              </w:rPr>
              <w:t>生化处理：厌氧缺氧好氧</w:t>
            </w:r>
          </w:p>
        </w:tc>
        <w:tc>
          <w:tcPr>
            <w:tcW w:w="1440" w:type="dxa"/>
            <w:vAlign w:val="center"/>
          </w:tcPr>
          <w:p>
            <w:pPr>
              <w:pStyle w:val="63"/>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vAlign w:val="center"/>
          </w:tcPr>
          <w:p>
            <w:pPr>
              <w:pStyle w:val="63"/>
            </w:pPr>
          </w:p>
        </w:tc>
        <w:tc>
          <w:tcPr>
            <w:tcW w:w="3969" w:type="dxa"/>
            <w:vAlign w:val="center"/>
          </w:tcPr>
          <w:p>
            <w:pPr>
              <w:pStyle w:val="63"/>
            </w:pPr>
            <w:r>
              <w:rPr>
                <w:rFonts w:hint="eastAsia"/>
              </w:rPr>
              <w:t>深度处理：混凝沉淀、过滤、曝气生物滤池、微滤、超滤、消毒（次氯酸钠、臭氧、紫外、二氧化氯）</w:t>
            </w:r>
          </w:p>
        </w:tc>
        <w:tc>
          <w:tcPr>
            <w:tcW w:w="2835" w:type="dxa"/>
            <w:vAlign w:val="center"/>
          </w:tcPr>
          <w:p>
            <w:pPr>
              <w:pStyle w:val="63"/>
            </w:pPr>
            <w:r>
              <w:rPr>
                <w:rFonts w:hint="eastAsia"/>
              </w:rPr>
              <w:t>深度处理：混凝沉淀、过滤、消毒（紫外）</w:t>
            </w:r>
          </w:p>
        </w:tc>
        <w:tc>
          <w:tcPr>
            <w:tcW w:w="1440" w:type="dxa"/>
            <w:vAlign w:val="center"/>
          </w:tcPr>
          <w:p>
            <w:pPr>
              <w:pStyle w:val="63"/>
            </w:pPr>
            <w:r>
              <w:rPr>
                <w:rFonts w:hint="eastAsia"/>
              </w:rPr>
              <w:t>是</w:t>
            </w:r>
          </w:p>
        </w:tc>
      </w:tr>
    </w:tbl>
    <w:p>
      <w:pPr>
        <w:pStyle w:val="63"/>
      </w:pPr>
    </w:p>
    <w:p>
      <w:pPr>
        <w:pStyle w:val="5"/>
        <w:ind w:firstLine="480"/>
      </w:pPr>
      <w:r>
        <w:rPr>
          <w:rFonts w:hint="eastAsia"/>
        </w:rPr>
        <w:t>项目各水处理构筑物处理效率见</w:t>
      </w:r>
      <w:r>
        <w:fldChar w:fldCharType="begin"/>
      </w:r>
      <w:r>
        <w:instrText xml:space="preserve"> </w:instrText>
      </w:r>
      <w:r>
        <w:rPr>
          <w:rFonts w:hint="eastAsia"/>
        </w:rPr>
        <w:instrText xml:space="preserve">REF _Ref170750704 \h</w:instrText>
      </w:r>
      <w:r>
        <w:instrText xml:space="preserve"> </w:instrText>
      </w:r>
      <w:r>
        <w:fldChar w:fldCharType="separate"/>
      </w:r>
      <w:r>
        <w:t>表 5.2</w:t>
      </w:r>
      <w:r>
        <w:noBreakHyphen/>
      </w:r>
      <w:r>
        <w:t>8</w:t>
      </w:r>
      <w:r>
        <w:fldChar w:fldCharType="end"/>
      </w:r>
      <w:r>
        <w:rPr>
          <w:rFonts w:hint="eastAsia"/>
        </w:rPr>
        <w:t>，根据下表，污水通过项目污水处理厂设施处理后各水质污染物满足</w:t>
      </w:r>
      <w:r>
        <w:t>GB18918-2002一级标准A类</w:t>
      </w:r>
      <w:r>
        <w:rPr>
          <w:rFonts w:hint="eastAsia"/>
        </w:rPr>
        <w:t>。</w:t>
      </w:r>
    </w:p>
    <w:p>
      <w:pPr>
        <w:pStyle w:val="14"/>
        <w:keepNext/>
      </w:pPr>
      <w:bookmarkStart w:id="121" w:name="_Ref170750704"/>
      <w:r>
        <w:t xml:space="preserve">表 </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8</w:t>
      </w:r>
      <w:r>
        <w:fldChar w:fldCharType="end"/>
      </w:r>
      <w:bookmarkEnd w:id="121"/>
      <w:r>
        <w:rPr>
          <w:rFonts w:hint="eastAsia"/>
        </w:rPr>
        <w:t xml:space="preserve">   各构筑物处理效率</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1312"/>
        <w:gridCol w:w="702"/>
        <w:gridCol w:w="764"/>
        <w:gridCol w:w="846"/>
        <w:gridCol w:w="1056"/>
        <w:gridCol w:w="636"/>
        <w:gridCol w:w="689"/>
        <w:gridCol w:w="669"/>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883" w:type="dxa"/>
            <w:gridSpan w:val="2"/>
            <w:noWrap/>
            <w:vAlign w:val="center"/>
          </w:tcPr>
          <w:p>
            <w:pPr>
              <w:pStyle w:val="63"/>
              <w:rPr>
                <w:rFonts w:cs="宋体"/>
              </w:rPr>
            </w:pPr>
            <w:r>
              <w:rPr>
                <w:rFonts w:hint="eastAsia"/>
              </w:rPr>
              <w:t>构筑物名称</w:t>
            </w:r>
          </w:p>
        </w:tc>
        <w:tc>
          <w:tcPr>
            <w:tcW w:w="702" w:type="dxa"/>
            <w:noWrap/>
            <w:vAlign w:val="center"/>
          </w:tcPr>
          <w:p>
            <w:pPr>
              <w:pStyle w:val="63"/>
            </w:pPr>
            <w:r>
              <w:rPr>
                <w:rFonts w:hint="eastAsia"/>
              </w:rPr>
              <w:t>COD</w:t>
            </w:r>
          </w:p>
        </w:tc>
        <w:tc>
          <w:tcPr>
            <w:tcW w:w="764" w:type="dxa"/>
            <w:noWrap/>
            <w:vAlign w:val="center"/>
          </w:tcPr>
          <w:p>
            <w:pPr>
              <w:pStyle w:val="63"/>
            </w:pPr>
            <w:r>
              <w:rPr>
                <w:rFonts w:hint="eastAsia"/>
              </w:rPr>
              <w:t>BOD</w:t>
            </w:r>
            <w:r>
              <w:rPr>
                <w:rFonts w:hint="eastAsia"/>
                <w:vertAlign w:val="subscript"/>
              </w:rPr>
              <w:t>5</w:t>
            </w:r>
          </w:p>
        </w:tc>
        <w:tc>
          <w:tcPr>
            <w:tcW w:w="846" w:type="dxa"/>
            <w:noWrap/>
            <w:vAlign w:val="center"/>
          </w:tcPr>
          <w:p>
            <w:pPr>
              <w:pStyle w:val="63"/>
            </w:pPr>
            <w:r>
              <w:rPr>
                <w:rFonts w:hint="eastAsia"/>
              </w:rPr>
              <w:t>石油类</w:t>
            </w:r>
          </w:p>
        </w:tc>
        <w:tc>
          <w:tcPr>
            <w:tcW w:w="1056" w:type="dxa"/>
            <w:noWrap/>
            <w:vAlign w:val="center"/>
          </w:tcPr>
          <w:p>
            <w:pPr>
              <w:pStyle w:val="63"/>
            </w:pPr>
            <w:r>
              <w:rPr>
                <w:rFonts w:hint="eastAsia"/>
              </w:rPr>
              <w:t>动植物油</w:t>
            </w:r>
          </w:p>
        </w:tc>
        <w:tc>
          <w:tcPr>
            <w:tcW w:w="636" w:type="dxa"/>
            <w:noWrap/>
            <w:vAlign w:val="center"/>
          </w:tcPr>
          <w:p>
            <w:pPr>
              <w:pStyle w:val="63"/>
            </w:pPr>
            <w:r>
              <w:rPr>
                <w:rFonts w:hint="eastAsia"/>
              </w:rPr>
              <w:t>氨氮</w:t>
            </w:r>
          </w:p>
        </w:tc>
        <w:tc>
          <w:tcPr>
            <w:tcW w:w="689" w:type="dxa"/>
            <w:noWrap/>
            <w:vAlign w:val="center"/>
          </w:tcPr>
          <w:p>
            <w:pPr>
              <w:pStyle w:val="63"/>
            </w:pPr>
            <w:r>
              <w:rPr>
                <w:rFonts w:hint="eastAsia"/>
              </w:rPr>
              <w:t>SS</w:t>
            </w:r>
          </w:p>
        </w:tc>
        <w:tc>
          <w:tcPr>
            <w:tcW w:w="669" w:type="dxa"/>
            <w:noWrap/>
            <w:vAlign w:val="center"/>
          </w:tcPr>
          <w:p>
            <w:pPr>
              <w:pStyle w:val="63"/>
            </w:pPr>
            <w:r>
              <w:rPr>
                <w:rFonts w:hint="eastAsia"/>
              </w:rPr>
              <w:t>总磷</w:t>
            </w:r>
          </w:p>
        </w:tc>
        <w:tc>
          <w:tcPr>
            <w:tcW w:w="703" w:type="dxa"/>
            <w:noWrap/>
            <w:vAlign w:val="center"/>
          </w:tcPr>
          <w:p>
            <w:pPr>
              <w:pStyle w:val="63"/>
            </w:pPr>
            <w:r>
              <w:rPr>
                <w:rFonts w:hint="eastAsia"/>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883" w:type="dxa"/>
            <w:gridSpan w:val="2"/>
            <w:noWrap/>
            <w:vAlign w:val="center"/>
          </w:tcPr>
          <w:p>
            <w:pPr>
              <w:pStyle w:val="63"/>
              <w:rPr>
                <w:rFonts w:eastAsia="Times New Roman" w:cs="Times New Roman"/>
                <w:sz w:val="20"/>
                <w:szCs w:val="20"/>
              </w:rPr>
            </w:pPr>
            <w:r>
              <w:rPr>
                <w:rFonts w:hint="eastAsia" w:ascii="宋体" w:hAnsi="宋体" w:cs="宋体"/>
                <w:sz w:val="20"/>
                <w:szCs w:val="20"/>
              </w:rPr>
              <w:t>进水浓度</w:t>
            </w:r>
          </w:p>
        </w:tc>
        <w:tc>
          <w:tcPr>
            <w:tcW w:w="702" w:type="dxa"/>
            <w:noWrap/>
            <w:vAlign w:val="center"/>
          </w:tcPr>
          <w:p>
            <w:pPr>
              <w:pStyle w:val="63"/>
              <w:rPr>
                <w:rFonts w:cs="宋体"/>
              </w:rPr>
            </w:pPr>
            <w:r>
              <w:rPr>
                <w:rFonts w:hint="eastAsia"/>
              </w:rPr>
              <w:t>500.0</w:t>
            </w:r>
          </w:p>
        </w:tc>
        <w:tc>
          <w:tcPr>
            <w:tcW w:w="764" w:type="dxa"/>
            <w:noWrap/>
            <w:vAlign w:val="center"/>
          </w:tcPr>
          <w:p>
            <w:pPr>
              <w:pStyle w:val="63"/>
            </w:pPr>
            <w:r>
              <w:rPr>
                <w:rFonts w:hint="eastAsia"/>
              </w:rPr>
              <w:t>300.0</w:t>
            </w:r>
          </w:p>
        </w:tc>
        <w:tc>
          <w:tcPr>
            <w:tcW w:w="846" w:type="dxa"/>
            <w:noWrap/>
            <w:vAlign w:val="center"/>
          </w:tcPr>
          <w:p>
            <w:pPr>
              <w:pStyle w:val="63"/>
            </w:pPr>
            <w:r>
              <w:rPr>
                <w:rFonts w:hint="eastAsia"/>
              </w:rPr>
              <w:t>20.0</w:t>
            </w:r>
          </w:p>
        </w:tc>
        <w:tc>
          <w:tcPr>
            <w:tcW w:w="1056" w:type="dxa"/>
            <w:noWrap/>
            <w:vAlign w:val="center"/>
          </w:tcPr>
          <w:p>
            <w:pPr>
              <w:pStyle w:val="63"/>
            </w:pPr>
            <w:r>
              <w:rPr>
                <w:rFonts w:hint="eastAsia"/>
              </w:rPr>
              <w:t>100.0</w:t>
            </w:r>
          </w:p>
        </w:tc>
        <w:tc>
          <w:tcPr>
            <w:tcW w:w="636" w:type="dxa"/>
            <w:noWrap/>
            <w:vAlign w:val="center"/>
          </w:tcPr>
          <w:p>
            <w:pPr>
              <w:pStyle w:val="63"/>
            </w:pPr>
            <w:r>
              <w:rPr>
                <w:rFonts w:hint="eastAsia"/>
              </w:rPr>
              <w:t>30.0</w:t>
            </w:r>
          </w:p>
        </w:tc>
        <w:tc>
          <w:tcPr>
            <w:tcW w:w="689" w:type="dxa"/>
            <w:noWrap/>
            <w:vAlign w:val="center"/>
          </w:tcPr>
          <w:p>
            <w:pPr>
              <w:pStyle w:val="63"/>
            </w:pPr>
            <w:r>
              <w:rPr>
                <w:rFonts w:hint="eastAsia"/>
              </w:rPr>
              <w:t>400.0</w:t>
            </w:r>
          </w:p>
        </w:tc>
        <w:tc>
          <w:tcPr>
            <w:tcW w:w="669" w:type="dxa"/>
            <w:noWrap/>
            <w:vAlign w:val="center"/>
          </w:tcPr>
          <w:p>
            <w:pPr>
              <w:pStyle w:val="63"/>
            </w:pPr>
            <w:r>
              <w:rPr>
                <w:rFonts w:hint="eastAsia"/>
              </w:rPr>
              <w:t>3.0</w:t>
            </w:r>
          </w:p>
        </w:tc>
        <w:tc>
          <w:tcPr>
            <w:tcW w:w="703" w:type="dxa"/>
            <w:noWrap/>
            <w:vAlign w:val="center"/>
          </w:tcPr>
          <w:p>
            <w:pPr>
              <w:pStyle w:val="63"/>
            </w:pPr>
            <w:r>
              <w:rPr>
                <w:rFonts w:hint="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restart"/>
            <w:noWrap/>
            <w:vAlign w:val="center"/>
          </w:tcPr>
          <w:p>
            <w:pPr>
              <w:pStyle w:val="63"/>
            </w:pPr>
            <w:r>
              <w:rPr>
                <w:rFonts w:hint="eastAsia"/>
              </w:rPr>
              <w:t>格栅</w:t>
            </w:r>
          </w:p>
        </w:tc>
        <w:tc>
          <w:tcPr>
            <w:tcW w:w="1312" w:type="dxa"/>
            <w:noWrap/>
            <w:vAlign w:val="center"/>
          </w:tcPr>
          <w:p>
            <w:pPr>
              <w:pStyle w:val="63"/>
            </w:pPr>
            <w:r>
              <w:rPr>
                <w:rFonts w:hint="eastAsia"/>
              </w:rPr>
              <w:t>处理效率</w:t>
            </w:r>
          </w:p>
        </w:tc>
        <w:tc>
          <w:tcPr>
            <w:tcW w:w="702" w:type="dxa"/>
            <w:noWrap/>
            <w:vAlign w:val="center"/>
          </w:tcPr>
          <w:p>
            <w:pPr>
              <w:pStyle w:val="63"/>
            </w:pPr>
            <w:r>
              <w:rPr>
                <w:rFonts w:hint="eastAsia"/>
              </w:rPr>
              <w:t>10%</w:t>
            </w:r>
          </w:p>
        </w:tc>
        <w:tc>
          <w:tcPr>
            <w:tcW w:w="764" w:type="dxa"/>
            <w:noWrap/>
            <w:vAlign w:val="center"/>
          </w:tcPr>
          <w:p>
            <w:pPr>
              <w:pStyle w:val="63"/>
            </w:pPr>
            <w:r>
              <w:rPr>
                <w:rFonts w:hint="eastAsia"/>
              </w:rPr>
              <w:t>10%</w:t>
            </w:r>
          </w:p>
        </w:tc>
        <w:tc>
          <w:tcPr>
            <w:tcW w:w="846" w:type="dxa"/>
            <w:noWrap/>
            <w:vAlign w:val="center"/>
          </w:tcPr>
          <w:p>
            <w:pPr>
              <w:pStyle w:val="63"/>
            </w:pPr>
            <w:r>
              <w:rPr>
                <w:rFonts w:hint="eastAsia"/>
              </w:rPr>
              <w:t>0%</w:t>
            </w:r>
          </w:p>
        </w:tc>
        <w:tc>
          <w:tcPr>
            <w:tcW w:w="1056" w:type="dxa"/>
            <w:noWrap/>
            <w:vAlign w:val="center"/>
          </w:tcPr>
          <w:p>
            <w:pPr>
              <w:pStyle w:val="63"/>
            </w:pPr>
            <w:r>
              <w:rPr>
                <w:rFonts w:hint="eastAsia"/>
              </w:rPr>
              <w:t>0%</w:t>
            </w:r>
          </w:p>
        </w:tc>
        <w:tc>
          <w:tcPr>
            <w:tcW w:w="636" w:type="dxa"/>
            <w:noWrap/>
            <w:vAlign w:val="center"/>
          </w:tcPr>
          <w:p>
            <w:pPr>
              <w:pStyle w:val="63"/>
            </w:pPr>
            <w:r>
              <w:rPr>
                <w:rFonts w:hint="eastAsia"/>
              </w:rPr>
              <w:t>0%</w:t>
            </w:r>
          </w:p>
        </w:tc>
        <w:tc>
          <w:tcPr>
            <w:tcW w:w="689" w:type="dxa"/>
            <w:noWrap/>
            <w:vAlign w:val="center"/>
          </w:tcPr>
          <w:p>
            <w:pPr>
              <w:pStyle w:val="63"/>
            </w:pPr>
            <w:r>
              <w:rPr>
                <w:rFonts w:hint="eastAsia"/>
              </w:rPr>
              <w:t>20%</w:t>
            </w:r>
          </w:p>
        </w:tc>
        <w:tc>
          <w:tcPr>
            <w:tcW w:w="669" w:type="dxa"/>
            <w:noWrap/>
            <w:vAlign w:val="center"/>
          </w:tcPr>
          <w:p>
            <w:pPr>
              <w:pStyle w:val="63"/>
            </w:pPr>
            <w:r>
              <w:rPr>
                <w:rFonts w:hint="eastAsia"/>
              </w:rPr>
              <w:t>0%</w:t>
            </w:r>
          </w:p>
        </w:tc>
        <w:tc>
          <w:tcPr>
            <w:tcW w:w="703" w:type="dxa"/>
            <w:noWrap/>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continue"/>
            <w:noWrap/>
            <w:vAlign w:val="center"/>
          </w:tcPr>
          <w:p>
            <w:pPr>
              <w:pStyle w:val="63"/>
            </w:pPr>
          </w:p>
        </w:tc>
        <w:tc>
          <w:tcPr>
            <w:tcW w:w="1312" w:type="dxa"/>
            <w:noWrap/>
            <w:vAlign w:val="center"/>
          </w:tcPr>
          <w:p>
            <w:pPr>
              <w:pStyle w:val="63"/>
              <w:rPr>
                <w:rFonts w:cs="宋体"/>
              </w:rPr>
            </w:pPr>
            <w:r>
              <w:rPr>
                <w:rFonts w:hint="eastAsia"/>
              </w:rPr>
              <w:t>出水浓度</w:t>
            </w:r>
          </w:p>
        </w:tc>
        <w:tc>
          <w:tcPr>
            <w:tcW w:w="702" w:type="dxa"/>
            <w:noWrap/>
            <w:vAlign w:val="center"/>
          </w:tcPr>
          <w:p>
            <w:pPr>
              <w:pStyle w:val="63"/>
            </w:pPr>
            <w:r>
              <w:rPr>
                <w:rFonts w:hint="eastAsia"/>
              </w:rPr>
              <w:t>450.0</w:t>
            </w:r>
          </w:p>
        </w:tc>
        <w:tc>
          <w:tcPr>
            <w:tcW w:w="764" w:type="dxa"/>
            <w:noWrap/>
            <w:vAlign w:val="center"/>
          </w:tcPr>
          <w:p>
            <w:pPr>
              <w:pStyle w:val="63"/>
            </w:pPr>
            <w:r>
              <w:rPr>
                <w:rFonts w:hint="eastAsia"/>
              </w:rPr>
              <w:t>270.0</w:t>
            </w:r>
          </w:p>
        </w:tc>
        <w:tc>
          <w:tcPr>
            <w:tcW w:w="846" w:type="dxa"/>
            <w:noWrap/>
            <w:vAlign w:val="center"/>
          </w:tcPr>
          <w:p>
            <w:pPr>
              <w:pStyle w:val="63"/>
            </w:pPr>
            <w:r>
              <w:rPr>
                <w:rFonts w:hint="eastAsia"/>
              </w:rPr>
              <w:t>20.0</w:t>
            </w:r>
          </w:p>
        </w:tc>
        <w:tc>
          <w:tcPr>
            <w:tcW w:w="1056" w:type="dxa"/>
            <w:noWrap/>
            <w:vAlign w:val="center"/>
          </w:tcPr>
          <w:p>
            <w:pPr>
              <w:pStyle w:val="63"/>
            </w:pPr>
            <w:r>
              <w:rPr>
                <w:rFonts w:hint="eastAsia"/>
              </w:rPr>
              <w:t>100.0</w:t>
            </w:r>
          </w:p>
        </w:tc>
        <w:tc>
          <w:tcPr>
            <w:tcW w:w="636" w:type="dxa"/>
            <w:noWrap/>
            <w:vAlign w:val="center"/>
          </w:tcPr>
          <w:p>
            <w:pPr>
              <w:pStyle w:val="63"/>
            </w:pPr>
            <w:r>
              <w:rPr>
                <w:rFonts w:hint="eastAsia"/>
              </w:rPr>
              <w:t>30.0</w:t>
            </w:r>
          </w:p>
        </w:tc>
        <w:tc>
          <w:tcPr>
            <w:tcW w:w="689" w:type="dxa"/>
            <w:noWrap/>
            <w:vAlign w:val="center"/>
          </w:tcPr>
          <w:p>
            <w:pPr>
              <w:pStyle w:val="63"/>
            </w:pPr>
            <w:r>
              <w:rPr>
                <w:rFonts w:hint="eastAsia"/>
              </w:rPr>
              <w:t>320.0</w:t>
            </w:r>
          </w:p>
        </w:tc>
        <w:tc>
          <w:tcPr>
            <w:tcW w:w="669" w:type="dxa"/>
            <w:noWrap/>
            <w:vAlign w:val="center"/>
          </w:tcPr>
          <w:p>
            <w:pPr>
              <w:pStyle w:val="63"/>
            </w:pPr>
            <w:r>
              <w:rPr>
                <w:rFonts w:hint="eastAsia"/>
              </w:rPr>
              <w:t>3.0</w:t>
            </w:r>
          </w:p>
        </w:tc>
        <w:tc>
          <w:tcPr>
            <w:tcW w:w="703" w:type="dxa"/>
            <w:noWrap/>
            <w:vAlign w:val="center"/>
          </w:tcPr>
          <w:p>
            <w:pPr>
              <w:pStyle w:val="63"/>
            </w:pPr>
            <w:r>
              <w:rPr>
                <w:rFonts w:hint="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restart"/>
            <w:noWrap/>
            <w:vAlign w:val="center"/>
          </w:tcPr>
          <w:p>
            <w:pPr>
              <w:pStyle w:val="63"/>
            </w:pPr>
            <w:r>
              <w:rPr>
                <w:rFonts w:hint="eastAsia"/>
              </w:rPr>
              <w:t>调节池</w:t>
            </w:r>
          </w:p>
        </w:tc>
        <w:tc>
          <w:tcPr>
            <w:tcW w:w="1312" w:type="dxa"/>
            <w:noWrap/>
            <w:vAlign w:val="center"/>
          </w:tcPr>
          <w:p>
            <w:pPr>
              <w:pStyle w:val="63"/>
            </w:pPr>
            <w:r>
              <w:rPr>
                <w:rFonts w:hint="eastAsia"/>
              </w:rPr>
              <w:t>处理效率</w:t>
            </w:r>
          </w:p>
        </w:tc>
        <w:tc>
          <w:tcPr>
            <w:tcW w:w="702" w:type="dxa"/>
            <w:noWrap/>
            <w:vAlign w:val="center"/>
          </w:tcPr>
          <w:p>
            <w:pPr>
              <w:pStyle w:val="63"/>
            </w:pPr>
            <w:r>
              <w:rPr>
                <w:rFonts w:hint="eastAsia"/>
              </w:rPr>
              <w:t>0%</w:t>
            </w:r>
          </w:p>
        </w:tc>
        <w:tc>
          <w:tcPr>
            <w:tcW w:w="764" w:type="dxa"/>
            <w:noWrap/>
            <w:vAlign w:val="center"/>
          </w:tcPr>
          <w:p>
            <w:pPr>
              <w:pStyle w:val="63"/>
            </w:pPr>
            <w:r>
              <w:rPr>
                <w:rFonts w:hint="eastAsia"/>
              </w:rPr>
              <w:t>0%</w:t>
            </w:r>
          </w:p>
        </w:tc>
        <w:tc>
          <w:tcPr>
            <w:tcW w:w="846" w:type="dxa"/>
            <w:noWrap/>
            <w:vAlign w:val="center"/>
          </w:tcPr>
          <w:p>
            <w:pPr>
              <w:pStyle w:val="63"/>
            </w:pPr>
            <w:r>
              <w:rPr>
                <w:rFonts w:hint="eastAsia"/>
              </w:rPr>
              <w:t>0%</w:t>
            </w:r>
          </w:p>
        </w:tc>
        <w:tc>
          <w:tcPr>
            <w:tcW w:w="1056" w:type="dxa"/>
            <w:noWrap/>
            <w:vAlign w:val="center"/>
          </w:tcPr>
          <w:p>
            <w:pPr>
              <w:pStyle w:val="63"/>
            </w:pPr>
            <w:r>
              <w:rPr>
                <w:rFonts w:hint="eastAsia"/>
              </w:rPr>
              <w:t>0%</w:t>
            </w:r>
          </w:p>
        </w:tc>
        <w:tc>
          <w:tcPr>
            <w:tcW w:w="636" w:type="dxa"/>
            <w:noWrap/>
            <w:vAlign w:val="center"/>
          </w:tcPr>
          <w:p>
            <w:pPr>
              <w:pStyle w:val="63"/>
            </w:pPr>
            <w:r>
              <w:rPr>
                <w:rFonts w:hint="eastAsia"/>
              </w:rPr>
              <w:t>0%</w:t>
            </w:r>
          </w:p>
        </w:tc>
        <w:tc>
          <w:tcPr>
            <w:tcW w:w="689" w:type="dxa"/>
            <w:noWrap/>
            <w:vAlign w:val="center"/>
          </w:tcPr>
          <w:p>
            <w:pPr>
              <w:pStyle w:val="63"/>
            </w:pPr>
            <w:r>
              <w:rPr>
                <w:rFonts w:hint="eastAsia"/>
              </w:rPr>
              <w:t>20%</w:t>
            </w:r>
          </w:p>
        </w:tc>
        <w:tc>
          <w:tcPr>
            <w:tcW w:w="669" w:type="dxa"/>
            <w:noWrap/>
            <w:vAlign w:val="center"/>
          </w:tcPr>
          <w:p>
            <w:pPr>
              <w:pStyle w:val="63"/>
            </w:pPr>
            <w:r>
              <w:rPr>
                <w:rFonts w:hint="eastAsia"/>
              </w:rPr>
              <w:t>0%</w:t>
            </w:r>
          </w:p>
        </w:tc>
        <w:tc>
          <w:tcPr>
            <w:tcW w:w="703" w:type="dxa"/>
            <w:noWrap/>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continue"/>
            <w:noWrap/>
            <w:vAlign w:val="center"/>
          </w:tcPr>
          <w:p>
            <w:pPr>
              <w:pStyle w:val="63"/>
            </w:pPr>
          </w:p>
        </w:tc>
        <w:tc>
          <w:tcPr>
            <w:tcW w:w="1312" w:type="dxa"/>
            <w:noWrap/>
            <w:vAlign w:val="center"/>
          </w:tcPr>
          <w:p>
            <w:pPr>
              <w:pStyle w:val="63"/>
              <w:rPr>
                <w:rFonts w:cs="宋体"/>
              </w:rPr>
            </w:pPr>
            <w:r>
              <w:rPr>
                <w:rFonts w:hint="eastAsia"/>
              </w:rPr>
              <w:t>出水浓度</w:t>
            </w:r>
          </w:p>
        </w:tc>
        <w:tc>
          <w:tcPr>
            <w:tcW w:w="702" w:type="dxa"/>
            <w:noWrap/>
            <w:vAlign w:val="center"/>
          </w:tcPr>
          <w:p>
            <w:pPr>
              <w:pStyle w:val="63"/>
            </w:pPr>
            <w:r>
              <w:rPr>
                <w:rFonts w:hint="eastAsia"/>
              </w:rPr>
              <w:t>450.0</w:t>
            </w:r>
          </w:p>
        </w:tc>
        <w:tc>
          <w:tcPr>
            <w:tcW w:w="764" w:type="dxa"/>
            <w:noWrap/>
            <w:vAlign w:val="center"/>
          </w:tcPr>
          <w:p>
            <w:pPr>
              <w:pStyle w:val="63"/>
            </w:pPr>
            <w:r>
              <w:rPr>
                <w:rFonts w:hint="eastAsia"/>
              </w:rPr>
              <w:t>270.0</w:t>
            </w:r>
          </w:p>
        </w:tc>
        <w:tc>
          <w:tcPr>
            <w:tcW w:w="846" w:type="dxa"/>
            <w:noWrap/>
            <w:vAlign w:val="center"/>
          </w:tcPr>
          <w:p>
            <w:pPr>
              <w:pStyle w:val="63"/>
            </w:pPr>
            <w:r>
              <w:rPr>
                <w:rFonts w:hint="eastAsia"/>
              </w:rPr>
              <w:t>20.0</w:t>
            </w:r>
          </w:p>
        </w:tc>
        <w:tc>
          <w:tcPr>
            <w:tcW w:w="1056" w:type="dxa"/>
            <w:noWrap/>
            <w:vAlign w:val="center"/>
          </w:tcPr>
          <w:p>
            <w:pPr>
              <w:pStyle w:val="63"/>
            </w:pPr>
            <w:r>
              <w:rPr>
                <w:rFonts w:hint="eastAsia"/>
              </w:rPr>
              <w:t>100.0</w:t>
            </w:r>
          </w:p>
        </w:tc>
        <w:tc>
          <w:tcPr>
            <w:tcW w:w="636" w:type="dxa"/>
            <w:noWrap/>
            <w:vAlign w:val="center"/>
          </w:tcPr>
          <w:p>
            <w:pPr>
              <w:pStyle w:val="63"/>
            </w:pPr>
            <w:r>
              <w:rPr>
                <w:rFonts w:hint="eastAsia"/>
              </w:rPr>
              <w:t>30.0</w:t>
            </w:r>
          </w:p>
        </w:tc>
        <w:tc>
          <w:tcPr>
            <w:tcW w:w="689" w:type="dxa"/>
            <w:noWrap/>
            <w:vAlign w:val="center"/>
          </w:tcPr>
          <w:p>
            <w:pPr>
              <w:pStyle w:val="63"/>
            </w:pPr>
            <w:r>
              <w:rPr>
                <w:rFonts w:hint="eastAsia"/>
              </w:rPr>
              <w:t>256.0</w:t>
            </w:r>
          </w:p>
        </w:tc>
        <w:tc>
          <w:tcPr>
            <w:tcW w:w="669" w:type="dxa"/>
            <w:noWrap/>
            <w:vAlign w:val="center"/>
          </w:tcPr>
          <w:p>
            <w:pPr>
              <w:pStyle w:val="63"/>
            </w:pPr>
            <w:r>
              <w:rPr>
                <w:rFonts w:hint="eastAsia"/>
              </w:rPr>
              <w:t>3.0</w:t>
            </w:r>
          </w:p>
        </w:tc>
        <w:tc>
          <w:tcPr>
            <w:tcW w:w="703" w:type="dxa"/>
            <w:noWrap/>
            <w:vAlign w:val="center"/>
          </w:tcPr>
          <w:p>
            <w:pPr>
              <w:pStyle w:val="63"/>
            </w:pPr>
            <w:r>
              <w:rPr>
                <w:rFonts w:hint="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restart"/>
            <w:noWrap/>
            <w:vAlign w:val="center"/>
          </w:tcPr>
          <w:p>
            <w:pPr>
              <w:pStyle w:val="63"/>
            </w:pPr>
            <w:r>
              <w:rPr>
                <w:rFonts w:hint="eastAsia"/>
              </w:rPr>
              <w:t>沉淀池</w:t>
            </w:r>
          </w:p>
        </w:tc>
        <w:tc>
          <w:tcPr>
            <w:tcW w:w="1312" w:type="dxa"/>
            <w:noWrap/>
            <w:vAlign w:val="center"/>
          </w:tcPr>
          <w:p>
            <w:pPr>
              <w:pStyle w:val="63"/>
            </w:pPr>
            <w:r>
              <w:rPr>
                <w:rFonts w:hint="eastAsia"/>
              </w:rPr>
              <w:t>处理效率</w:t>
            </w:r>
          </w:p>
        </w:tc>
        <w:tc>
          <w:tcPr>
            <w:tcW w:w="702" w:type="dxa"/>
            <w:noWrap/>
            <w:vAlign w:val="center"/>
          </w:tcPr>
          <w:p>
            <w:pPr>
              <w:pStyle w:val="63"/>
            </w:pPr>
            <w:r>
              <w:rPr>
                <w:rFonts w:hint="eastAsia"/>
              </w:rPr>
              <w:t>0%</w:t>
            </w:r>
          </w:p>
        </w:tc>
        <w:tc>
          <w:tcPr>
            <w:tcW w:w="764" w:type="dxa"/>
            <w:noWrap/>
            <w:vAlign w:val="center"/>
          </w:tcPr>
          <w:p>
            <w:pPr>
              <w:pStyle w:val="63"/>
            </w:pPr>
            <w:r>
              <w:rPr>
                <w:rFonts w:hint="eastAsia"/>
              </w:rPr>
              <w:t>0%</w:t>
            </w:r>
          </w:p>
        </w:tc>
        <w:tc>
          <w:tcPr>
            <w:tcW w:w="846" w:type="dxa"/>
            <w:noWrap/>
            <w:vAlign w:val="center"/>
          </w:tcPr>
          <w:p>
            <w:pPr>
              <w:pStyle w:val="63"/>
            </w:pPr>
            <w:r>
              <w:rPr>
                <w:rFonts w:hint="eastAsia"/>
              </w:rPr>
              <w:t>0%</w:t>
            </w:r>
          </w:p>
        </w:tc>
        <w:tc>
          <w:tcPr>
            <w:tcW w:w="1056" w:type="dxa"/>
            <w:noWrap/>
            <w:vAlign w:val="center"/>
          </w:tcPr>
          <w:p>
            <w:pPr>
              <w:pStyle w:val="63"/>
            </w:pPr>
            <w:r>
              <w:rPr>
                <w:rFonts w:hint="eastAsia"/>
              </w:rPr>
              <w:t>0%</w:t>
            </w:r>
          </w:p>
        </w:tc>
        <w:tc>
          <w:tcPr>
            <w:tcW w:w="636" w:type="dxa"/>
            <w:noWrap/>
            <w:vAlign w:val="center"/>
          </w:tcPr>
          <w:p>
            <w:pPr>
              <w:pStyle w:val="63"/>
            </w:pPr>
            <w:r>
              <w:rPr>
                <w:rFonts w:hint="eastAsia"/>
              </w:rPr>
              <w:t>0%</w:t>
            </w:r>
          </w:p>
        </w:tc>
        <w:tc>
          <w:tcPr>
            <w:tcW w:w="689" w:type="dxa"/>
            <w:noWrap/>
            <w:vAlign w:val="center"/>
          </w:tcPr>
          <w:p>
            <w:pPr>
              <w:pStyle w:val="63"/>
            </w:pPr>
            <w:r>
              <w:rPr>
                <w:rFonts w:hint="eastAsia"/>
              </w:rPr>
              <w:t>30%</w:t>
            </w:r>
          </w:p>
        </w:tc>
        <w:tc>
          <w:tcPr>
            <w:tcW w:w="669" w:type="dxa"/>
            <w:noWrap/>
            <w:vAlign w:val="center"/>
          </w:tcPr>
          <w:p>
            <w:pPr>
              <w:pStyle w:val="63"/>
            </w:pPr>
            <w:r>
              <w:rPr>
                <w:rFonts w:hint="eastAsia"/>
              </w:rPr>
              <w:t>0%</w:t>
            </w:r>
          </w:p>
        </w:tc>
        <w:tc>
          <w:tcPr>
            <w:tcW w:w="703" w:type="dxa"/>
            <w:noWrap/>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continue"/>
            <w:noWrap/>
            <w:vAlign w:val="center"/>
          </w:tcPr>
          <w:p>
            <w:pPr>
              <w:pStyle w:val="63"/>
            </w:pPr>
          </w:p>
        </w:tc>
        <w:tc>
          <w:tcPr>
            <w:tcW w:w="1312" w:type="dxa"/>
            <w:noWrap/>
            <w:vAlign w:val="center"/>
          </w:tcPr>
          <w:p>
            <w:pPr>
              <w:pStyle w:val="63"/>
              <w:rPr>
                <w:rFonts w:cs="宋体"/>
              </w:rPr>
            </w:pPr>
            <w:r>
              <w:rPr>
                <w:rFonts w:hint="eastAsia"/>
              </w:rPr>
              <w:t>出水浓度</w:t>
            </w:r>
          </w:p>
        </w:tc>
        <w:tc>
          <w:tcPr>
            <w:tcW w:w="702" w:type="dxa"/>
            <w:noWrap/>
            <w:vAlign w:val="center"/>
          </w:tcPr>
          <w:p>
            <w:pPr>
              <w:pStyle w:val="63"/>
            </w:pPr>
            <w:r>
              <w:rPr>
                <w:rFonts w:hint="eastAsia"/>
              </w:rPr>
              <w:t>450.0</w:t>
            </w:r>
          </w:p>
        </w:tc>
        <w:tc>
          <w:tcPr>
            <w:tcW w:w="764" w:type="dxa"/>
            <w:noWrap/>
            <w:vAlign w:val="center"/>
          </w:tcPr>
          <w:p>
            <w:pPr>
              <w:pStyle w:val="63"/>
            </w:pPr>
            <w:r>
              <w:rPr>
                <w:rFonts w:hint="eastAsia"/>
              </w:rPr>
              <w:t>270.0</w:t>
            </w:r>
          </w:p>
        </w:tc>
        <w:tc>
          <w:tcPr>
            <w:tcW w:w="846" w:type="dxa"/>
            <w:noWrap/>
            <w:vAlign w:val="center"/>
          </w:tcPr>
          <w:p>
            <w:pPr>
              <w:pStyle w:val="63"/>
            </w:pPr>
            <w:r>
              <w:rPr>
                <w:rFonts w:hint="eastAsia"/>
              </w:rPr>
              <w:t>20.0</w:t>
            </w:r>
          </w:p>
        </w:tc>
        <w:tc>
          <w:tcPr>
            <w:tcW w:w="1056" w:type="dxa"/>
            <w:noWrap/>
            <w:vAlign w:val="center"/>
          </w:tcPr>
          <w:p>
            <w:pPr>
              <w:pStyle w:val="63"/>
            </w:pPr>
            <w:r>
              <w:rPr>
                <w:rFonts w:hint="eastAsia"/>
              </w:rPr>
              <w:t>100.0</w:t>
            </w:r>
          </w:p>
        </w:tc>
        <w:tc>
          <w:tcPr>
            <w:tcW w:w="636" w:type="dxa"/>
            <w:noWrap/>
            <w:vAlign w:val="center"/>
          </w:tcPr>
          <w:p>
            <w:pPr>
              <w:pStyle w:val="63"/>
            </w:pPr>
            <w:r>
              <w:rPr>
                <w:rFonts w:hint="eastAsia"/>
              </w:rPr>
              <w:t>30.0</w:t>
            </w:r>
          </w:p>
        </w:tc>
        <w:tc>
          <w:tcPr>
            <w:tcW w:w="689" w:type="dxa"/>
            <w:noWrap/>
            <w:vAlign w:val="center"/>
          </w:tcPr>
          <w:p>
            <w:pPr>
              <w:pStyle w:val="63"/>
            </w:pPr>
            <w:r>
              <w:rPr>
                <w:rFonts w:hint="eastAsia"/>
              </w:rPr>
              <w:t>179.2</w:t>
            </w:r>
          </w:p>
        </w:tc>
        <w:tc>
          <w:tcPr>
            <w:tcW w:w="669" w:type="dxa"/>
            <w:noWrap/>
            <w:vAlign w:val="center"/>
          </w:tcPr>
          <w:p>
            <w:pPr>
              <w:pStyle w:val="63"/>
            </w:pPr>
            <w:r>
              <w:rPr>
                <w:rFonts w:hint="eastAsia"/>
              </w:rPr>
              <w:t>3.0</w:t>
            </w:r>
          </w:p>
        </w:tc>
        <w:tc>
          <w:tcPr>
            <w:tcW w:w="703" w:type="dxa"/>
            <w:noWrap/>
            <w:vAlign w:val="center"/>
          </w:tcPr>
          <w:p>
            <w:pPr>
              <w:pStyle w:val="63"/>
            </w:pPr>
            <w:r>
              <w:rPr>
                <w:rFonts w:hint="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restart"/>
            <w:noWrap/>
            <w:vAlign w:val="center"/>
          </w:tcPr>
          <w:p>
            <w:pPr>
              <w:pStyle w:val="63"/>
            </w:pPr>
            <w:r>
              <w:rPr>
                <w:rFonts w:hint="eastAsia"/>
              </w:rPr>
              <w:t>气浮池</w:t>
            </w:r>
          </w:p>
        </w:tc>
        <w:tc>
          <w:tcPr>
            <w:tcW w:w="1312" w:type="dxa"/>
            <w:noWrap/>
            <w:vAlign w:val="center"/>
          </w:tcPr>
          <w:p>
            <w:pPr>
              <w:pStyle w:val="63"/>
            </w:pPr>
            <w:r>
              <w:rPr>
                <w:rFonts w:hint="eastAsia"/>
              </w:rPr>
              <w:t>处理效率</w:t>
            </w:r>
          </w:p>
        </w:tc>
        <w:tc>
          <w:tcPr>
            <w:tcW w:w="702" w:type="dxa"/>
            <w:noWrap/>
            <w:vAlign w:val="center"/>
          </w:tcPr>
          <w:p>
            <w:pPr>
              <w:pStyle w:val="63"/>
            </w:pPr>
            <w:r>
              <w:rPr>
                <w:rFonts w:hint="eastAsia"/>
              </w:rPr>
              <w:t>20%</w:t>
            </w:r>
          </w:p>
        </w:tc>
        <w:tc>
          <w:tcPr>
            <w:tcW w:w="764" w:type="dxa"/>
            <w:noWrap/>
            <w:vAlign w:val="center"/>
          </w:tcPr>
          <w:p>
            <w:pPr>
              <w:pStyle w:val="63"/>
            </w:pPr>
            <w:r>
              <w:rPr>
                <w:rFonts w:hint="eastAsia"/>
              </w:rPr>
              <w:t>20%</w:t>
            </w:r>
          </w:p>
        </w:tc>
        <w:tc>
          <w:tcPr>
            <w:tcW w:w="846" w:type="dxa"/>
            <w:noWrap/>
            <w:vAlign w:val="center"/>
          </w:tcPr>
          <w:p>
            <w:pPr>
              <w:pStyle w:val="63"/>
            </w:pPr>
            <w:r>
              <w:rPr>
                <w:rFonts w:hint="eastAsia"/>
              </w:rPr>
              <w:t>95%</w:t>
            </w:r>
          </w:p>
        </w:tc>
        <w:tc>
          <w:tcPr>
            <w:tcW w:w="1056" w:type="dxa"/>
            <w:noWrap/>
            <w:vAlign w:val="center"/>
          </w:tcPr>
          <w:p>
            <w:pPr>
              <w:pStyle w:val="63"/>
            </w:pPr>
            <w:r>
              <w:rPr>
                <w:rFonts w:hint="eastAsia"/>
              </w:rPr>
              <w:t>96%</w:t>
            </w:r>
          </w:p>
        </w:tc>
        <w:tc>
          <w:tcPr>
            <w:tcW w:w="636" w:type="dxa"/>
            <w:noWrap/>
            <w:vAlign w:val="center"/>
          </w:tcPr>
          <w:p>
            <w:pPr>
              <w:pStyle w:val="63"/>
            </w:pPr>
            <w:r>
              <w:rPr>
                <w:rFonts w:hint="eastAsia"/>
              </w:rPr>
              <w:t>0%</w:t>
            </w:r>
          </w:p>
        </w:tc>
        <w:tc>
          <w:tcPr>
            <w:tcW w:w="689" w:type="dxa"/>
            <w:noWrap/>
            <w:vAlign w:val="center"/>
          </w:tcPr>
          <w:p>
            <w:pPr>
              <w:pStyle w:val="63"/>
            </w:pPr>
            <w:r>
              <w:rPr>
                <w:rFonts w:hint="eastAsia"/>
              </w:rPr>
              <w:t>80%</w:t>
            </w:r>
          </w:p>
        </w:tc>
        <w:tc>
          <w:tcPr>
            <w:tcW w:w="669" w:type="dxa"/>
            <w:noWrap/>
            <w:vAlign w:val="center"/>
          </w:tcPr>
          <w:p>
            <w:pPr>
              <w:pStyle w:val="63"/>
            </w:pPr>
            <w:r>
              <w:rPr>
                <w:rFonts w:hint="eastAsia"/>
              </w:rPr>
              <w:t>0%</w:t>
            </w:r>
          </w:p>
        </w:tc>
        <w:tc>
          <w:tcPr>
            <w:tcW w:w="703" w:type="dxa"/>
            <w:noWrap/>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continue"/>
            <w:noWrap/>
            <w:vAlign w:val="center"/>
          </w:tcPr>
          <w:p>
            <w:pPr>
              <w:pStyle w:val="63"/>
            </w:pPr>
          </w:p>
        </w:tc>
        <w:tc>
          <w:tcPr>
            <w:tcW w:w="1312" w:type="dxa"/>
            <w:noWrap/>
            <w:vAlign w:val="center"/>
          </w:tcPr>
          <w:p>
            <w:pPr>
              <w:pStyle w:val="63"/>
              <w:rPr>
                <w:rFonts w:cs="宋体"/>
              </w:rPr>
            </w:pPr>
            <w:r>
              <w:rPr>
                <w:rFonts w:hint="eastAsia"/>
              </w:rPr>
              <w:t>出水浓度</w:t>
            </w:r>
          </w:p>
        </w:tc>
        <w:tc>
          <w:tcPr>
            <w:tcW w:w="702" w:type="dxa"/>
            <w:noWrap/>
            <w:vAlign w:val="center"/>
          </w:tcPr>
          <w:p>
            <w:pPr>
              <w:pStyle w:val="63"/>
            </w:pPr>
            <w:r>
              <w:rPr>
                <w:rFonts w:hint="eastAsia"/>
              </w:rPr>
              <w:t>360.0</w:t>
            </w:r>
          </w:p>
        </w:tc>
        <w:tc>
          <w:tcPr>
            <w:tcW w:w="764" w:type="dxa"/>
            <w:noWrap/>
            <w:vAlign w:val="center"/>
          </w:tcPr>
          <w:p>
            <w:pPr>
              <w:pStyle w:val="63"/>
            </w:pPr>
            <w:r>
              <w:rPr>
                <w:rFonts w:hint="eastAsia"/>
              </w:rPr>
              <w:t>216.0</w:t>
            </w:r>
          </w:p>
        </w:tc>
        <w:tc>
          <w:tcPr>
            <w:tcW w:w="846" w:type="dxa"/>
            <w:noWrap/>
            <w:vAlign w:val="center"/>
          </w:tcPr>
          <w:p>
            <w:pPr>
              <w:pStyle w:val="63"/>
            </w:pPr>
            <w:r>
              <w:rPr>
                <w:rFonts w:hint="eastAsia"/>
              </w:rPr>
              <w:t>1.0</w:t>
            </w:r>
          </w:p>
        </w:tc>
        <w:tc>
          <w:tcPr>
            <w:tcW w:w="1056" w:type="dxa"/>
            <w:noWrap/>
            <w:vAlign w:val="center"/>
          </w:tcPr>
          <w:p>
            <w:pPr>
              <w:pStyle w:val="63"/>
            </w:pPr>
            <w:r>
              <w:rPr>
                <w:rFonts w:hint="eastAsia"/>
              </w:rPr>
              <w:t>4.0</w:t>
            </w:r>
          </w:p>
        </w:tc>
        <w:tc>
          <w:tcPr>
            <w:tcW w:w="636" w:type="dxa"/>
            <w:noWrap/>
            <w:vAlign w:val="center"/>
          </w:tcPr>
          <w:p>
            <w:pPr>
              <w:pStyle w:val="63"/>
            </w:pPr>
            <w:r>
              <w:rPr>
                <w:rFonts w:hint="eastAsia"/>
              </w:rPr>
              <w:t>30.0</w:t>
            </w:r>
          </w:p>
        </w:tc>
        <w:tc>
          <w:tcPr>
            <w:tcW w:w="689" w:type="dxa"/>
            <w:noWrap/>
            <w:vAlign w:val="center"/>
          </w:tcPr>
          <w:p>
            <w:pPr>
              <w:pStyle w:val="63"/>
            </w:pPr>
            <w:r>
              <w:rPr>
                <w:rFonts w:hint="eastAsia"/>
              </w:rPr>
              <w:t>35.8</w:t>
            </w:r>
          </w:p>
        </w:tc>
        <w:tc>
          <w:tcPr>
            <w:tcW w:w="669" w:type="dxa"/>
            <w:noWrap/>
            <w:vAlign w:val="center"/>
          </w:tcPr>
          <w:p>
            <w:pPr>
              <w:pStyle w:val="63"/>
            </w:pPr>
            <w:r>
              <w:rPr>
                <w:rFonts w:hint="eastAsia"/>
              </w:rPr>
              <w:t>3.0</w:t>
            </w:r>
          </w:p>
        </w:tc>
        <w:tc>
          <w:tcPr>
            <w:tcW w:w="703" w:type="dxa"/>
            <w:noWrap/>
            <w:vAlign w:val="center"/>
          </w:tcPr>
          <w:p>
            <w:pPr>
              <w:pStyle w:val="63"/>
            </w:pPr>
            <w:r>
              <w:rPr>
                <w:rFonts w:hint="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restart"/>
            <w:noWrap/>
            <w:vAlign w:val="center"/>
          </w:tcPr>
          <w:p>
            <w:pPr>
              <w:pStyle w:val="63"/>
            </w:pPr>
            <w:r>
              <w:rPr>
                <w:rFonts w:hint="eastAsia"/>
              </w:rPr>
              <w:t>水解酸化池</w:t>
            </w:r>
          </w:p>
        </w:tc>
        <w:tc>
          <w:tcPr>
            <w:tcW w:w="1312" w:type="dxa"/>
            <w:noWrap/>
            <w:vAlign w:val="center"/>
          </w:tcPr>
          <w:p>
            <w:pPr>
              <w:pStyle w:val="63"/>
            </w:pPr>
            <w:r>
              <w:rPr>
                <w:rFonts w:hint="eastAsia"/>
              </w:rPr>
              <w:t>处理效率</w:t>
            </w:r>
          </w:p>
        </w:tc>
        <w:tc>
          <w:tcPr>
            <w:tcW w:w="702" w:type="dxa"/>
            <w:noWrap/>
            <w:vAlign w:val="center"/>
          </w:tcPr>
          <w:p>
            <w:pPr>
              <w:pStyle w:val="63"/>
            </w:pPr>
            <w:r>
              <w:rPr>
                <w:rFonts w:hint="eastAsia"/>
              </w:rPr>
              <w:t>10%</w:t>
            </w:r>
          </w:p>
        </w:tc>
        <w:tc>
          <w:tcPr>
            <w:tcW w:w="764" w:type="dxa"/>
            <w:noWrap/>
            <w:vAlign w:val="center"/>
          </w:tcPr>
          <w:p>
            <w:pPr>
              <w:pStyle w:val="63"/>
            </w:pPr>
            <w:r>
              <w:rPr>
                <w:rFonts w:hint="eastAsia"/>
              </w:rPr>
              <w:t>10%</w:t>
            </w:r>
          </w:p>
        </w:tc>
        <w:tc>
          <w:tcPr>
            <w:tcW w:w="846" w:type="dxa"/>
            <w:noWrap/>
            <w:vAlign w:val="center"/>
          </w:tcPr>
          <w:p>
            <w:pPr>
              <w:pStyle w:val="63"/>
            </w:pPr>
            <w:r>
              <w:rPr>
                <w:rFonts w:hint="eastAsia"/>
              </w:rPr>
              <w:t>0%</w:t>
            </w:r>
          </w:p>
        </w:tc>
        <w:tc>
          <w:tcPr>
            <w:tcW w:w="1056" w:type="dxa"/>
            <w:noWrap/>
            <w:vAlign w:val="center"/>
          </w:tcPr>
          <w:p>
            <w:pPr>
              <w:pStyle w:val="63"/>
            </w:pPr>
            <w:r>
              <w:rPr>
                <w:rFonts w:hint="eastAsia"/>
              </w:rPr>
              <w:t>40%</w:t>
            </w:r>
          </w:p>
        </w:tc>
        <w:tc>
          <w:tcPr>
            <w:tcW w:w="636" w:type="dxa"/>
            <w:noWrap/>
            <w:vAlign w:val="center"/>
          </w:tcPr>
          <w:p>
            <w:pPr>
              <w:pStyle w:val="63"/>
            </w:pPr>
            <w:r>
              <w:rPr>
                <w:rFonts w:hint="eastAsia"/>
              </w:rPr>
              <w:t>20%</w:t>
            </w:r>
          </w:p>
        </w:tc>
        <w:tc>
          <w:tcPr>
            <w:tcW w:w="689" w:type="dxa"/>
            <w:noWrap/>
            <w:vAlign w:val="center"/>
          </w:tcPr>
          <w:p>
            <w:pPr>
              <w:pStyle w:val="63"/>
            </w:pPr>
            <w:r>
              <w:rPr>
                <w:rFonts w:hint="eastAsia"/>
              </w:rPr>
              <w:t>0%</w:t>
            </w:r>
          </w:p>
        </w:tc>
        <w:tc>
          <w:tcPr>
            <w:tcW w:w="669" w:type="dxa"/>
            <w:noWrap/>
            <w:vAlign w:val="center"/>
          </w:tcPr>
          <w:p>
            <w:pPr>
              <w:pStyle w:val="63"/>
            </w:pPr>
            <w:r>
              <w:rPr>
                <w:rFonts w:hint="eastAsia"/>
              </w:rPr>
              <w:t>0%</w:t>
            </w:r>
          </w:p>
        </w:tc>
        <w:tc>
          <w:tcPr>
            <w:tcW w:w="703" w:type="dxa"/>
            <w:noWrap/>
            <w:vAlign w:val="center"/>
          </w:tcPr>
          <w:p>
            <w:pPr>
              <w:pStyle w:val="63"/>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continue"/>
            <w:noWrap/>
            <w:vAlign w:val="center"/>
          </w:tcPr>
          <w:p>
            <w:pPr>
              <w:pStyle w:val="63"/>
            </w:pPr>
          </w:p>
        </w:tc>
        <w:tc>
          <w:tcPr>
            <w:tcW w:w="1312" w:type="dxa"/>
            <w:noWrap/>
            <w:vAlign w:val="center"/>
          </w:tcPr>
          <w:p>
            <w:pPr>
              <w:pStyle w:val="63"/>
              <w:rPr>
                <w:rFonts w:cs="宋体"/>
              </w:rPr>
            </w:pPr>
            <w:r>
              <w:rPr>
                <w:rFonts w:hint="eastAsia"/>
              </w:rPr>
              <w:t>出水浓度</w:t>
            </w:r>
          </w:p>
        </w:tc>
        <w:tc>
          <w:tcPr>
            <w:tcW w:w="702" w:type="dxa"/>
            <w:noWrap/>
            <w:vAlign w:val="center"/>
          </w:tcPr>
          <w:p>
            <w:pPr>
              <w:pStyle w:val="63"/>
            </w:pPr>
            <w:r>
              <w:rPr>
                <w:rFonts w:hint="eastAsia"/>
              </w:rPr>
              <w:t>324.0</w:t>
            </w:r>
          </w:p>
        </w:tc>
        <w:tc>
          <w:tcPr>
            <w:tcW w:w="764" w:type="dxa"/>
            <w:noWrap/>
            <w:vAlign w:val="center"/>
          </w:tcPr>
          <w:p>
            <w:pPr>
              <w:pStyle w:val="63"/>
            </w:pPr>
            <w:r>
              <w:rPr>
                <w:rFonts w:hint="eastAsia"/>
              </w:rPr>
              <w:t>194.4</w:t>
            </w:r>
          </w:p>
        </w:tc>
        <w:tc>
          <w:tcPr>
            <w:tcW w:w="846" w:type="dxa"/>
            <w:noWrap/>
            <w:vAlign w:val="center"/>
          </w:tcPr>
          <w:p>
            <w:pPr>
              <w:pStyle w:val="63"/>
            </w:pPr>
            <w:r>
              <w:rPr>
                <w:rFonts w:hint="eastAsia"/>
              </w:rPr>
              <w:t>1.0</w:t>
            </w:r>
          </w:p>
        </w:tc>
        <w:tc>
          <w:tcPr>
            <w:tcW w:w="1056" w:type="dxa"/>
            <w:noWrap/>
            <w:vAlign w:val="center"/>
          </w:tcPr>
          <w:p>
            <w:pPr>
              <w:pStyle w:val="63"/>
            </w:pPr>
            <w:r>
              <w:rPr>
                <w:rFonts w:hint="eastAsia"/>
              </w:rPr>
              <w:t>2.4</w:t>
            </w:r>
          </w:p>
        </w:tc>
        <w:tc>
          <w:tcPr>
            <w:tcW w:w="636" w:type="dxa"/>
            <w:noWrap/>
            <w:vAlign w:val="center"/>
          </w:tcPr>
          <w:p>
            <w:pPr>
              <w:pStyle w:val="63"/>
            </w:pPr>
            <w:r>
              <w:rPr>
                <w:rFonts w:hint="eastAsia"/>
              </w:rPr>
              <w:t>24.0</w:t>
            </w:r>
          </w:p>
        </w:tc>
        <w:tc>
          <w:tcPr>
            <w:tcW w:w="689" w:type="dxa"/>
            <w:noWrap/>
            <w:vAlign w:val="center"/>
          </w:tcPr>
          <w:p>
            <w:pPr>
              <w:pStyle w:val="63"/>
            </w:pPr>
            <w:r>
              <w:rPr>
                <w:rFonts w:hint="eastAsia"/>
              </w:rPr>
              <w:t>35.8</w:t>
            </w:r>
          </w:p>
        </w:tc>
        <w:tc>
          <w:tcPr>
            <w:tcW w:w="669" w:type="dxa"/>
            <w:noWrap/>
            <w:vAlign w:val="center"/>
          </w:tcPr>
          <w:p>
            <w:pPr>
              <w:pStyle w:val="63"/>
            </w:pPr>
            <w:r>
              <w:rPr>
                <w:rFonts w:hint="eastAsia"/>
              </w:rPr>
              <w:t>3.0</w:t>
            </w:r>
          </w:p>
        </w:tc>
        <w:tc>
          <w:tcPr>
            <w:tcW w:w="703" w:type="dxa"/>
            <w:noWrap/>
            <w:vAlign w:val="center"/>
          </w:tcPr>
          <w:p>
            <w:pPr>
              <w:pStyle w:val="63"/>
            </w:pPr>
            <w:r>
              <w:rPr>
                <w:rFonts w:hint="eastAsi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restart"/>
            <w:noWrap/>
            <w:vAlign w:val="center"/>
          </w:tcPr>
          <w:p>
            <w:pPr>
              <w:pStyle w:val="63"/>
            </w:pPr>
            <w:r>
              <w:rPr>
                <w:rFonts w:hint="eastAsia"/>
              </w:rPr>
              <w:t>AAO</w:t>
            </w:r>
          </w:p>
        </w:tc>
        <w:tc>
          <w:tcPr>
            <w:tcW w:w="1312" w:type="dxa"/>
            <w:noWrap/>
            <w:vAlign w:val="center"/>
          </w:tcPr>
          <w:p>
            <w:pPr>
              <w:pStyle w:val="63"/>
            </w:pPr>
            <w:r>
              <w:rPr>
                <w:rFonts w:hint="eastAsia"/>
              </w:rPr>
              <w:t>处理效率</w:t>
            </w:r>
          </w:p>
        </w:tc>
        <w:tc>
          <w:tcPr>
            <w:tcW w:w="702" w:type="dxa"/>
            <w:noWrap/>
            <w:vAlign w:val="center"/>
          </w:tcPr>
          <w:p>
            <w:pPr>
              <w:pStyle w:val="63"/>
            </w:pPr>
            <w:r>
              <w:rPr>
                <w:rFonts w:hint="eastAsia"/>
              </w:rPr>
              <w:t>81%</w:t>
            </w:r>
          </w:p>
        </w:tc>
        <w:tc>
          <w:tcPr>
            <w:tcW w:w="764" w:type="dxa"/>
            <w:noWrap/>
            <w:vAlign w:val="center"/>
          </w:tcPr>
          <w:p>
            <w:pPr>
              <w:pStyle w:val="63"/>
            </w:pPr>
            <w:r>
              <w:rPr>
                <w:rFonts w:hint="eastAsia"/>
              </w:rPr>
              <w:t>90%</w:t>
            </w:r>
          </w:p>
        </w:tc>
        <w:tc>
          <w:tcPr>
            <w:tcW w:w="846" w:type="dxa"/>
            <w:noWrap/>
            <w:vAlign w:val="center"/>
          </w:tcPr>
          <w:p>
            <w:pPr>
              <w:pStyle w:val="63"/>
            </w:pPr>
            <w:r>
              <w:rPr>
                <w:rFonts w:hint="eastAsia"/>
              </w:rPr>
              <w:t>0%</w:t>
            </w:r>
          </w:p>
        </w:tc>
        <w:tc>
          <w:tcPr>
            <w:tcW w:w="1056" w:type="dxa"/>
            <w:noWrap/>
            <w:vAlign w:val="center"/>
          </w:tcPr>
          <w:p>
            <w:pPr>
              <w:pStyle w:val="63"/>
            </w:pPr>
            <w:r>
              <w:rPr>
                <w:rFonts w:hint="eastAsia"/>
              </w:rPr>
              <w:t>50%</w:t>
            </w:r>
          </w:p>
        </w:tc>
        <w:tc>
          <w:tcPr>
            <w:tcW w:w="636" w:type="dxa"/>
            <w:noWrap/>
            <w:vAlign w:val="center"/>
          </w:tcPr>
          <w:p>
            <w:pPr>
              <w:pStyle w:val="63"/>
            </w:pPr>
            <w:r>
              <w:rPr>
                <w:rFonts w:hint="eastAsia"/>
              </w:rPr>
              <w:t>70%</w:t>
            </w:r>
          </w:p>
        </w:tc>
        <w:tc>
          <w:tcPr>
            <w:tcW w:w="689" w:type="dxa"/>
            <w:noWrap/>
            <w:vAlign w:val="center"/>
          </w:tcPr>
          <w:p>
            <w:pPr>
              <w:pStyle w:val="63"/>
            </w:pPr>
            <w:r>
              <w:rPr>
                <w:rFonts w:hint="eastAsia"/>
              </w:rPr>
              <w:t>0%</w:t>
            </w:r>
          </w:p>
        </w:tc>
        <w:tc>
          <w:tcPr>
            <w:tcW w:w="669" w:type="dxa"/>
            <w:noWrap/>
            <w:vAlign w:val="center"/>
          </w:tcPr>
          <w:p>
            <w:pPr>
              <w:pStyle w:val="63"/>
            </w:pPr>
            <w:r>
              <w:rPr>
                <w:rFonts w:hint="eastAsia"/>
              </w:rPr>
              <w:t>60%</w:t>
            </w:r>
          </w:p>
        </w:tc>
        <w:tc>
          <w:tcPr>
            <w:tcW w:w="703" w:type="dxa"/>
            <w:noWrap/>
            <w:vAlign w:val="center"/>
          </w:tcPr>
          <w:p>
            <w:pPr>
              <w:pStyle w:val="63"/>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continue"/>
            <w:noWrap/>
            <w:vAlign w:val="center"/>
          </w:tcPr>
          <w:p>
            <w:pPr>
              <w:pStyle w:val="63"/>
            </w:pPr>
          </w:p>
        </w:tc>
        <w:tc>
          <w:tcPr>
            <w:tcW w:w="1312" w:type="dxa"/>
            <w:noWrap/>
            <w:vAlign w:val="center"/>
          </w:tcPr>
          <w:p>
            <w:pPr>
              <w:pStyle w:val="63"/>
              <w:rPr>
                <w:rFonts w:cs="宋体"/>
              </w:rPr>
            </w:pPr>
            <w:r>
              <w:rPr>
                <w:rFonts w:hint="eastAsia"/>
              </w:rPr>
              <w:t>出水浓度</w:t>
            </w:r>
          </w:p>
        </w:tc>
        <w:tc>
          <w:tcPr>
            <w:tcW w:w="702" w:type="dxa"/>
            <w:noWrap/>
            <w:vAlign w:val="center"/>
          </w:tcPr>
          <w:p>
            <w:pPr>
              <w:pStyle w:val="63"/>
            </w:pPr>
            <w:r>
              <w:rPr>
                <w:rFonts w:hint="eastAsia"/>
              </w:rPr>
              <w:t>61.6</w:t>
            </w:r>
          </w:p>
        </w:tc>
        <w:tc>
          <w:tcPr>
            <w:tcW w:w="764" w:type="dxa"/>
            <w:noWrap/>
            <w:vAlign w:val="center"/>
          </w:tcPr>
          <w:p>
            <w:pPr>
              <w:pStyle w:val="63"/>
            </w:pPr>
            <w:r>
              <w:rPr>
                <w:rFonts w:hint="eastAsia"/>
              </w:rPr>
              <w:t>19.4</w:t>
            </w:r>
          </w:p>
        </w:tc>
        <w:tc>
          <w:tcPr>
            <w:tcW w:w="846" w:type="dxa"/>
            <w:noWrap/>
            <w:vAlign w:val="center"/>
          </w:tcPr>
          <w:p>
            <w:pPr>
              <w:pStyle w:val="63"/>
            </w:pPr>
            <w:r>
              <w:rPr>
                <w:rFonts w:hint="eastAsia"/>
              </w:rPr>
              <w:t>1.0</w:t>
            </w:r>
          </w:p>
        </w:tc>
        <w:tc>
          <w:tcPr>
            <w:tcW w:w="1056" w:type="dxa"/>
            <w:noWrap/>
            <w:vAlign w:val="center"/>
          </w:tcPr>
          <w:p>
            <w:pPr>
              <w:pStyle w:val="63"/>
            </w:pPr>
            <w:r>
              <w:rPr>
                <w:rFonts w:hint="eastAsia"/>
              </w:rPr>
              <w:t>1.2</w:t>
            </w:r>
          </w:p>
        </w:tc>
        <w:tc>
          <w:tcPr>
            <w:tcW w:w="636" w:type="dxa"/>
            <w:noWrap/>
            <w:vAlign w:val="center"/>
          </w:tcPr>
          <w:p>
            <w:pPr>
              <w:pStyle w:val="63"/>
            </w:pPr>
            <w:r>
              <w:rPr>
                <w:rFonts w:hint="eastAsia"/>
              </w:rPr>
              <w:t>7.2</w:t>
            </w:r>
          </w:p>
        </w:tc>
        <w:tc>
          <w:tcPr>
            <w:tcW w:w="689" w:type="dxa"/>
            <w:noWrap/>
            <w:vAlign w:val="center"/>
          </w:tcPr>
          <w:p>
            <w:pPr>
              <w:pStyle w:val="63"/>
            </w:pPr>
            <w:r>
              <w:rPr>
                <w:rFonts w:hint="eastAsia"/>
              </w:rPr>
              <w:t>35.8</w:t>
            </w:r>
          </w:p>
        </w:tc>
        <w:tc>
          <w:tcPr>
            <w:tcW w:w="669" w:type="dxa"/>
            <w:noWrap/>
            <w:vAlign w:val="center"/>
          </w:tcPr>
          <w:p>
            <w:pPr>
              <w:pStyle w:val="63"/>
            </w:pPr>
            <w:r>
              <w:rPr>
                <w:rFonts w:hint="eastAsia"/>
              </w:rPr>
              <w:t>1.2</w:t>
            </w:r>
          </w:p>
        </w:tc>
        <w:tc>
          <w:tcPr>
            <w:tcW w:w="703" w:type="dxa"/>
            <w:noWrap/>
            <w:vAlign w:val="center"/>
          </w:tcPr>
          <w:p>
            <w:pPr>
              <w:pStyle w:val="63"/>
            </w:pPr>
            <w:r>
              <w:rPr>
                <w:rFonts w:hint="eastAsia"/>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restart"/>
            <w:noWrap/>
            <w:vAlign w:val="center"/>
          </w:tcPr>
          <w:p>
            <w:pPr>
              <w:pStyle w:val="63"/>
            </w:pPr>
            <w:r>
              <w:rPr>
                <w:rFonts w:hint="eastAsia"/>
              </w:rPr>
              <w:t>高效沉淀池</w:t>
            </w:r>
          </w:p>
        </w:tc>
        <w:tc>
          <w:tcPr>
            <w:tcW w:w="1312" w:type="dxa"/>
            <w:noWrap/>
            <w:vAlign w:val="center"/>
          </w:tcPr>
          <w:p>
            <w:pPr>
              <w:pStyle w:val="63"/>
            </w:pPr>
            <w:r>
              <w:rPr>
                <w:rFonts w:hint="eastAsia"/>
              </w:rPr>
              <w:t>处理效率</w:t>
            </w:r>
          </w:p>
        </w:tc>
        <w:tc>
          <w:tcPr>
            <w:tcW w:w="702" w:type="dxa"/>
            <w:noWrap/>
            <w:vAlign w:val="center"/>
          </w:tcPr>
          <w:p>
            <w:pPr>
              <w:pStyle w:val="63"/>
            </w:pPr>
            <w:r>
              <w:rPr>
                <w:rFonts w:hint="eastAsia"/>
              </w:rPr>
              <w:t>10%</w:t>
            </w:r>
          </w:p>
        </w:tc>
        <w:tc>
          <w:tcPr>
            <w:tcW w:w="764" w:type="dxa"/>
            <w:noWrap/>
            <w:vAlign w:val="center"/>
          </w:tcPr>
          <w:p>
            <w:pPr>
              <w:pStyle w:val="63"/>
            </w:pPr>
            <w:r>
              <w:rPr>
                <w:rFonts w:hint="eastAsia"/>
              </w:rPr>
              <w:t>30%</w:t>
            </w:r>
          </w:p>
        </w:tc>
        <w:tc>
          <w:tcPr>
            <w:tcW w:w="846" w:type="dxa"/>
            <w:noWrap/>
            <w:vAlign w:val="center"/>
          </w:tcPr>
          <w:p>
            <w:pPr>
              <w:pStyle w:val="63"/>
            </w:pPr>
            <w:r>
              <w:rPr>
                <w:rFonts w:hint="eastAsia"/>
              </w:rPr>
              <w:t>0%</w:t>
            </w:r>
          </w:p>
        </w:tc>
        <w:tc>
          <w:tcPr>
            <w:tcW w:w="1056" w:type="dxa"/>
            <w:noWrap/>
            <w:vAlign w:val="center"/>
          </w:tcPr>
          <w:p>
            <w:pPr>
              <w:pStyle w:val="63"/>
            </w:pPr>
            <w:r>
              <w:rPr>
                <w:rFonts w:hint="eastAsia"/>
              </w:rPr>
              <w:t>10%</w:t>
            </w:r>
          </w:p>
        </w:tc>
        <w:tc>
          <w:tcPr>
            <w:tcW w:w="636" w:type="dxa"/>
            <w:noWrap/>
            <w:vAlign w:val="center"/>
          </w:tcPr>
          <w:p>
            <w:pPr>
              <w:pStyle w:val="63"/>
            </w:pPr>
            <w:r>
              <w:rPr>
                <w:rFonts w:hint="eastAsia"/>
              </w:rPr>
              <w:t>20%</w:t>
            </w:r>
          </w:p>
        </w:tc>
        <w:tc>
          <w:tcPr>
            <w:tcW w:w="689" w:type="dxa"/>
            <w:noWrap/>
            <w:vAlign w:val="center"/>
          </w:tcPr>
          <w:p>
            <w:pPr>
              <w:pStyle w:val="63"/>
            </w:pPr>
            <w:r>
              <w:rPr>
                <w:rFonts w:hint="eastAsia"/>
              </w:rPr>
              <w:t>50%</w:t>
            </w:r>
          </w:p>
        </w:tc>
        <w:tc>
          <w:tcPr>
            <w:tcW w:w="669" w:type="dxa"/>
            <w:noWrap/>
            <w:vAlign w:val="center"/>
          </w:tcPr>
          <w:p>
            <w:pPr>
              <w:pStyle w:val="63"/>
            </w:pPr>
            <w:r>
              <w:rPr>
                <w:rFonts w:hint="eastAsia"/>
              </w:rPr>
              <w:t>40%</w:t>
            </w:r>
          </w:p>
        </w:tc>
        <w:tc>
          <w:tcPr>
            <w:tcW w:w="703" w:type="dxa"/>
            <w:noWrap/>
            <w:vAlign w:val="center"/>
          </w:tcPr>
          <w:p>
            <w:pPr>
              <w:pStyle w:val="63"/>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continue"/>
            <w:noWrap/>
            <w:vAlign w:val="center"/>
          </w:tcPr>
          <w:p>
            <w:pPr>
              <w:pStyle w:val="63"/>
            </w:pPr>
          </w:p>
        </w:tc>
        <w:tc>
          <w:tcPr>
            <w:tcW w:w="1312" w:type="dxa"/>
            <w:noWrap/>
            <w:vAlign w:val="center"/>
          </w:tcPr>
          <w:p>
            <w:pPr>
              <w:pStyle w:val="63"/>
              <w:rPr>
                <w:rFonts w:cs="宋体"/>
              </w:rPr>
            </w:pPr>
            <w:r>
              <w:rPr>
                <w:rFonts w:hint="eastAsia"/>
              </w:rPr>
              <w:t>出水浓度</w:t>
            </w:r>
          </w:p>
        </w:tc>
        <w:tc>
          <w:tcPr>
            <w:tcW w:w="702" w:type="dxa"/>
            <w:noWrap/>
            <w:vAlign w:val="center"/>
          </w:tcPr>
          <w:p>
            <w:pPr>
              <w:pStyle w:val="63"/>
            </w:pPr>
            <w:r>
              <w:rPr>
                <w:rFonts w:hint="eastAsia"/>
              </w:rPr>
              <w:t>55.4</w:t>
            </w:r>
          </w:p>
        </w:tc>
        <w:tc>
          <w:tcPr>
            <w:tcW w:w="764" w:type="dxa"/>
            <w:noWrap/>
            <w:vAlign w:val="center"/>
          </w:tcPr>
          <w:p>
            <w:pPr>
              <w:pStyle w:val="63"/>
            </w:pPr>
            <w:r>
              <w:rPr>
                <w:rFonts w:hint="eastAsia"/>
              </w:rPr>
              <w:t>13.6</w:t>
            </w:r>
          </w:p>
        </w:tc>
        <w:tc>
          <w:tcPr>
            <w:tcW w:w="846" w:type="dxa"/>
            <w:noWrap/>
            <w:vAlign w:val="center"/>
          </w:tcPr>
          <w:p>
            <w:pPr>
              <w:pStyle w:val="63"/>
            </w:pPr>
            <w:r>
              <w:rPr>
                <w:rFonts w:hint="eastAsia"/>
              </w:rPr>
              <w:t>1.0</w:t>
            </w:r>
          </w:p>
        </w:tc>
        <w:tc>
          <w:tcPr>
            <w:tcW w:w="1056" w:type="dxa"/>
            <w:noWrap/>
            <w:vAlign w:val="center"/>
          </w:tcPr>
          <w:p>
            <w:pPr>
              <w:pStyle w:val="63"/>
            </w:pPr>
            <w:r>
              <w:rPr>
                <w:rFonts w:hint="eastAsia"/>
              </w:rPr>
              <w:t>1.1</w:t>
            </w:r>
          </w:p>
        </w:tc>
        <w:tc>
          <w:tcPr>
            <w:tcW w:w="636" w:type="dxa"/>
            <w:noWrap/>
            <w:vAlign w:val="center"/>
          </w:tcPr>
          <w:p>
            <w:pPr>
              <w:pStyle w:val="63"/>
            </w:pPr>
            <w:r>
              <w:rPr>
                <w:rFonts w:hint="eastAsia"/>
              </w:rPr>
              <w:t>5.8</w:t>
            </w:r>
          </w:p>
        </w:tc>
        <w:tc>
          <w:tcPr>
            <w:tcW w:w="689" w:type="dxa"/>
            <w:noWrap/>
            <w:vAlign w:val="center"/>
          </w:tcPr>
          <w:p>
            <w:pPr>
              <w:pStyle w:val="63"/>
            </w:pPr>
            <w:r>
              <w:rPr>
                <w:rFonts w:hint="eastAsia"/>
              </w:rPr>
              <w:t>17.9</w:t>
            </w:r>
          </w:p>
        </w:tc>
        <w:tc>
          <w:tcPr>
            <w:tcW w:w="669" w:type="dxa"/>
            <w:noWrap/>
            <w:vAlign w:val="center"/>
          </w:tcPr>
          <w:p>
            <w:pPr>
              <w:pStyle w:val="63"/>
            </w:pPr>
            <w:r>
              <w:rPr>
                <w:rFonts w:hint="eastAsia"/>
              </w:rPr>
              <w:t>0.7</w:t>
            </w:r>
          </w:p>
        </w:tc>
        <w:tc>
          <w:tcPr>
            <w:tcW w:w="703" w:type="dxa"/>
            <w:noWrap/>
            <w:vAlign w:val="center"/>
          </w:tcPr>
          <w:p>
            <w:pPr>
              <w:pStyle w:val="63"/>
            </w:pPr>
            <w:r>
              <w:rPr>
                <w:rFonts w:hint="eastAsi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restart"/>
            <w:noWrap/>
            <w:vAlign w:val="center"/>
          </w:tcPr>
          <w:p>
            <w:pPr>
              <w:pStyle w:val="63"/>
            </w:pPr>
            <w:r>
              <w:rPr>
                <w:rFonts w:hint="eastAsia"/>
              </w:rPr>
              <w:t>纤维滤池</w:t>
            </w:r>
          </w:p>
        </w:tc>
        <w:tc>
          <w:tcPr>
            <w:tcW w:w="1312" w:type="dxa"/>
            <w:noWrap/>
            <w:vAlign w:val="center"/>
          </w:tcPr>
          <w:p>
            <w:pPr>
              <w:pStyle w:val="63"/>
            </w:pPr>
            <w:r>
              <w:rPr>
                <w:rFonts w:hint="eastAsia"/>
              </w:rPr>
              <w:t>处理效率</w:t>
            </w:r>
          </w:p>
        </w:tc>
        <w:tc>
          <w:tcPr>
            <w:tcW w:w="702" w:type="dxa"/>
            <w:noWrap/>
            <w:vAlign w:val="center"/>
          </w:tcPr>
          <w:p>
            <w:pPr>
              <w:pStyle w:val="63"/>
            </w:pPr>
            <w:r>
              <w:rPr>
                <w:rFonts w:hint="eastAsia"/>
              </w:rPr>
              <w:t>10%</w:t>
            </w:r>
          </w:p>
        </w:tc>
        <w:tc>
          <w:tcPr>
            <w:tcW w:w="764" w:type="dxa"/>
            <w:noWrap/>
            <w:vAlign w:val="center"/>
          </w:tcPr>
          <w:p>
            <w:pPr>
              <w:pStyle w:val="63"/>
            </w:pPr>
            <w:r>
              <w:rPr>
                <w:rFonts w:hint="eastAsia"/>
              </w:rPr>
              <w:t>30%</w:t>
            </w:r>
          </w:p>
        </w:tc>
        <w:tc>
          <w:tcPr>
            <w:tcW w:w="846" w:type="dxa"/>
            <w:noWrap/>
            <w:vAlign w:val="center"/>
          </w:tcPr>
          <w:p>
            <w:pPr>
              <w:pStyle w:val="63"/>
            </w:pPr>
            <w:r>
              <w:rPr>
                <w:rFonts w:hint="eastAsia"/>
              </w:rPr>
              <w:t>0%</w:t>
            </w:r>
          </w:p>
        </w:tc>
        <w:tc>
          <w:tcPr>
            <w:tcW w:w="1056" w:type="dxa"/>
            <w:noWrap/>
            <w:vAlign w:val="center"/>
          </w:tcPr>
          <w:p>
            <w:pPr>
              <w:pStyle w:val="63"/>
            </w:pPr>
            <w:r>
              <w:rPr>
                <w:rFonts w:hint="eastAsia"/>
              </w:rPr>
              <w:t>10%</w:t>
            </w:r>
          </w:p>
        </w:tc>
        <w:tc>
          <w:tcPr>
            <w:tcW w:w="636" w:type="dxa"/>
            <w:noWrap/>
            <w:vAlign w:val="center"/>
          </w:tcPr>
          <w:p>
            <w:pPr>
              <w:pStyle w:val="63"/>
            </w:pPr>
            <w:r>
              <w:rPr>
                <w:rFonts w:hint="eastAsia"/>
              </w:rPr>
              <w:t>20%</w:t>
            </w:r>
          </w:p>
        </w:tc>
        <w:tc>
          <w:tcPr>
            <w:tcW w:w="689" w:type="dxa"/>
            <w:noWrap/>
            <w:vAlign w:val="center"/>
          </w:tcPr>
          <w:p>
            <w:pPr>
              <w:pStyle w:val="63"/>
            </w:pPr>
            <w:r>
              <w:rPr>
                <w:rFonts w:hint="eastAsia"/>
              </w:rPr>
              <w:t>45%</w:t>
            </w:r>
          </w:p>
        </w:tc>
        <w:tc>
          <w:tcPr>
            <w:tcW w:w="669" w:type="dxa"/>
            <w:noWrap/>
            <w:vAlign w:val="center"/>
          </w:tcPr>
          <w:p>
            <w:pPr>
              <w:pStyle w:val="63"/>
            </w:pPr>
            <w:r>
              <w:rPr>
                <w:rFonts w:hint="eastAsia"/>
              </w:rPr>
              <w:t>30%</w:t>
            </w:r>
          </w:p>
        </w:tc>
        <w:tc>
          <w:tcPr>
            <w:tcW w:w="703" w:type="dxa"/>
            <w:noWrap/>
            <w:vAlign w:val="center"/>
          </w:tcPr>
          <w:p>
            <w:pPr>
              <w:pStyle w:val="63"/>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71" w:type="dxa"/>
            <w:vMerge w:val="continue"/>
            <w:noWrap/>
            <w:vAlign w:val="center"/>
          </w:tcPr>
          <w:p>
            <w:pPr>
              <w:pStyle w:val="63"/>
            </w:pPr>
          </w:p>
        </w:tc>
        <w:tc>
          <w:tcPr>
            <w:tcW w:w="1312" w:type="dxa"/>
            <w:noWrap/>
            <w:vAlign w:val="center"/>
          </w:tcPr>
          <w:p>
            <w:pPr>
              <w:pStyle w:val="63"/>
              <w:rPr>
                <w:rFonts w:cs="宋体"/>
              </w:rPr>
            </w:pPr>
            <w:r>
              <w:rPr>
                <w:rFonts w:hint="eastAsia"/>
              </w:rPr>
              <w:t>出水浓度</w:t>
            </w:r>
          </w:p>
        </w:tc>
        <w:tc>
          <w:tcPr>
            <w:tcW w:w="702" w:type="dxa"/>
            <w:noWrap/>
            <w:vAlign w:val="center"/>
          </w:tcPr>
          <w:p>
            <w:pPr>
              <w:pStyle w:val="63"/>
            </w:pPr>
            <w:r>
              <w:rPr>
                <w:rFonts w:hint="eastAsia"/>
              </w:rPr>
              <w:t>49.9</w:t>
            </w:r>
          </w:p>
        </w:tc>
        <w:tc>
          <w:tcPr>
            <w:tcW w:w="764" w:type="dxa"/>
            <w:noWrap/>
            <w:vAlign w:val="center"/>
          </w:tcPr>
          <w:p>
            <w:pPr>
              <w:pStyle w:val="63"/>
            </w:pPr>
            <w:r>
              <w:rPr>
                <w:rFonts w:hint="eastAsia"/>
              </w:rPr>
              <w:t>9.5</w:t>
            </w:r>
          </w:p>
        </w:tc>
        <w:tc>
          <w:tcPr>
            <w:tcW w:w="846" w:type="dxa"/>
            <w:noWrap/>
            <w:vAlign w:val="center"/>
          </w:tcPr>
          <w:p>
            <w:pPr>
              <w:pStyle w:val="63"/>
            </w:pPr>
            <w:r>
              <w:rPr>
                <w:rFonts w:hint="eastAsia"/>
              </w:rPr>
              <w:t>1.0</w:t>
            </w:r>
          </w:p>
        </w:tc>
        <w:tc>
          <w:tcPr>
            <w:tcW w:w="1056" w:type="dxa"/>
            <w:noWrap/>
            <w:vAlign w:val="center"/>
          </w:tcPr>
          <w:p>
            <w:pPr>
              <w:pStyle w:val="63"/>
            </w:pPr>
            <w:r>
              <w:rPr>
                <w:rFonts w:hint="eastAsia"/>
              </w:rPr>
              <w:t>1.0</w:t>
            </w:r>
          </w:p>
        </w:tc>
        <w:tc>
          <w:tcPr>
            <w:tcW w:w="636" w:type="dxa"/>
            <w:noWrap/>
            <w:vAlign w:val="center"/>
          </w:tcPr>
          <w:p>
            <w:pPr>
              <w:pStyle w:val="63"/>
            </w:pPr>
            <w:r>
              <w:rPr>
                <w:rFonts w:hint="eastAsia"/>
              </w:rPr>
              <w:t>4.6</w:t>
            </w:r>
          </w:p>
        </w:tc>
        <w:tc>
          <w:tcPr>
            <w:tcW w:w="689" w:type="dxa"/>
            <w:noWrap/>
            <w:vAlign w:val="center"/>
          </w:tcPr>
          <w:p>
            <w:pPr>
              <w:pStyle w:val="63"/>
            </w:pPr>
            <w:r>
              <w:rPr>
                <w:rFonts w:hint="eastAsia"/>
              </w:rPr>
              <w:t>9.9</w:t>
            </w:r>
          </w:p>
        </w:tc>
        <w:tc>
          <w:tcPr>
            <w:tcW w:w="669" w:type="dxa"/>
            <w:noWrap/>
            <w:vAlign w:val="center"/>
          </w:tcPr>
          <w:p>
            <w:pPr>
              <w:pStyle w:val="63"/>
            </w:pPr>
            <w:r>
              <w:rPr>
                <w:rFonts w:hint="eastAsia"/>
              </w:rPr>
              <w:t>0.5</w:t>
            </w:r>
          </w:p>
        </w:tc>
        <w:tc>
          <w:tcPr>
            <w:tcW w:w="703" w:type="dxa"/>
            <w:noWrap/>
            <w:vAlign w:val="center"/>
          </w:tcPr>
          <w:p>
            <w:pPr>
              <w:pStyle w:val="63"/>
            </w:pPr>
            <w:r>
              <w:rPr>
                <w:rFonts w:hint="eastAsia"/>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883" w:type="dxa"/>
            <w:gridSpan w:val="2"/>
            <w:noWrap/>
            <w:vAlign w:val="center"/>
          </w:tcPr>
          <w:p>
            <w:pPr>
              <w:pStyle w:val="63"/>
            </w:pPr>
            <w:r>
              <w:t>GB18918-2002一级标准A类</w:t>
            </w:r>
          </w:p>
        </w:tc>
        <w:tc>
          <w:tcPr>
            <w:tcW w:w="702" w:type="dxa"/>
            <w:noWrap/>
            <w:vAlign w:val="center"/>
          </w:tcPr>
          <w:p>
            <w:pPr>
              <w:pStyle w:val="63"/>
              <w:rPr>
                <w:rFonts w:cs="宋体"/>
              </w:rPr>
            </w:pPr>
            <w:r>
              <w:rPr>
                <w:rFonts w:hint="eastAsia"/>
              </w:rPr>
              <w:t>50</w:t>
            </w:r>
          </w:p>
        </w:tc>
        <w:tc>
          <w:tcPr>
            <w:tcW w:w="764" w:type="dxa"/>
            <w:noWrap/>
            <w:vAlign w:val="center"/>
          </w:tcPr>
          <w:p>
            <w:pPr>
              <w:pStyle w:val="63"/>
            </w:pPr>
            <w:r>
              <w:rPr>
                <w:rFonts w:hint="eastAsia"/>
              </w:rPr>
              <w:t>10</w:t>
            </w:r>
          </w:p>
        </w:tc>
        <w:tc>
          <w:tcPr>
            <w:tcW w:w="846" w:type="dxa"/>
            <w:noWrap/>
            <w:vAlign w:val="center"/>
          </w:tcPr>
          <w:p>
            <w:pPr>
              <w:pStyle w:val="63"/>
            </w:pPr>
            <w:r>
              <w:rPr>
                <w:rFonts w:hint="eastAsia"/>
              </w:rPr>
              <w:t>1</w:t>
            </w:r>
          </w:p>
        </w:tc>
        <w:tc>
          <w:tcPr>
            <w:tcW w:w="1056" w:type="dxa"/>
            <w:noWrap/>
            <w:vAlign w:val="center"/>
          </w:tcPr>
          <w:p>
            <w:pPr>
              <w:pStyle w:val="63"/>
            </w:pPr>
            <w:r>
              <w:rPr>
                <w:rFonts w:hint="eastAsia"/>
              </w:rPr>
              <w:t>1</w:t>
            </w:r>
          </w:p>
        </w:tc>
        <w:tc>
          <w:tcPr>
            <w:tcW w:w="636" w:type="dxa"/>
            <w:noWrap/>
            <w:vAlign w:val="center"/>
          </w:tcPr>
          <w:p>
            <w:pPr>
              <w:pStyle w:val="63"/>
            </w:pPr>
            <w:r>
              <w:rPr>
                <w:rFonts w:hint="eastAsia"/>
              </w:rPr>
              <w:t>5</w:t>
            </w:r>
          </w:p>
        </w:tc>
        <w:tc>
          <w:tcPr>
            <w:tcW w:w="689" w:type="dxa"/>
            <w:noWrap/>
            <w:vAlign w:val="center"/>
          </w:tcPr>
          <w:p>
            <w:pPr>
              <w:pStyle w:val="63"/>
            </w:pPr>
            <w:r>
              <w:rPr>
                <w:rFonts w:hint="eastAsia"/>
              </w:rPr>
              <w:t>10</w:t>
            </w:r>
          </w:p>
        </w:tc>
        <w:tc>
          <w:tcPr>
            <w:tcW w:w="669" w:type="dxa"/>
            <w:noWrap/>
            <w:vAlign w:val="center"/>
          </w:tcPr>
          <w:p>
            <w:pPr>
              <w:pStyle w:val="63"/>
            </w:pPr>
            <w:r>
              <w:rPr>
                <w:rFonts w:hint="eastAsia"/>
              </w:rPr>
              <w:t>0.5</w:t>
            </w:r>
          </w:p>
        </w:tc>
        <w:tc>
          <w:tcPr>
            <w:tcW w:w="703" w:type="dxa"/>
            <w:noWrap/>
            <w:vAlign w:val="center"/>
          </w:tcPr>
          <w:p>
            <w:pPr>
              <w:pStyle w:val="63"/>
            </w:pPr>
            <w:r>
              <w:rPr>
                <w:rFonts w:hint="eastAsia"/>
              </w:rPr>
              <w:t>15</w:t>
            </w:r>
          </w:p>
        </w:tc>
      </w:tr>
    </w:tbl>
    <w:p/>
    <w:p>
      <w:pPr>
        <w:pStyle w:val="5"/>
        <w:ind w:firstLine="480"/>
      </w:pPr>
      <w:r>
        <w:rPr>
          <w:rFonts w:hint="eastAsia"/>
        </w:rPr>
        <w:t>国城市污水处理厂常规的污泥经浓缩、机械脱水后，含水率为7</w:t>
      </w:r>
      <w:r>
        <w:t>5~80%</w:t>
      </w:r>
      <w:r>
        <w:rPr>
          <w:rFonts w:hint="eastAsia"/>
        </w:rPr>
        <w:t>，泥饼外运处置。本工程采用生物脱氮除磷工艺，产生的污泥浓缩池浓缩后直接机械脱水，污泥处理系统简化，没有沼气产生，运行安全，满足《排污许可证申请与核发技术规范水处理（试行）》（</w:t>
      </w:r>
      <w:r>
        <w:t>HJ 978-2018</w:t>
      </w:r>
      <w:r>
        <w:rPr>
          <w:rFonts w:hint="eastAsia"/>
        </w:rPr>
        <w:t>）污泥处理利用可行技术要求，脱水后的污泥厂区内封闭区域暂存，外委处置。所以工程产生的污泥处理、暂存和处置可行。</w:t>
      </w:r>
    </w:p>
    <w:p>
      <w:pPr>
        <w:pStyle w:val="4"/>
        <w:spacing w:before="156" w:after="156"/>
      </w:pPr>
      <w:r>
        <w:t>污水处理厂管理要求</w:t>
      </w:r>
    </w:p>
    <w:p>
      <w:pPr>
        <w:pStyle w:val="5"/>
        <w:ind w:firstLine="480"/>
      </w:pPr>
      <w:r>
        <w:t>1、进水水质管理要求</w:t>
      </w:r>
    </w:p>
    <w:p>
      <w:pPr>
        <w:pStyle w:val="5"/>
        <w:ind w:firstLine="480"/>
      </w:pPr>
      <w:r>
        <w:rPr>
          <w:rFonts w:hint="eastAsia"/>
        </w:rPr>
        <w:t>（</w:t>
      </w:r>
      <w:r>
        <w:t>1）本项目对服务范围内工业企业废水提出以下接管要求：区域内工业企业污水须经各企业自行预处理，达到接管标准，即本项目进水水质要求，方可排入管网。当进水水量或水质发生异常情况并影响稳定达标排放时，水处理排污单位应采取有效控制措施，及时调整污水处理运行参数，防止发生运行事故。</w:t>
      </w:r>
    </w:p>
    <w:p>
      <w:pPr>
        <w:pStyle w:val="5"/>
        <w:ind w:firstLine="480"/>
      </w:pPr>
      <w:r>
        <w:rPr>
          <w:rFonts w:hint="eastAsia"/>
        </w:rPr>
        <w:t>（</w:t>
      </w:r>
      <w:r>
        <w:t>2）不得向污水处理厂排放危险废物，含放射性废水不得排入服务区的市政管网系统。接纳的工业废水需满足相应的行业污染物排放标准后方可与生活污水进行混合处理。</w:t>
      </w:r>
    </w:p>
    <w:p>
      <w:pPr>
        <w:pStyle w:val="5"/>
        <w:ind w:firstLine="480"/>
      </w:pPr>
      <w:r>
        <w:rPr>
          <w:rFonts w:hint="eastAsia"/>
        </w:rPr>
        <w:t>（</w:t>
      </w:r>
      <w:r>
        <w:t>3）污水进水水质高于接管要求浓度限值的情况时，加强超标企业的排查，并要求超标企业进行整改。同时增加污水厂出水水质监测频率，确保污水处理厂达标排放。</w:t>
      </w:r>
    </w:p>
    <w:p>
      <w:pPr>
        <w:pStyle w:val="5"/>
        <w:ind w:firstLine="480"/>
      </w:pPr>
      <w:r>
        <w:t>2、加强管理，避免事故排污</w:t>
      </w:r>
    </w:p>
    <w:p>
      <w:pPr>
        <w:pStyle w:val="5"/>
        <w:ind w:firstLine="480"/>
      </w:pPr>
      <w:r>
        <w:rPr>
          <w:rFonts w:hint="eastAsia"/>
        </w:rPr>
        <w:t>（</w:t>
      </w:r>
      <w:r>
        <w:t>1）加强污水处理厂工艺参数的稳定，在污水处理厂运行状态良好、出水水质稳定达标情况下，组织污水处理厂的设备检修，确保污水达标排放。加强污水管网的巡管检查工作，避免管道破裂等造成未处理污水外排。加强污水提升泵站设备管理，备用泵等必须完好，确保污水的能顺利提升。厂内污水输送管道按要求进行防渗漏处理，防止跑、冒、滴、漏。</w:t>
      </w:r>
    </w:p>
    <w:p>
      <w:pPr>
        <w:pStyle w:val="5"/>
        <w:ind w:firstLine="480"/>
      </w:pPr>
      <w:r>
        <w:rPr>
          <w:rFonts w:hint="eastAsia"/>
        </w:rPr>
        <w:t>（</w:t>
      </w:r>
      <w:r>
        <w:t>2）污染治理设施运行应满足设计工况条件，并根据工艺要求，定期对设备、电气、自控仪表及构筑物进行检查维护，确保污染治理设施可靠运行。</w:t>
      </w:r>
    </w:p>
    <w:p>
      <w:pPr>
        <w:pStyle w:val="5"/>
        <w:ind w:firstLine="480"/>
      </w:pPr>
      <w:r>
        <w:rPr>
          <w:rFonts w:hint="eastAsia"/>
        </w:rPr>
        <w:t>（</w:t>
      </w:r>
      <w:r>
        <w:t>3）做好排放口管控，正常情况下，厂区内除雨水排放口和废水总排放口外，不得设置其他未纳入监管的排放口。</w:t>
      </w:r>
    </w:p>
    <w:p>
      <w:pPr>
        <w:pStyle w:val="5"/>
        <w:ind w:firstLine="480"/>
      </w:pPr>
      <w:r>
        <w:rPr>
          <w:rFonts w:hint="eastAsia"/>
        </w:rPr>
        <w:t>（</w:t>
      </w:r>
      <w:r>
        <w:t>4）做好厂内雨污分流，加强对厂区初期雨水、地面冲洗水收集处理，避免受污染雨水和其他废水通过雨水排放口排入外环境。项目应满足入河排污口审批文件中相关运行管理要求。</w:t>
      </w:r>
    </w:p>
    <w:p>
      <w:pPr>
        <w:pStyle w:val="5"/>
        <w:ind w:firstLine="480"/>
      </w:pPr>
      <w:r>
        <w:t>3、抗冲击负荷能力</w:t>
      </w:r>
    </w:p>
    <w:p>
      <w:pPr>
        <w:pStyle w:val="5"/>
        <w:ind w:firstLine="480"/>
      </w:pPr>
      <w:r>
        <w:rPr>
          <w:rFonts w:hint="eastAsia"/>
        </w:rPr>
        <w:t>为抗冲击负荷，拟建污水厂从以下几方面进行控制。</w:t>
      </w:r>
    </w:p>
    <w:p>
      <w:pPr>
        <w:pStyle w:val="5"/>
        <w:ind w:firstLine="480"/>
      </w:pPr>
      <w:r>
        <w:rPr>
          <w:rFonts w:hint="eastAsia"/>
        </w:rPr>
        <w:t>进水控制：严格控制进水，必须满足进水水质要求方可进入。</w:t>
      </w:r>
    </w:p>
    <w:p>
      <w:pPr>
        <w:pStyle w:val="5"/>
        <w:ind w:firstLine="480"/>
      </w:pPr>
      <w:r>
        <w:rPr>
          <w:rFonts w:hint="eastAsia"/>
        </w:rPr>
        <w:t>管理方面：加强管理，杜绝人为因素造成事故排放。</w:t>
      </w:r>
    </w:p>
    <w:p>
      <w:pPr>
        <w:pStyle w:val="3"/>
        <w:spacing w:before="156" w:after="156"/>
      </w:pPr>
      <w:r>
        <w:rPr>
          <w:rFonts w:hint="eastAsia"/>
        </w:rPr>
        <w:t>自行监测计划</w:t>
      </w:r>
    </w:p>
    <w:p>
      <w:pPr>
        <w:pStyle w:val="5"/>
        <w:ind w:firstLine="480"/>
      </w:pPr>
      <w:r>
        <w:rPr>
          <w:rFonts w:hint="eastAsia"/>
        </w:rPr>
        <w:t>进水、排水自行监测要求根据《排污单位自行监测技术指南-</w:t>
      </w:r>
      <w:r>
        <w:t>水处理》（</w:t>
      </w:r>
      <w:r>
        <w:rPr>
          <w:rFonts w:hint="eastAsia"/>
        </w:rPr>
        <w:t>H</w:t>
      </w:r>
      <w:r>
        <w:t>J1083-2020</w:t>
      </w:r>
      <w:r>
        <w:rPr>
          <w:rFonts w:hint="eastAsia"/>
        </w:rPr>
        <w:t>）设置，内容见</w:t>
      </w:r>
      <w:r>
        <w:fldChar w:fldCharType="begin"/>
      </w:r>
      <w:r>
        <w:instrText xml:space="preserve"> </w:instrText>
      </w:r>
      <w:r>
        <w:rPr>
          <w:rFonts w:hint="eastAsia"/>
        </w:rPr>
        <w:instrText xml:space="preserve">REF _Ref143504130 \h</w:instrText>
      </w:r>
      <w:r>
        <w:instrText xml:space="preserve"> </w:instrText>
      </w:r>
      <w:r>
        <w:fldChar w:fldCharType="separate"/>
      </w:r>
      <w:r>
        <w:rPr>
          <w:rFonts w:hint="eastAsia"/>
        </w:rPr>
        <w:t xml:space="preserve">表 </w:t>
      </w:r>
      <w:r>
        <w:t>5.3</w:t>
      </w:r>
      <w:r>
        <w:noBreakHyphen/>
      </w:r>
      <w:r>
        <w:t>1</w:t>
      </w:r>
      <w:r>
        <w:fldChar w:fldCharType="end"/>
      </w:r>
      <w:r>
        <w:rPr>
          <w:rFonts w:hint="eastAsia"/>
        </w:rPr>
        <w:t>、</w:t>
      </w:r>
      <w:r>
        <w:fldChar w:fldCharType="begin"/>
      </w:r>
      <w:r>
        <w:instrText xml:space="preserve"> </w:instrText>
      </w:r>
      <w:r>
        <w:rPr>
          <w:rFonts w:hint="eastAsia"/>
        </w:rPr>
        <w:instrText xml:space="preserve">REF _Ref143504136 \h</w:instrText>
      </w:r>
      <w:r>
        <w:instrText xml:space="preserve"> </w:instrText>
      </w:r>
      <w:r>
        <w:fldChar w:fldCharType="separate"/>
      </w:r>
      <w:r>
        <w:rPr>
          <w:rFonts w:hint="eastAsia"/>
        </w:rPr>
        <w:t xml:space="preserve">表 </w:t>
      </w:r>
      <w:r>
        <w:t>5.3</w:t>
      </w:r>
      <w:r>
        <w:noBreakHyphen/>
      </w:r>
      <w:r>
        <w:t>2</w:t>
      </w:r>
      <w:r>
        <w:fldChar w:fldCharType="end"/>
      </w:r>
      <w:r>
        <w:rPr>
          <w:rFonts w:hint="eastAsia"/>
        </w:rPr>
        <w:t>。</w:t>
      </w:r>
    </w:p>
    <w:p>
      <w:pPr>
        <w:pStyle w:val="14"/>
        <w:keepNext/>
      </w:pPr>
      <w:bookmarkStart w:id="122" w:name="_Ref143504130"/>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22"/>
      <w:r>
        <w:t xml:space="preserve">   </w:t>
      </w:r>
      <w:r>
        <w:rPr>
          <w:rFonts w:hint="eastAsia"/>
        </w:rPr>
        <w:t>城镇污水处理厂进水监测指标及最低监测频次</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3"/>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vAlign w:val="center"/>
          </w:tcPr>
          <w:p>
            <w:pPr>
              <w:pStyle w:val="63"/>
            </w:pPr>
            <w:r>
              <w:rPr>
                <w:rFonts w:hint="eastAsia"/>
              </w:rPr>
              <w:t>监测点位</w:t>
            </w:r>
          </w:p>
        </w:tc>
        <w:tc>
          <w:tcPr>
            <w:tcW w:w="2983" w:type="dxa"/>
            <w:vAlign w:val="center"/>
          </w:tcPr>
          <w:p>
            <w:pPr>
              <w:pStyle w:val="63"/>
            </w:pPr>
            <w:r>
              <w:rPr>
                <w:rFonts w:hint="eastAsia"/>
              </w:rPr>
              <w:t>监测指标</w:t>
            </w:r>
          </w:p>
        </w:tc>
        <w:tc>
          <w:tcPr>
            <w:tcW w:w="2983" w:type="dxa"/>
            <w:vAlign w:val="center"/>
          </w:tcPr>
          <w:p>
            <w:pPr>
              <w:pStyle w:val="63"/>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vMerge w:val="restart"/>
            <w:vAlign w:val="center"/>
          </w:tcPr>
          <w:p>
            <w:pPr>
              <w:pStyle w:val="63"/>
            </w:pPr>
            <w:r>
              <w:rPr>
                <w:rFonts w:hint="eastAsia"/>
              </w:rPr>
              <w:t>进水总管</w:t>
            </w:r>
          </w:p>
        </w:tc>
        <w:tc>
          <w:tcPr>
            <w:tcW w:w="2983" w:type="dxa"/>
            <w:vAlign w:val="center"/>
          </w:tcPr>
          <w:p>
            <w:pPr>
              <w:pStyle w:val="63"/>
            </w:pPr>
            <w:r>
              <w:rPr>
                <w:rFonts w:hint="eastAsia"/>
              </w:rPr>
              <w:t>流量、化学需氧量、氨氮</w:t>
            </w:r>
          </w:p>
        </w:tc>
        <w:tc>
          <w:tcPr>
            <w:tcW w:w="2983" w:type="dxa"/>
            <w:vAlign w:val="center"/>
          </w:tcPr>
          <w:p>
            <w:pPr>
              <w:pStyle w:val="63"/>
            </w:pPr>
            <w:r>
              <w:rPr>
                <w:rFonts w:hint="eastAsia"/>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82" w:type="dxa"/>
            <w:vMerge w:val="continue"/>
            <w:vAlign w:val="center"/>
          </w:tcPr>
          <w:p>
            <w:pPr>
              <w:pStyle w:val="63"/>
            </w:pPr>
          </w:p>
        </w:tc>
        <w:tc>
          <w:tcPr>
            <w:tcW w:w="2983" w:type="dxa"/>
            <w:vAlign w:val="center"/>
          </w:tcPr>
          <w:p>
            <w:pPr>
              <w:pStyle w:val="63"/>
            </w:pPr>
            <w:r>
              <w:rPr>
                <w:rFonts w:hint="eastAsia"/>
              </w:rPr>
              <w:t>总磷、总氮</w:t>
            </w:r>
          </w:p>
        </w:tc>
        <w:tc>
          <w:tcPr>
            <w:tcW w:w="2983" w:type="dxa"/>
            <w:vAlign w:val="center"/>
          </w:tcPr>
          <w:p>
            <w:pPr>
              <w:pStyle w:val="63"/>
            </w:pP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gridSpan w:val="3"/>
            <w:vAlign w:val="center"/>
          </w:tcPr>
          <w:p>
            <w:pPr>
              <w:pStyle w:val="64"/>
            </w:pPr>
            <w:r>
              <w:rPr>
                <w:rFonts w:hint="eastAsia"/>
              </w:rPr>
              <w:t>注：进水总管自动监测数据须与地方生态环境主管部门污染源自动监控系统平台联网</w:t>
            </w:r>
          </w:p>
        </w:tc>
      </w:tr>
    </w:tbl>
    <w:p>
      <w:pPr>
        <w:pStyle w:val="14"/>
        <w:keepNext/>
      </w:pPr>
      <w:bookmarkStart w:id="123" w:name="_Ref143504136"/>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123"/>
      <w:r>
        <w:t xml:space="preserve">   </w:t>
      </w:r>
      <w:r>
        <w:rPr>
          <w:rFonts w:hint="eastAsia"/>
        </w:rPr>
        <w:t>城镇污水处理厂废水排放监测指标及最低监测频次</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4394"/>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pStyle w:val="63"/>
              <w:rPr>
                <w:snapToGrid w:val="0"/>
              </w:rPr>
            </w:pPr>
            <w:r>
              <w:rPr>
                <w:rFonts w:hint="eastAsia"/>
                <w:snapToGrid w:val="0"/>
              </w:rPr>
              <w:t>监测点位</w:t>
            </w:r>
          </w:p>
        </w:tc>
        <w:tc>
          <w:tcPr>
            <w:tcW w:w="4394" w:type="dxa"/>
            <w:vAlign w:val="center"/>
          </w:tcPr>
          <w:p>
            <w:pPr>
              <w:pStyle w:val="63"/>
              <w:rPr>
                <w:snapToGrid w:val="0"/>
              </w:rPr>
            </w:pPr>
            <w:r>
              <w:rPr>
                <w:rFonts w:hint="eastAsia"/>
                <w:snapToGrid w:val="0"/>
              </w:rPr>
              <w:t>监测指标</w:t>
            </w:r>
          </w:p>
        </w:tc>
        <w:tc>
          <w:tcPr>
            <w:tcW w:w="3283" w:type="dxa"/>
            <w:vAlign w:val="center"/>
          </w:tcPr>
          <w:p>
            <w:pPr>
              <w:pStyle w:val="63"/>
              <w:rPr>
                <w:snapToGrid w:val="0"/>
              </w:rPr>
            </w:pPr>
            <w:r>
              <w:rPr>
                <w:rFonts w:hint="eastAsia"/>
                <w:snapToGrid w:val="0"/>
              </w:rPr>
              <w:t>监测频次（处理量＜2万m</w:t>
            </w:r>
            <w:r>
              <w:rPr>
                <w:snapToGrid w:val="0"/>
                <w:vertAlign w:val="superscript"/>
              </w:rPr>
              <w:t>3</w:t>
            </w:r>
            <w:r>
              <w:rPr>
                <w:snapToGrid w:val="0"/>
              </w:rPr>
              <w:t>/</w:t>
            </w:r>
            <w:r>
              <w:rPr>
                <w:rFonts w:hint="eastAsia"/>
                <w:snapToGrid w:val="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restart"/>
            <w:vAlign w:val="center"/>
          </w:tcPr>
          <w:p>
            <w:pPr>
              <w:pStyle w:val="63"/>
              <w:rPr>
                <w:snapToGrid w:val="0"/>
              </w:rPr>
            </w:pPr>
            <w:r>
              <w:rPr>
                <w:rFonts w:hint="eastAsia"/>
                <w:snapToGrid w:val="0"/>
              </w:rPr>
              <w:t>废水总排放口</w:t>
            </w:r>
          </w:p>
        </w:tc>
        <w:tc>
          <w:tcPr>
            <w:tcW w:w="4394" w:type="dxa"/>
            <w:vAlign w:val="center"/>
          </w:tcPr>
          <w:p>
            <w:pPr>
              <w:pStyle w:val="63"/>
              <w:rPr>
                <w:snapToGrid w:val="0"/>
              </w:rPr>
            </w:pPr>
            <w:r>
              <w:rPr>
                <w:rFonts w:hint="eastAsia"/>
                <w:snapToGrid w:val="0"/>
              </w:rPr>
              <w:t>流量、pH值、水温、化学需氧量、氨氮、总磷、总氮</w:t>
            </w:r>
          </w:p>
        </w:tc>
        <w:tc>
          <w:tcPr>
            <w:tcW w:w="3283" w:type="dxa"/>
            <w:vAlign w:val="center"/>
          </w:tcPr>
          <w:p>
            <w:pPr>
              <w:pStyle w:val="63"/>
              <w:rPr>
                <w:snapToGrid w:val="0"/>
              </w:rPr>
            </w:pPr>
            <w:r>
              <w:rPr>
                <w:rFonts w:hint="eastAsia"/>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pStyle w:val="63"/>
              <w:rPr>
                <w:snapToGrid w:val="0"/>
              </w:rPr>
            </w:pPr>
          </w:p>
        </w:tc>
        <w:tc>
          <w:tcPr>
            <w:tcW w:w="4394" w:type="dxa"/>
            <w:vAlign w:val="center"/>
          </w:tcPr>
          <w:p>
            <w:pPr>
              <w:pStyle w:val="63"/>
              <w:rPr>
                <w:snapToGrid w:val="0"/>
              </w:rPr>
            </w:pPr>
            <w:r>
              <w:rPr>
                <w:rFonts w:hint="eastAsia"/>
                <w:snapToGrid w:val="0"/>
              </w:rPr>
              <w:t>悬浮物、色度、五日生化需氧量、动植物油、石油类、阴离子表面活性剂、粪大肠菌群</w:t>
            </w:r>
          </w:p>
        </w:tc>
        <w:tc>
          <w:tcPr>
            <w:tcW w:w="3283" w:type="dxa"/>
            <w:vAlign w:val="center"/>
          </w:tcPr>
          <w:p>
            <w:pPr>
              <w:pStyle w:val="63"/>
              <w:rPr>
                <w:snapToGrid w:val="0"/>
              </w:rPr>
            </w:pPr>
            <w:r>
              <w:rPr>
                <w:rFonts w:hint="eastAsia"/>
                <w:snapToGrid w:val="0"/>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pStyle w:val="63"/>
              <w:rPr>
                <w:snapToGrid w:val="0"/>
              </w:rPr>
            </w:pPr>
          </w:p>
        </w:tc>
        <w:tc>
          <w:tcPr>
            <w:tcW w:w="4394" w:type="dxa"/>
            <w:vAlign w:val="center"/>
          </w:tcPr>
          <w:p>
            <w:pPr>
              <w:pStyle w:val="63"/>
              <w:rPr>
                <w:snapToGrid w:val="0"/>
              </w:rPr>
            </w:pPr>
            <w:r>
              <w:rPr>
                <w:rFonts w:hint="eastAsia"/>
                <w:snapToGrid w:val="0"/>
              </w:rPr>
              <w:t>总镉、总铬、总汞、总铅、总砷、六价铬</w:t>
            </w:r>
          </w:p>
        </w:tc>
        <w:tc>
          <w:tcPr>
            <w:tcW w:w="3283" w:type="dxa"/>
            <w:vAlign w:val="center"/>
          </w:tcPr>
          <w:p>
            <w:pPr>
              <w:pStyle w:val="63"/>
              <w:rPr>
                <w:snapToGrid w:val="0"/>
              </w:rPr>
            </w:pPr>
            <w:r>
              <w:rPr>
                <w:rFonts w:hint="eastAsia"/>
                <w:snapToGrid w:val="0"/>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Merge w:val="continue"/>
            <w:vAlign w:val="center"/>
          </w:tcPr>
          <w:p>
            <w:pPr>
              <w:pStyle w:val="63"/>
              <w:rPr>
                <w:snapToGrid w:val="0"/>
              </w:rPr>
            </w:pPr>
          </w:p>
        </w:tc>
        <w:tc>
          <w:tcPr>
            <w:tcW w:w="4394" w:type="dxa"/>
            <w:vAlign w:val="center"/>
          </w:tcPr>
          <w:p>
            <w:pPr>
              <w:pStyle w:val="63"/>
              <w:rPr>
                <w:snapToGrid w:val="0"/>
              </w:rPr>
            </w:pPr>
            <w:r>
              <w:rPr>
                <w:rFonts w:hint="eastAsia"/>
                <w:snapToGrid w:val="0"/>
              </w:rPr>
              <w:t>烷基汞</w:t>
            </w:r>
          </w:p>
        </w:tc>
        <w:tc>
          <w:tcPr>
            <w:tcW w:w="3283" w:type="dxa"/>
            <w:vAlign w:val="center"/>
          </w:tcPr>
          <w:p>
            <w:pPr>
              <w:pStyle w:val="63"/>
              <w:rPr>
                <w:snapToGrid w:val="0"/>
              </w:rPr>
            </w:pPr>
            <w:r>
              <w:rPr>
                <w:rFonts w:hint="eastAsia"/>
                <w:snapToGrid w:val="0"/>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1" w:type="dxa"/>
            <w:vAlign w:val="center"/>
          </w:tcPr>
          <w:p>
            <w:pPr>
              <w:pStyle w:val="63"/>
              <w:rPr>
                <w:snapToGrid w:val="0"/>
              </w:rPr>
            </w:pPr>
            <w:r>
              <w:rPr>
                <w:rFonts w:hint="eastAsia"/>
                <w:snapToGrid w:val="0"/>
              </w:rPr>
              <w:t>雨水排放口</w:t>
            </w:r>
          </w:p>
        </w:tc>
        <w:tc>
          <w:tcPr>
            <w:tcW w:w="4394" w:type="dxa"/>
            <w:vAlign w:val="center"/>
          </w:tcPr>
          <w:p>
            <w:pPr>
              <w:pStyle w:val="63"/>
              <w:rPr>
                <w:snapToGrid w:val="0"/>
              </w:rPr>
            </w:pPr>
            <w:r>
              <w:rPr>
                <w:rFonts w:hint="eastAsia"/>
                <w:snapToGrid w:val="0"/>
              </w:rPr>
              <w:t>pH值、化学需氧量、氨氮、悬浮物</w:t>
            </w:r>
          </w:p>
        </w:tc>
        <w:tc>
          <w:tcPr>
            <w:tcW w:w="3283" w:type="dxa"/>
            <w:vAlign w:val="center"/>
          </w:tcPr>
          <w:p>
            <w:pPr>
              <w:pStyle w:val="63"/>
              <w:rPr>
                <w:snapToGrid w:val="0"/>
              </w:rPr>
            </w:pPr>
            <w:r>
              <w:rPr>
                <w:rFonts w:hint="eastAsia"/>
                <w:snapToGrid w:val="0"/>
              </w:rPr>
              <w:t>有流动水排放时按月监测，若监测一年无异常情况，每季度开展一次监测</w:t>
            </w:r>
          </w:p>
        </w:tc>
      </w:tr>
    </w:tbl>
    <w:p>
      <w:pPr>
        <w:pStyle w:val="5"/>
        <w:ind w:firstLine="480"/>
      </w:pPr>
    </w:p>
    <w:p>
      <w:pPr>
        <w:pStyle w:val="2"/>
      </w:pPr>
      <w:r>
        <w:rPr>
          <w:rFonts w:hint="eastAsia"/>
        </w:rPr>
        <w:t>地表水环境影响评价结论</w:t>
      </w:r>
    </w:p>
    <w:p>
      <w:pPr>
        <w:pStyle w:val="3"/>
        <w:spacing w:before="156" w:after="156"/>
      </w:pPr>
      <w:r>
        <w:rPr>
          <w:rFonts w:hint="eastAsia"/>
        </w:rPr>
        <w:t>水环境影响评价结论</w:t>
      </w:r>
    </w:p>
    <w:p>
      <w:pPr>
        <w:pStyle w:val="5"/>
        <w:ind w:firstLine="480"/>
      </w:pPr>
      <w:r>
        <w:rPr>
          <w:rFonts w:hint="eastAsia"/>
        </w:rPr>
        <w:t>项目设计处理规模10000m</w:t>
      </w:r>
      <w:r>
        <w:rPr>
          <w:rFonts w:hint="eastAsia"/>
          <w:vertAlign w:val="superscript"/>
        </w:rPr>
        <w:t>3</w:t>
      </w:r>
      <w:r>
        <w:rPr>
          <w:rFonts w:hint="eastAsia"/>
        </w:rPr>
        <w:t>/d，处理工艺为预处理+二级处理+深度处理+消毒，污水达到《城镇污水处理厂污染物排放标准》（GB18918-2002）一级A标准后排入朱衣河，项目的实施利于水体水质的保护，具有较大的环境正效益。当污水处理厂正常运行，出水水质满足《城镇污水处理厂污染物排放标准》（</w:t>
      </w:r>
      <w:r>
        <w:t>GB18918-2002）一级A标准，排放口下游河段COD、NH</w:t>
      </w:r>
      <w:r>
        <w:rPr>
          <w:vertAlign w:val="subscript"/>
        </w:rPr>
        <w:t>3</w:t>
      </w:r>
      <w:r>
        <w:t>-N、TP均满足《地表水环境质量标准》（GB3838-2002)III类水质标准。</w:t>
      </w:r>
      <w:r>
        <w:rPr>
          <w:rFonts w:hint="eastAsia"/>
        </w:rPr>
        <w:t>项目供电采用单电源+备用电源供电，工作电源与备用电源满足全厂</w:t>
      </w:r>
      <w:r>
        <w:t>100%负荷供电，</w:t>
      </w:r>
      <w:r>
        <w:rPr>
          <w:rFonts w:hint="eastAsia"/>
        </w:rPr>
        <w:t>其次项目水处理构筑物采用多套并联运行，同时厂区内设置事故池可暂存收集污水，当出现事故情况时可将多余污水导入事故池内暂存，并使用剩余构筑物和事故应急处理构筑物保证污水处理，不会发生事故期间污水未经处理排放，并及时进行设施设备修复，事故情况时间持续短。所以项目发生事故情况下项目排水可控。</w:t>
      </w:r>
    </w:p>
    <w:p>
      <w:pPr>
        <w:pStyle w:val="5"/>
        <w:ind w:firstLine="480"/>
      </w:pPr>
      <w:r>
        <w:rPr>
          <w:rFonts w:hint="eastAsia"/>
        </w:rPr>
        <w:t>总体来说，项目的建设对改善水体环境，保障服务区域内的城镇发展具有积极的作用，尾水正常排放时不会改变朱衣河水域功能。</w:t>
      </w:r>
    </w:p>
    <w:p>
      <w:pPr>
        <w:pStyle w:val="3"/>
        <w:spacing w:before="156" w:after="156"/>
      </w:pPr>
      <w:r>
        <w:rPr>
          <w:rFonts w:hint="eastAsia"/>
        </w:rPr>
        <w:t>污染源排放量</w:t>
      </w:r>
    </w:p>
    <w:p>
      <w:pPr>
        <w:pStyle w:val="5"/>
        <w:ind w:firstLine="480"/>
      </w:pPr>
      <w:r>
        <w:rPr>
          <w:rFonts w:hint="eastAsia"/>
        </w:rPr>
        <w:t xml:space="preserve"> 污染源排放量见</w:t>
      </w:r>
      <w:r>
        <w:fldChar w:fldCharType="begin"/>
      </w:r>
      <w:r>
        <w:instrText xml:space="preserve"> </w:instrText>
      </w:r>
      <w:r>
        <w:rPr>
          <w:rFonts w:hint="eastAsia"/>
        </w:rPr>
        <w:instrText xml:space="preserve">REF _Ref143255294 \h</w:instrText>
      </w:r>
      <w:r>
        <w:instrText xml:space="preserve"> </w:instrText>
      </w:r>
      <w:r>
        <w:fldChar w:fldCharType="separate"/>
      </w:r>
      <w:r>
        <w:rPr>
          <w:rFonts w:hint="eastAsia"/>
        </w:rPr>
        <w:t xml:space="preserve">表 </w:t>
      </w:r>
      <w:r>
        <w:t>6.2</w:t>
      </w:r>
      <w:r>
        <w:noBreakHyphen/>
      </w:r>
      <w:r>
        <w:t>1</w:t>
      </w:r>
      <w:r>
        <w:fldChar w:fldCharType="end"/>
      </w:r>
      <w:r>
        <w:t>~</w:t>
      </w:r>
      <w:r>
        <w:fldChar w:fldCharType="begin"/>
      </w:r>
      <w:r>
        <w:instrText xml:space="preserve"> REF _Ref143255299 \h </w:instrText>
      </w:r>
      <w:r>
        <w:fldChar w:fldCharType="separate"/>
      </w:r>
      <w:r>
        <w:rPr>
          <w:rFonts w:hint="eastAsia"/>
        </w:rPr>
        <w:t xml:space="preserve">表 </w:t>
      </w:r>
      <w:r>
        <w:t>6.2</w:t>
      </w:r>
      <w:r>
        <w:noBreakHyphen/>
      </w:r>
      <w:r>
        <w:t>4</w:t>
      </w:r>
      <w:r>
        <w:fldChar w:fldCharType="end"/>
      </w:r>
      <w:r>
        <w:rPr>
          <w:rFonts w:hint="eastAsia"/>
        </w:rPr>
        <w:t>。</w:t>
      </w:r>
    </w:p>
    <w:p>
      <w:pPr>
        <w:pStyle w:val="14"/>
        <w:keepNext/>
      </w:pPr>
      <w:bookmarkStart w:id="124" w:name="_Ref143255294"/>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6.2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124"/>
      <w:r>
        <w:t xml:space="preserve">   </w:t>
      </w:r>
      <w:r>
        <w:rPr>
          <w:rFonts w:hint="eastAsia"/>
        </w:rPr>
        <w:t>废水类别、污染物及污染治理设施信息表</w:t>
      </w:r>
    </w:p>
    <w:tbl>
      <w:tblPr>
        <w:tblStyle w:val="38"/>
        <w:tblW w:w="895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39"/>
        <w:gridCol w:w="555"/>
        <w:gridCol w:w="1051"/>
        <w:gridCol w:w="559"/>
        <w:gridCol w:w="920"/>
        <w:gridCol w:w="884"/>
        <w:gridCol w:w="677"/>
        <w:gridCol w:w="1422"/>
        <w:gridCol w:w="908"/>
        <w:gridCol w:w="935"/>
        <w:gridCol w:w="6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439" w:type="dxa"/>
            <w:vMerge w:val="restart"/>
            <w:shd w:val="clear" w:color="auto" w:fill="auto"/>
            <w:vAlign w:val="center"/>
          </w:tcPr>
          <w:p>
            <w:pPr>
              <w:pStyle w:val="63"/>
            </w:pPr>
            <w:r>
              <w:rPr>
                <w:rFonts w:hint="eastAsia"/>
              </w:rPr>
              <w:t>序号</w:t>
            </w:r>
          </w:p>
        </w:tc>
        <w:tc>
          <w:tcPr>
            <w:tcW w:w="555" w:type="dxa"/>
            <w:vMerge w:val="restart"/>
            <w:shd w:val="clear" w:color="auto" w:fill="auto"/>
            <w:vAlign w:val="center"/>
          </w:tcPr>
          <w:p>
            <w:pPr>
              <w:pStyle w:val="63"/>
            </w:pPr>
            <w:r>
              <w:rPr>
                <w:rFonts w:hint="eastAsia"/>
              </w:rPr>
              <w:t>废水类别</w:t>
            </w:r>
          </w:p>
        </w:tc>
        <w:tc>
          <w:tcPr>
            <w:tcW w:w="1051" w:type="dxa"/>
            <w:vMerge w:val="restart"/>
            <w:shd w:val="clear" w:color="auto" w:fill="auto"/>
            <w:vAlign w:val="center"/>
          </w:tcPr>
          <w:p>
            <w:pPr>
              <w:pStyle w:val="63"/>
            </w:pPr>
            <w:r>
              <w:rPr>
                <w:rFonts w:hint="eastAsia"/>
              </w:rPr>
              <w:t>污染物种类</w:t>
            </w:r>
          </w:p>
        </w:tc>
        <w:tc>
          <w:tcPr>
            <w:tcW w:w="559" w:type="dxa"/>
            <w:vMerge w:val="restart"/>
            <w:shd w:val="clear" w:color="auto" w:fill="auto"/>
            <w:vAlign w:val="center"/>
          </w:tcPr>
          <w:p>
            <w:pPr>
              <w:pStyle w:val="63"/>
            </w:pPr>
            <w:r>
              <w:rPr>
                <w:rFonts w:hint="eastAsia"/>
              </w:rPr>
              <w:t>排放去向</w:t>
            </w:r>
          </w:p>
        </w:tc>
        <w:tc>
          <w:tcPr>
            <w:tcW w:w="920" w:type="dxa"/>
            <w:vMerge w:val="restart"/>
            <w:shd w:val="clear" w:color="auto" w:fill="auto"/>
            <w:vAlign w:val="center"/>
          </w:tcPr>
          <w:p>
            <w:pPr>
              <w:pStyle w:val="63"/>
            </w:pPr>
            <w:r>
              <w:rPr>
                <w:rFonts w:hint="eastAsia"/>
              </w:rPr>
              <w:t>排放规律</w:t>
            </w:r>
          </w:p>
        </w:tc>
        <w:tc>
          <w:tcPr>
            <w:tcW w:w="2983" w:type="dxa"/>
            <w:gridSpan w:val="3"/>
            <w:shd w:val="clear" w:color="auto" w:fill="auto"/>
            <w:vAlign w:val="center"/>
          </w:tcPr>
          <w:p>
            <w:pPr>
              <w:pStyle w:val="63"/>
            </w:pPr>
            <w:r>
              <w:rPr>
                <w:rFonts w:hint="eastAsia"/>
              </w:rPr>
              <w:t>污染治理设施</w:t>
            </w:r>
          </w:p>
        </w:tc>
        <w:tc>
          <w:tcPr>
            <w:tcW w:w="908" w:type="dxa"/>
            <w:vMerge w:val="restart"/>
            <w:shd w:val="clear" w:color="auto" w:fill="auto"/>
            <w:vAlign w:val="center"/>
          </w:tcPr>
          <w:p>
            <w:pPr>
              <w:pStyle w:val="63"/>
            </w:pPr>
            <w:r>
              <w:rPr>
                <w:rFonts w:hint="eastAsia"/>
              </w:rPr>
              <w:t>排放口编号</w:t>
            </w:r>
          </w:p>
        </w:tc>
        <w:tc>
          <w:tcPr>
            <w:tcW w:w="935" w:type="dxa"/>
            <w:vMerge w:val="restart"/>
            <w:shd w:val="clear" w:color="auto" w:fill="auto"/>
            <w:vAlign w:val="center"/>
          </w:tcPr>
          <w:p>
            <w:pPr>
              <w:pStyle w:val="63"/>
            </w:pPr>
            <w:r>
              <w:rPr>
                <w:rFonts w:hint="eastAsia"/>
              </w:rPr>
              <w:t>排放口设施是否符合要求</w:t>
            </w:r>
          </w:p>
        </w:tc>
        <w:tc>
          <w:tcPr>
            <w:tcW w:w="602" w:type="dxa"/>
            <w:vMerge w:val="restart"/>
            <w:shd w:val="clear" w:color="auto" w:fill="auto"/>
            <w:vAlign w:val="center"/>
          </w:tcPr>
          <w:p>
            <w:pPr>
              <w:pStyle w:val="63"/>
            </w:pPr>
            <w:r>
              <w:rPr>
                <w:rFonts w:hint="eastAsia"/>
              </w:rPr>
              <w:t>排放口类型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439" w:type="dxa"/>
            <w:vMerge w:val="continue"/>
            <w:shd w:val="clear" w:color="auto" w:fill="auto"/>
            <w:vAlign w:val="center"/>
          </w:tcPr>
          <w:p>
            <w:pPr>
              <w:pStyle w:val="63"/>
            </w:pPr>
          </w:p>
        </w:tc>
        <w:tc>
          <w:tcPr>
            <w:tcW w:w="555" w:type="dxa"/>
            <w:vMerge w:val="continue"/>
            <w:shd w:val="clear" w:color="auto" w:fill="auto"/>
            <w:vAlign w:val="center"/>
          </w:tcPr>
          <w:p>
            <w:pPr>
              <w:pStyle w:val="63"/>
            </w:pPr>
          </w:p>
        </w:tc>
        <w:tc>
          <w:tcPr>
            <w:tcW w:w="1051" w:type="dxa"/>
            <w:vMerge w:val="continue"/>
            <w:shd w:val="clear" w:color="auto" w:fill="auto"/>
            <w:vAlign w:val="center"/>
          </w:tcPr>
          <w:p>
            <w:pPr>
              <w:pStyle w:val="63"/>
            </w:pPr>
          </w:p>
        </w:tc>
        <w:tc>
          <w:tcPr>
            <w:tcW w:w="559" w:type="dxa"/>
            <w:vMerge w:val="continue"/>
            <w:shd w:val="clear" w:color="auto" w:fill="auto"/>
            <w:vAlign w:val="center"/>
          </w:tcPr>
          <w:p>
            <w:pPr>
              <w:pStyle w:val="63"/>
            </w:pPr>
          </w:p>
        </w:tc>
        <w:tc>
          <w:tcPr>
            <w:tcW w:w="920" w:type="dxa"/>
            <w:vMerge w:val="continue"/>
            <w:shd w:val="clear" w:color="auto" w:fill="auto"/>
            <w:vAlign w:val="center"/>
          </w:tcPr>
          <w:p>
            <w:pPr>
              <w:pStyle w:val="63"/>
            </w:pPr>
          </w:p>
        </w:tc>
        <w:tc>
          <w:tcPr>
            <w:tcW w:w="884" w:type="dxa"/>
            <w:shd w:val="clear" w:color="auto" w:fill="auto"/>
            <w:vAlign w:val="center"/>
          </w:tcPr>
          <w:p>
            <w:pPr>
              <w:pStyle w:val="63"/>
            </w:pPr>
            <w:r>
              <w:rPr>
                <w:rFonts w:hint="eastAsia"/>
              </w:rPr>
              <w:t>编号</w:t>
            </w:r>
          </w:p>
        </w:tc>
        <w:tc>
          <w:tcPr>
            <w:tcW w:w="677" w:type="dxa"/>
            <w:shd w:val="clear" w:color="auto" w:fill="auto"/>
            <w:vAlign w:val="center"/>
          </w:tcPr>
          <w:p>
            <w:pPr>
              <w:pStyle w:val="63"/>
            </w:pPr>
            <w:r>
              <w:rPr>
                <w:rFonts w:hint="eastAsia"/>
              </w:rPr>
              <w:t>名称</w:t>
            </w:r>
          </w:p>
        </w:tc>
        <w:tc>
          <w:tcPr>
            <w:tcW w:w="1422" w:type="dxa"/>
            <w:shd w:val="clear" w:color="auto" w:fill="auto"/>
            <w:vAlign w:val="center"/>
          </w:tcPr>
          <w:p>
            <w:pPr>
              <w:pStyle w:val="63"/>
            </w:pPr>
            <w:r>
              <w:rPr>
                <w:rFonts w:hint="eastAsia"/>
              </w:rPr>
              <w:t>工艺</w:t>
            </w:r>
          </w:p>
        </w:tc>
        <w:tc>
          <w:tcPr>
            <w:tcW w:w="908" w:type="dxa"/>
            <w:vMerge w:val="continue"/>
            <w:shd w:val="clear" w:color="auto" w:fill="auto"/>
            <w:vAlign w:val="center"/>
          </w:tcPr>
          <w:p>
            <w:pPr>
              <w:pStyle w:val="63"/>
            </w:pPr>
          </w:p>
        </w:tc>
        <w:tc>
          <w:tcPr>
            <w:tcW w:w="935" w:type="dxa"/>
            <w:vMerge w:val="continue"/>
            <w:shd w:val="clear" w:color="auto" w:fill="auto"/>
            <w:vAlign w:val="center"/>
          </w:tcPr>
          <w:p>
            <w:pPr>
              <w:pStyle w:val="63"/>
            </w:pPr>
          </w:p>
        </w:tc>
        <w:tc>
          <w:tcPr>
            <w:tcW w:w="602" w:type="dxa"/>
            <w:vMerge w:val="continue"/>
            <w:shd w:val="clear" w:color="auto" w:fill="auto"/>
            <w:vAlign w:val="center"/>
          </w:tcPr>
          <w:p>
            <w:pPr>
              <w:pStyle w:val="63"/>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439" w:type="dxa"/>
            <w:shd w:val="clear" w:color="auto" w:fill="auto"/>
            <w:vAlign w:val="center"/>
          </w:tcPr>
          <w:p>
            <w:pPr>
              <w:pStyle w:val="63"/>
            </w:pPr>
            <w:r>
              <w:rPr>
                <w:rFonts w:hint="eastAsia"/>
              </w:rPr>
              <w:t>1</w:t>
            </w:r>
          </w:p>
        </w:tc>
        <w:tc>
          <w:tcPr>
            <w:tcW w:w="555" w:type="dxa"/>
            <w:shd w:val="clear" w:color="auto" w:fill="auto"/>
            <w:vAlign w:val="center"/>
          </w:tcPr>
          <w:p>
            <w:pPr>
              <w:pStyle w:val="63"/>
            </w:pPr>
            <w:r>
              <w:rPr>
                <w:rFonts w:hint="eastAsia"/>
              </w:rPr>
              <w:t>生活污水</w:t>
            </w:r>
          </w:p>
        </w:tc>
        <w:tc>
          <w:tcPr>
            <w:tcW w:w="1051" w:type="dxa"/>
            <w:shd w:val="clear" w:color="auto" w:fill="auto"/>
            <w:vAlign w:val="center"/>
          </w:tcPr>
          <w:p>
            <w:pPr>
              <w:pStyle w:val="63"/>
            </w:pPr>
            <w:r>
              <w:t>COD</w:t>
            </w:r>
            <w:r>
              <w:rPr>
                <w:rFonts w:hint="eastAsia"/>
              </w:rPr>
              <w:t>、</w:t>
            </w:r>
            <w:r>
              <w:t>BOD</w:t>
            </w:r>
            <w:r>
              <w:rPr>
                <w:vertAlign w:val="subscript"/>
              </w:rPr>
              <w:t>5</w:t>
            </w:r>
            <w:r>
              <w:rPr>
                <w:rFonts w:hint="eastAsia"/>
              </w:rPr>
              <w:t>、SS、氨氮、总氮、总磷</w:t>
            </w:r>
          </w:p>
        </w:tc>
        <w:tc>
          <w:tcPr>
            <w:tcW w:w="559" w:type="dxa"/>
            <w:shd w:val="clear" w:color="auto" w:fill="auto"/>
            <w:vAlign w:val="center"/>
          </w:tcPr>
          <w:p>
            <w:pPr>
              <w:pStyle w:val="63"/>
            </w:pPr>
            <w:r>
              <w:rPr>
                <w:rFonts w:hint="eastAsia"/>
              </w:rPr>
              <w:t>朱衣河</w:t>
            </w:r>
          </w:p>
        </w:tc>
        <w:tc>
          <w:tcPr>
            <w:tcW w:w="920" w:type="dxa"/>
            <w:shd w:val="clear" w:color="auto" w:fill="auto"/>
            <w:vAlign w:val="center"/>
          </w:tcPr>
          <w:p>
            <w:pPr>
              <w:pStyle w:val="63"/>
            </w:pPr>
            <w:r>
              <w:rPr>
                <w:rFonts w:hint="eastAsia"/>
              </w:rPr>
              <w:t>稳定连续、流量不稳定，但有周期性规律</w:t>
            </w:r>
          </w:p>
        </w:tc>
        <w:tc>
          <w:tcPr>
            <w:tcW w:w="884" w:type="dxa"/>
            <w:shd w:val="clear" w:color="auto" w:fill="auto"/>
            <w:vAlign w:val="center"/>
          </w:tcPr>
          <w:p>
            <w:pPr>
              <w:pStyle w:val="63"/>
            </w:pPr>
            <w:r>
              <w:t>TW001</w:t>
            </w:r>
          </w:p>
        </w:tc>
        <w:tc>
          <w:tcPr>
            <w:tcW w:w="677" w:type="dxa"/>
            <w:shd w:val="clear" w:color="auto" w:fill="auto"/>
            <w:vAlign w:val="center"/>
          </w:tcPr>
          <w:p>
            <w:pPr>
              <w:pStyle w:val="63"/>
            </w:pPr>
            <w:r>
              <w:rPr>
                <w:rFonts w:hint="eastAsia"/>
              </w:rPr>
              <w:t>污水处理厂</w:t>
            </w:r>
          </w:p>
        </w:tc>
        <w:tc>
          <w:tcPr>
            <w:tcW w:w="1422" w:type="dxa"/>
            <w:shd w:val="clear" w:color="auto" w:fill="auto"/>
            <w:vAlign w:val="center"/>
          </w:tcPr>
          <w:p>
            <w:pPr>
              <w:pStyle w:val="63"/>
            </w:pPr>
            <w:r>
              <w:rPr>
                <w:rFonts w:hint="eastAsia"/>
              </w:rPr>
              <w:t>预处理+二级处理+深度处理+消毒</w:t>
            </w:r>
          </w:p>
        </w:tc>
        <w:tc>
          <w:tcPr>
            <w:tcW w:w="908" w:type="dxa"/>
            <w:shd w:val="clear" w:color="auto" w:fill="auto"/>
            <w:vAlign w:val="center"/>
          </w:tcPr>
          <w:p>
            <w:pPr>
              <w:pStyle w:val="63"/>
            </w:pPr>
            <w:r>
              <w:rPr>
                <w:rFonts w:hint="eastAsia"/>
              </w:rPr>
              <w:t>D</w:t>
            </w:r>
            <w:r>
              <w:t>W001</w:t>
            </w:r>
          </w:p>
        </w:tc>
        <w:tc>
          <w:tcPr>
            <w:tcW w:w="935" w:type="dxa"/>
            <w:shd w:val="clear" w:color="auto" w:fill="auto"/>
            <w:vAlign w:val="center"/>
          </w:tcPr>
          <w:p>
            <w:pPr>
              <w:pStyle w:val="63"/>
            </w:pPr>
            <w:r>
              <w:rPr>
                <w:rFonts w:hint="eastAsia"/>
              </w:rPr>
              <w:t>是</w:t>
            </w:r>
          </w:p>
        </w:tc>
        <w:tc>
          <w:tcPr>
            <w:tcW w:w="602" w:type="dxa"/>
            <w:shd w:val="clear" w:color="auto" w:fill="auto"/>
            <w:vAlign w:val="center"/>
          </w:tcPr>
          <w:p>
            <w:pPr>
              <w:pStyle w:val="63"/>
            </w:pPr>
            <w:r>
              <w:rPr>
                <w:rFonts w:hint="eastAsia"/>
              </w:rPr>
              <w:t>企业总排口</w:t>
            </w:r>
          </w:p>
        </w:tc>
      </w:tr>
    </w:tbl>
    <w:p/>
    <w:p>
      <w:pPr>
        <w:pStyle w:val="14"/>
        <w:keepNext/>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6.2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rPr>
        <w:t>废水直接排放口基本情况表</w:t>
      </w:r>
    </w:p>
    <w:tbl>
      <w:tblPr>
        <w:tblStyle w:val="38"/>
        <w:tblW w:w="8952"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34"/>
        <w:gridCol w:w="901"/>
        <w:gridCol w:w="1004"/>
        <w:gridCol w:w="920"/>
        <w:gridCol w:w="849"/>
        <w:gridCol w:w="568"/>
        <w:gridCol w:w="927"/>
        <w:gridCol w:w="449"/>
        <w:gridCol w:w="449"/>
        <w:gridCol w:w="451"/>
        <w:gridCol w:w="1055"/>
        <w:gridCol w:w="94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434" w:type="dxa"/>
            <w:vMerge w:val="restart"/>
            <w:shd w:val="clear" w:color="auto" w:fill="auto"/>
            <w:vAlign w:val="center"/>
          </w:tcPr>
          <w:p>
            <w:pPr>
              <w:pStyle w:val="63"/>
            </w:pPr>
            <w:r>
              <w:rPr>
                <w:rFonts w:hint="eastAsia"/>
              </w:rPr>
              <w:t>序号</w:t>
            </w:r>
          </w:p>
        </w:tc>
        <w:tc>
          <w:tcPr>
            <w:tcW w:w="901" w:type="dxa"/>
            <w:vMerge w:val="restart"/>
            <w:shd w:val="clear" w:color="auto" w:fill="auto"/>
            <w:vAlign w:val="center"/>
          </w:tcPr>
          <w:p>
            <w:pPr>
              <w:pStyle w:val="63"/>
            </w:pPr>
            <w:r>
              <w:rPr>
                <w:rFonts w:hint="eastAsia"/>
              </w:rPr>
              <w:t>排放口编号</w:t>
            </w:r>
          </w:p>
        </w:tc>
        <w:tc>
          <w:tcPr>
            <w:tcW w:w="1924" w:type="dxa"/>
            <w:gridSpan w:val="2"/>
            <w:shd w:val="clear" w:color="auto" w:fill="auto"/>
            <w:vAlign w:val="center"/>
          </w:tcPr>
          <w:p>
            <w:pPr>
              <w:pStyle w:val="63"/>
            </w:pPr>
            <w:r>
              <w:rPr>
                <w:rFonts w:hint="eastAsia"/>
              </w:rPr>
              <w:t>排放口地理坐标</w:t>
            </w:r>
          </w:p>
        </w:tc>
        <w:tc>
          <w:tcPr>
            <w:tcW w:w="849" w:type="dxa"/>
            <w:vMerge w:val="restart"/>
            <w:shd w:val="clear" w:color="auto" w:fill="auto"/>
            <w:vAlign w:val="center"/>
          </w:tcPr>
          <w:p>
            <w:pPr>
              <w:pStyle w:val="63"/>
            </w:pPr>
            <w:r>
              <w:rPr>
                <w:rFonts w:hint="eastAsia"/>
              </w:rPr>
              <w:t>废水排放量</w:t>
            </w:r>
          </w:p>
          <w:p>
            <w:pPr>
              <w:pStyle w:val="63"/>
            </w:pPr>
            <w:r>
              <w:rPr>
                <w:rFonts w:hint="eastAsia"/>
              </w:rPr>
              <w:t>万t/a</w:t>
            </w:r>
          </w:p>
        </w:tc>
        <w:tc>
          <w:tcPr>
            <w:tcW w:w="568" w:type="dxa"/>
            <w:vMerge w:val="restart"/>
            <w:shd w:val="clear" w:color="auto" w:fill="auto"/>
            <w:vAlign w:val="center"/>
          </w:tcPr>
          <w:p>
            <w:pPr>
              <w:pStyle w:val="63"/>
            </w:pPr>
            <w:r>
              <w:rPr>
                <w:rFonts w:hint="eastAsia"/>
              </w:rPr>
              <w:t>排放去向</w:t>
            </w:r>
          </w:p>
        </w:tc>
        <w:tc>
          <w:tcPr>
            <w:tcW w:w="927" w:type="dxa"/>
            <w:vMerge w:val="restart"/>
            <w:shd w:val="clear" w:color="auto" w:fill="auto"/>
            <w:vAlign w:val="center"/>
          </w:tcPr>
          <w:p>
            <w:pPr>
              <w:pStyle w:val="63"/>
            </w:pPr>
            <w:r>
              <w:rPr>
                <w:rFonts w:hint="eastAsia"/>
              </w:rPr>
              <w:t>排放规律</w:t>
            </w:r>
          </w:p>
        </w:tc>
        <w:tc>
          <w:tcPr>
            <w:tcW w:w="449" w:type="dxa"/>
            <w:vMerge w:val="restart"/>
            <w:shd w:val="clear" w:color="auto" w:fill="auto"/>
            <w:vAlign w:val="center"/>
          </w:tcPr>
          <w:p>
            <w:pPr>
              <w:pStyle w:val="63"/>
            </w:pPr>
            <w:r>
              <w:rPr>
                <w:rFonts w:hint="eastAsia"/>
              </w:rPr>
              <w:t>间歇排放时段</w:t>
            </w:r>
          </w:p>
        </w:tc>
        <w:tc>
          <w:tcPr>
            <w:tcW w:w="900" w:type="dxa"/>
            <w:gridSpan w:val="2"/>
            <w:shd w:val="clear" w:color="auto" w:fill="auto"/>
            <w:vAlign w:val="center"/>
          </w:tcPr>
          <w:p>
            <w:pPr>
              <w:pStyle w:val="63"/>
            </w:pPr>
            <w:r>
              <w:rPr>
                <w:rFonts w:hint="eastAsia"/>
              </w:rPr>
              <w:t>受纳自然水体信息</w:t>
            </w:r>
          </w:p>
        </w:tc>
        <w:tc>
          <w:tcPr>
            <w:tcW w:w="2000" w:type="dxa"/>
            <w:gridSpan w:val="2"/>
            <w:shd w:val="clear" w:color="auto" w:fill="auto"/>
            <w:vAlign w:val="center"/>
          </w:tcPr>
          <w:p>
            <w:pPr>
              <w:pStyle w:val="63"/>
            </w:pPr>
            <w:r>
              <w:rPr>
                <w:rFonts w:hint="eastAsia"/>
              </w:rPr>
              <w:t>汇入自然水体处地理坐标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434" w:type="dxa"/>
            <w:vMerge w:val="continue"/>
            <w:shd w:val="clear" w:color="auto" w:fill="auto"/>
            <w:vAlign w:val="center"/>
          </w:tcPr>
          <w:p>
            <w:pPr>
              <w:pStyle w:val="63"/>
            </w:pPr>
          </w:p>
        </w:tc>
        <w:tc>
          <w:tcPr>
            <w:tcW w:w="901" w:type="dxa"/>
            <w:vMerge w:val="continue"/>
            <w:shd w:val="clear" w:color="auto" w:fill="auto"/>
            <w:vAlign w:val="center"/>
          </w:tcPr>
          <w:p>
            <w:pPr>
              <w:pStyle w:val="63"/>
            </w:pPr>
          </w:p>
        </w:tc>
        <w:tc>
          <w:tcPr>
            <w:tcW w:w="1004" w:type="dxa"/>
            <w:shd w:val="clear" w:color="auto" w:fill="auto"/>
            <w:vAlign w:val="center"/>
          </w:tcPr>
          <w:p>
            <w:pPr>
              <w:pStyle w:val="63"/>
            </w:pPr>
            <w:r>
              <w:rPr>
                <w:rFonts w:hint="eastAsia"/>
              </w:rPr>
              <w:t>经度</w:t>
            </w:r>
          </w:p>
        </w:tc>
        <w:tc>
          <w:tcPr>
            <w:tcW w:w="920" w:type="dxa"/>
            <w:shd w:val="clear" w:color="auto" w:fill="auto"/>
            <w:vAlign w:val="center"/>
          </w:tcPr>
          <w:p>
            <w:pPr>
              <w:pStyle w:val="63"/>
            </w:pPr>
            <w:r>
              <w:rPr>
                <w:rFonts w:hint="eastAsia"/>
              </w:rPr>
              <w:t>纬度</w:t>
            </w:r>
          </w:p>
        </w:tc>
        <w:tc>
          <w:tcPr>
            <w:tcW w:w="849" w:type="dxa"/>
            <w:vMerge w:val="continue"/>
            <w:shd w:val="clear" w:color="auto" w:fill="auto"/>
            <w:vAlign w:val="center"/>
          </w:tcPr>
          <w:p>
            <w:pPr>
              <w:pStyle w:val="63"/>
            </w:pPr>
          </w:p>
        </w:tc>
        <w:tc>
          <w:tcPr>
            <w:tcW w:w="568" w:type="dxa"/>
            <w:vMerge w:val="continue"/>
            <w:shd w:val="clear" w:color="auto" w:fill="auto"/>
            <w:vAlign w:val="center"/>
          </w:tcPr>
          <w:p>
            <w:pPr>
              <w:pStyle w:val="63"/>
            </w:pPr>
          </w:p>
        </w:tc>
        <w:tc>
          <w:tcPr>
            <w:tcW w:w="927" w:type="dxa"/>
            <w:vMerge w:val="continue"/>
            <w:shd w:val="clear" w:color="auto" w:fill="auto"/>
            <w:vAlign w:val="center"/>
          </w:tcPr>
          <w:p>
            <w:pPr>
              <w:pStyle w:val="63"/>
            </w:pPr>
          </w:p>
        </w:tc>
        <w:tc>
          <w:tcPr>
            <w:tcW w:w="449" w:type="dxa"/>
            <w:vMerge w:val="continue"/>
            <w:shd w:val="clear" w:color="auto" w:fill="auto"/>
            <w:vAlign w:val="center"/>
          </w:tcPr>
          <w:p>
            <w:pPr>
              <w:pStyle w:val="63"/>
            </w:pPr>
          </w:p>
        </w:tc>
        <w:tc>
          <w:tcPr>
            <w:tcW w:w="449" w:type="dxa"/>
            <w:shd w:val="clear" w:color="auto" w:fill="auto"/>
            <w:vAlign w:val="center"/>
          </w:tcPr>
          <w:p>
            <w:pPr>
              <w:pStyle w:val="63"/>
            </w:pPr>
            <w:r>
              <w:rPr>
                <w:rFonts w:hint="eastAsia"/>
              </w:rPr>
              <w:t>名称</w:t>
            </w:r>
          </w:p>
        </w:tc>
        <w:tc>
          <w:tcPr>
            <w:tcW w:w="451" w:type="dxa"/>
            <w:shd w:val="clear" w:color="auto" w:fill="auto"/>
            <w:vAlign w:val="center"/>
          </w:tcPr>
          <w:p>
            <w:pPr>
              <w:pStyle w:val="63"/>
            </w:pPr>
            <w:r>
              <w:rPr>
                <w:rFonts w:hint="eastAsia"/>
              </w:rPr>
              <w:t>功能目标</w:t>
            </w:r>
          </w:p>
        </w:tc>
        <w:tc>
          <w:tcPr>
            <w:tcW w:w="1055" w:type="dxa"/>
            <w:shd w:val="clear" w:color="auto" w:fill="auto"/>
            <w:vAlign w:val="center"/>
          </w:tcPr>
          <w:p>
            <w:pPr>
              <w:pStyle w:val="63"/>
            </w:pPr>
            <w:r>
              <w:rPr>
                <w:rFonts w:hint="eastAsia"/>
              </w:rPr>
              <w:t>经度</w:t>
            </w:r>
          </w:p>
        </w:tc>
        <w:tc>
          <w:tcPr>
            <w:tcW w:w="945" w:type="dxa"/>
            <w:shd w:val="clear" w:color="auto" w:fill="auto"/>
            <w:vAlign w:val="center"/>
          </w:tcPr>
          <w:p>
            <w:pPr>
              <w:pStyle w:val="63"/>
            </w:pPr>
            <w:r>
              <w:rPr>
                <w:rFonts w:hint="eastAsia"/>
              </w:rPr>
              <w:t>纬度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9" w:hRule="atLeast"/>
          <w:jc w:val="center"/>
        </w:trPr>
        <w:tc>
          <w:tcPr>
            <w:tcW w:w="434" w:type="dxa"/>
            <w:shd w:val="clear" w:color="auto" w:fill="auto"/>
            <w:vAlign w:val="center"/>
          </w:tcPr>
          <w:p>
            <w:pPr>
              <w:pStyle w:val="63"/>
            </w:pPr>
            <w:r>
              <w:rPr>
                <w:rFonts w:hint="eastAsia"/>
              </w:rPr>
              <w:t>1</w:t>
            </w:r>
          </w:p>
        </w:tc>
        <w:tc>
          <w:tcPr>
            <w:tcW w:w="901" w:type="dxa"/>
            <w:shd w:val="clear" w:color="auto" w:fill="auto"/>
            <w:vAlign w:val="center"/>
          </w:tcPr>
          <w:p>
            <w:pPr>
              <w:pStyle w:val="63"/>
            </w:pPr>
            <w:r>
              <w:t>DW001</w:t>
            </w:r>
          </w:p>
        </w:tc>
        <w:tc>
          <w:tcPr>
            <w:tcW w:w="1004" w:type="dxa"/>
            <w:shd w:val="clear" w:color="auto" w:fill="auto"/>
            <w:vAlign w:val="center"/>
          </w:tcPr>
          <w:p>
            <w:pPr>
              <w:pStyle w:val="63"/>
            </w:pPr>
            <w:r>
              <w:rPr>
                <w:rFonts w:hint="eastAsia"/>
              </w:rPr>
              <w:t>109.3604</w:t>
            </w:r>
          </w:p>
        </w:tc>
        <w:tc>
          <w:tcPr>
            <w:tcW w:w="920" w:type="dxa"/>
            <w:shd w:val="clear" w:color="auto" w:fill="auto"/>
            <w:vAlign w:val="center"/>
          </w:tcPr>
          <w:p>
            <w:pPr>
              <w:pStyle w:val="63"/>
            </w:pPr>
            <w:r>
              <w:rPr>
                <w:rFonts w:hint="eastAsia"/>
              </w:rPr>
              <w:t>31.0265</w:t>
            </w:r>
          </w:p>
        </w:tc>
        <w:tc>
          <w:tcPr>
            <w:tcW w:w="849" w:type="dxa"/>
            <w:shd w:val="clear" w:color="auto" w:fill="auto"/>
            <w:vAlign w:val="center"/>
          </w:tcPr>
          <w:p>
            <w:pPr>
              <w:pStyle w:val="63"/>
            </w:pPr>
            <w:r>
              <w:rPr>
                <w:rFonts w:hint="eastAsia"/>
              </w:rPr>
              <w:t>365</w:t>
            </w:r>
          </w:p>
        </w:tc>
        <w:tc>
          <w:tcPr>
            <w:tcW w:w="568" w:type="dxa"/>
            <w:shd w:val="clear" w:color="auto" w:fill="auto"/>
            <w:vAlign w:val="center"/>
          </w:tcPr>
          <w:p>
            <w:pPr>
              <w:pStyle w:val="63"/>
            </w:pPr>
            <w:r>
              <w:rPr>
                <w:rFonts w:hint="eastAsia"/>
              </w:rPr>
              <w:t>朱衣河</w:t>
            </w:r>
          </w:p>
        </w:tc>
        <w:tc>
          <w:tcPr>
            <w:tcW w:w="927" w:type="dxa"/>
            <w:shd w:val="clear" w:color="auto" w:fill="auto"/>
            <w:vAlign w:val="center"/>
          </w:tcPr>
          <w:p>
            <w:pPr>
              <w:pStyle w:val="63"/>
            </w:pPr>
            <w:r>
              <w:rPr>
                <w:rFonts w:hint="eastAsia"/>
              </w:rPr>
              <w:t>稳定连续、流量不稳定，但有周期性规律</w:t>
            </w:r>
          </w:p>
        </w:tc>
        <w:tc>
          <w:tcPr>
            <w:tcW w:w="449" w:type="dxa"/>
            <w:shd w:val="clear" w:color="auto" w:fill="auto"/>
            <w:vAlign w:val="center"/>
          </w:tcPr>
          <w:p>
            <w:pPr>
              <w:pStyle w:val="63"/>
            </w:pPr>
            <w:r>
              <w:rPr>
                <w:rFonts w:hint="eastAsia"/>
              </w:rPr>
              <w:t>/</w:t>
            </w:r>
          </w:p>
        </w:tc>
        <w:tc>
          <w:tcPr>
            <w:tcW w:w="449" w:type="dxa"/>
            <w:shd w:val="clear" w:color="auto" w:fill="auto"/>
            <w:vAlign w:val="center"/>
          </w:tcPr>
          <w:p>
            <w:pPr>
              <w:pStyle w:val="63"/>
            </w:pPr>
            <w:r>
              <w:rPr>
                <w:rFonts w:hint="eastAsia"/>
              </w:rPr>
              <w:t>朱衣河</w:t>
            </w:r>
          </w:p>
        </w:tc>
        <w:tc>
          <w:tcPr>
            <w:tcW w:w="451" w:type="dxa"/>
            <w:shd w:val="clear" w:color="auto" w:fill="auto"/>
            <w:vAlign w:val="center"/>
          </w:tcPr>
          <w:p>
            <w:pPr>
              <w:pStyle w:val="63"/>
            </w:pPr>
            <w:r>
              <w:rPr>
                <w:rFonts w:hint="eastAsia" w:ascii="宋体" w:hAnsi="宋体"/>
              </w:rPr>
              <w:t>Ⅲ</w:t>
            </w:r>
            <w:r>
              <w:rPr>
                <w:rFonts w:hint="eastAsia"/>
              </w:rPr>
              <w:t>类</w:t>
            </w:r>
          </w:p>
        </w:tc>
        <w:tc>
          <w:tcPr>
            <w:tcW w:w="1055" w:type="dxa"/>
            <w:shd w:val="clear" w:color="auto" w:fill="auto"/>
            <w:vAlign w:val="center"/>
          </w:tcPr>
          <w:p>
            <w:pPr>
              <w:pStyle w:val="63"/>
            </w:pPr>
            <w:r>
              <w:rPr>
                <w:rFonts w:hint="eastAsia"/>
              </w:rPr>
              <w:t>109.3604</w:t>
            </w:r>
          </w:p>
        </w:tc>
        <w:tc>
          <w:tcPr>
            <w:tcW w:w="945" w:type="dxa"/>
            <w:shd w:val="clear" w:color="auto" w:fill="auto"/>
            <w:vAlign w:val="center"/>
          </w:tcPr>
          <w:p>
            <w:pPr>
              <w:pStyle w:val="63"/>
            </w:pPr>
            <w:r>
              <w:rPr>
                <w:rFonts w:hint="eastAsia"/>
              </w:rPr>
              <w:t>31.0265</w:t>
            </w:r>
          </w:p>
        </w:tc>
      </w:tr>
    </w:tbl>
    <w:p/>
    <w:p>
      <w:pPr>
        <w:pStyle w:val="14"/>
        <w:keepNext/>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6.2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w:t>
      </w:r>
      <w:r>
        <w:rPr>
          <w:rFonts w:hint="eastAsia"/>
        </w:rPr>
        <w:t>废水污染物排放执行标准表</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1559"/>
        <w:gridCol w:w="291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pStyle w:val="63"/>
            </w:pPr>
            <w:r>
              <w:rPr>
                <w:rFonts w:hint="eastAsia"/>
              </w:rPr>
              <w:t>序号</w:t>
            </w:r>
          </w:p>
        </w:tc>
        <w:tc>
          <w:tcPr>
            <w:tcW w:w="1843" w:type="dxa"/>
            <w:vMerge w:val="restart"/>
            <w:vAlign w:val="center"/>
          </w:tcPr>
          <w:p>
            <w:pPr>
              <w:pStyle w:val="63"/>
            </w:pPr>
            <w:r>
              <w:rPr>
                <w:rFonts w:hint="eastAsia"/>
              </w:rPr>
              <w:t>排放口编号</w:t>
            </w:r>
          </w:p>
        </w:tc>
        <w:tc>
          <w:tcPr>
            <w:tcW w:w="1559" w:type="dxa"/>
            <w:vMerge w:val="restart"/>
            <w:vAlign w:val="center"/>
          </w:tcPr>
          <w:p>
            <w:pPr>
              <w:pStyle w:val="63"/>
            </w:pPr>
            <w:r>
              <w:rPr>
                <w:rFonts w:hint="eastAsia"/>
              </w:rPr>
              <w:t>污染物种类</w:t>
            </w:r>
          </w:p>
        </w:tc>
        <w:tc>
          <w:tcPr>
            <w:tcW w:w="4700" w:type="dxa"/>
            <w:gridSpan w:val="2"/>
            <w:vAlign w:val="center"/>
          </w:tcPr>
          <w:p>
            <w:pPr>
              <w:pStyle w:val="63"/>
            </w:pPr>
            <w:r>
              <w:rPr>
                <w:rFonts w:hint="eastAsia"/>
              </w:rPr>
              <w:t>《城镇污水处理厂污染物排放标准》（GB18918-2002）一级A标准（摘录）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vAlign w:val="center"/>
          </w:tcPr>
          <w:p>
            <w:pPr>
              <w:pStyle w:val="63"/>
            </w:pP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rPr>
                <w:rFonts w:hint="eastAsia"/>
              </w:rPr>
              <w:t>名称</w:t>
            </w:r>
          </w:p>
        </w:tc>
        <w:tc>
          <w:tcPr>
            <w:tcW w:w="1790" w:type="dxa"/>
            <w:vAlign w:val="center"/>
          </w:tcPr>
          <w:p>
            <w:pPr>
              <w:pStyle w:val="63"/>
            </w:pPr>
            <w:r>
              <w:rPr>
                <w:rFonts w:hint="eastAsia"/>
              </w:rPr>
              <w:t>浓度限值mg</w:t>
            </w:r>
            <w:r>
              <w:t>/</w:t>
            </w:r>
            <w:r>
              <w:rPr>
                <w:rFonts w:hint="eastAsia"/>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1</w:t>
            </w:r>
          </w:p>
        </w:tc>
        <w:tc>
          <w:tcPr>
            <w:tcW w:w="1843" w:type="dxa"/>
            <w:vMerge w:val="restart"/>
            <w:vAlign w:val="center"/>
          </w:tcPr>
          <w:p>
            <w:pPr>
              <w:pStyle w:val="63"/>
            </w:pPr>
            <w:r>
              <w:t>DW001</w:t>
            </w:r>
          </w:p>
        </w:tc>
        <w:tc>
          <w:tcPr>
            <w:tcW w:w="1559" w:type="dxa"/>
            <w:vMerge w:val="restart"/>
            <w:vAlign w:val="center"/>
          </w:tcPr>
          <w:p>
            <w:pPr>
              <w:pStyle w:val="63"/>
            </w:pPr>
            <w:r>
              <w:rPr>
                <w:rFonts w:hint="eastAsia"/>
              </w:rPr>
              <w:t>基本项目</w:t>
            </w:r>
          </w:p>
        </w:tc>
        <w:tc>
          <w:tcPr>
            <w:tcW w:w="2910" w:type="dxa"/>
            <w:vAlign w:val="center"/>
          </w:tcPr>
          <w:p>
            <w:pPr>
              <w:pStyle w:val="63"/>
            </w:pPr>
            <w:r>
              <w:t>pH</w:t>
            </w:r>
          </w:p>
        </w:tc>
        <w:tc>
          <w:tcPr>
            <w:tcW w:w="1790" w:type="dxa"/>
            <w:vAlign w:val="center"/>
          </w:tcPr>
          <w:p>
            <w:pPr>
              <w:pStyle w:val="63"/>
            </w:pPr>
            <w: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2</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COD</w:t>
            </w:r>
          </w:p>
        </w:tc>
        <w:tc>
          <w:tcPr>
            <w:tcW w:w="1790" w:type="dxa"/>
            <w:vAlign w:val="center"/>
          </w:tcPr>
          <w:p>
            <w:pPr>
              <w:pStyle w:val="63"/>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3</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BOD</w:t>
            </w:r>
            <w:r>
              <w:rPr>
                <w:vertAlign w:val="subscript"/>
              </w:rPr>
              <w:t>5</w:t>
            </w:r>
          </w:p>
        </w:tc>
        <w:tc>
          <w:tcPr>
            <w:tcW w:w="1790" w:type="dxa"/>
            <w:vAlign w:val="center"/>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4</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NH</w:t>
            </w:r>
            <w:r>
              <w:rPr>
                <w:vertAlign w:val="subscript"/>
              </w:rPr>
              <w:t>3</w:t>
            </w:r>
            <w:r>
              <w:t>-N</w:t>
            </w:r>
          </w:p>
        </w:tc>
        <w:tc>
          <w:tcPr>
            <w:tcW w:w="1790" w:type="dxa"/>
            <w:vAlign w:val="center"/>
          </w:tcPr>
          <w:p>
            <w:pPr>
              <w:pStyle w:val="63"/>
            </w:pPr>
            <w: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5</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总磷</w:t>
            </w:r>
          </w:p>
        </w:tc>
        <w:tc>
          <w:tcPr>
            <w:tcW w:w="1790" w:type="dxa"/>
            <w:vAlign w:val="center"/>
          </w:tcPr>
          <w:p>
            <w:pPr>
              <w:pStyle w:val="63"/>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6</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总氮</w:t>
            </w:r>
          </w:p>
        </w:tc>
        <w:tc>
          <w:tcPr>
            <w:tcW w:w="1790" w:type="dxa"/>
            <w:vAlign w:val="center"/>
          </w:tcPr>
          <w:p>
            <w:pPr>
              <w:pStyle w:val="63"/>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7</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石油类</w:t>
            </w:r>
          </w:p>
        </w:tc>
        <w:tc>
          <w:tcPr>
            <w:tcW w:w="1790" w:type="dxa"/>
            <w:vAlign w:val="center"/>
          </w:tcPr>
          <w:p>
            <w:pPr>
              <w:pStyle w:val="63"/>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8</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SS</w:t>
            </w:r>
          </w:p>
        </w:tc>
        <w:tc>
          <w:tcPr>
            <w:tcW w:w="1790" w:type="dxa"/>
            <w:vAlign w:val="center"/>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9</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阴离子表面活性剂</w:t>
            </w:r>
          </w:p>
        </w:tc>
        <w:tc>
          <w:tcPr>
            <w:tcW w:w="1790" w:type="dxa"/>
            <w:vAlign w:val="center"/>
          </w:tcPr>
          <w:p>
            <w:pPr>
              <w:pStyle w:val="63"/>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1</w:t>
            </w:r>
            <w:r>
              <w:t>0</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动植物油</w:t>
            </w:r>
          </w:p>
        </w:tc>
        <w:tc>
          <w:tcPr>
            <w:tcW w:w="1790" w:type="dxa"/>
            <w:vAlign w:val="center"/>
          </w:tcPr>
          <w:p>
            <w:pPr>
              <w:pStyle w:val="63"/>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1</w:t>
            </w:r>
            <w:r>
              <w:t>1</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色度（稀释倍数）</w:t>
            </w:r>
          </w:p>
        </w:tc>
        <w:tc>
          <w:tcPr>
            <w:tcW w:w="1790" w:type="dxa"/>
            <w:vAlign w:val="center"/>
          </w:tcPr>
          <w:p>
            <w:pPr>
              <w:pStyle w:val="63"/>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pStyle w:val="63"/>
            </w:pPr>
            <w:r>
              <w:rPr>
                <w:rFonts w:hint="eastAsia"/>
              </w:rPr>
              <w:t>1</w:t>
            </w:r>
            <w:r>
              <w:t>2</w:t>
            </w:r>
          </w:p>
        </w:tc>
        <w:tc>
          <w:tcPr>
            <w:tcW w:w="1843" w:type="dxa"/>
            <w:vMerge w:val="continue"/>
            <w:vAlign w:val="center"/>
          </w:tcPr>
          <w:p>
            <w:pPr>
              <w:pStyle w:val="63"/>
            </w:pPr>
          </w:p>
        </w:tc>
        <w:tc>
          <w:tcPr>
            <w:tcW w:w="1559" w:type="dxa"/>
            <w:vMerge w:val="continue"/>
            <w:vAlign w:val="center"/>
          </w:tcPr>
          <w:p>
            <w:pPr>
              <w:pStyle w:val="63"/>
            </w:pPr>
          </w:p>
        </w:tc>
        <w:tc>
          <w:tcPr>
            <w:tcW w:w="2910" w:type="dxa"/>
            <w:vAlign w:val="center"/>
          </w:tcPr>
          <w:p>
            <w:pPr>
              <w:pStyle w:val="63"/>
            </w:pPr>
            <w:r>
              <w:t>粪大肠菌群数（个/L）</w:t>
            </w:r>
          </w:p>
        </w:tc>
        <w:tc>
          <w:tcPr>
            <w:tcW w:w="1790" w:type="dxa"/>
            <w:vAlign w:val="center"/>
          </w:tcPr>
          <w:p>
            <w:pPr>
              <w:pStyle w:val="63"/>
            </w:pPr>
            <w:r>
              <w:t>1000</w:t>
            </w:r>
          </w:p>
        </w:tc>
      </w:tr>
    </w:tbl>
    <w:p/>
    <w:p>
      <w:pPr>
        <w:pStyle w:val="14"/>
        <w:keepNext/>
      </w:pPr>
      <w:bookmarkStart w:id="125" w:name="_Ref143255299"/>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6.2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125"/>
      <w:r>
        <w:t xml:space="preserve">   </w:t>
      </w:r>
      <w:r>
        <w:rPr>
          <w:rFonts w:hint="eastAsia"/>
        </w:rPr>
        <w:t>废水污染物排放信息表（新建项目）</w:t>
      </w:r>
    </w:p>
    <w:tbl>
      <w:tblPr>
        <w:tblStyle w:val="3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491"/>
        <w:gridCol w:w="1491"/>
        <w:gridCol w:w="1491"/>
        <w:gridCol w:w="1493"/>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9" w:type="dxa"/>
            <w:vAlign w:val="center"/>
          </w:tcPr>
          <w:p>
            <w:pPr>
              <w:pStyle w:val="63"/>
            </w:pPr>
            <w:r>
              <w:rPr>
                <w:rFonts w:hint="eastAsia"/>
              </w:rPr>
              <w:t>序号</w:t>
            </w:r>
          </w:p>
        </w:tc>
        <w:tc>
          <w:tcPr>
            <w:tcW w:w="1491" w:type="dxa"/>
            <w:vAlign w:val="center"/>
          </w:tcPr>
          <w:p>
            <w:pPr>
              <w:pStyle w:val="63"/>
            </w:pPr>
            <w:r>
              <w:rPr>
                <w:rFonts w:hint="eastAsia"/>
              </w:rPr>
              <w:t>排污口编号</w:t>
            </w:r>
          </w:p>
        </w:tc>
        <w:tc>
          <w:tcPr>
            <w:tcW w:w="1491" w:type="dxa"/>
            <w:vAlign w:val="center"/>
          </w:tcPr>
          <w:p>
            <w:pPr>
              <w:pStyle w:val="63"/>
            </w:pPr>
            <w:r>
              <w:rPr>
                <w:rFonts w:hint="eastAsia"/>
              </w:rPr>
              <w:t>污染物种类</w:t>
            </w:r>
          </w:p>
        </w:tc>
        <w:tc>
          <w:tcPr>
            <w:tcW w:w="1491" w:type="dxa"/>
            <w:vAlign w:val="center"/>
          </w:tcPr>
          <w:p>
            <w:pPr>
              <w:pStyle w:val="63"/>
            </w:pPr>
            <w:r>
              <w:rPr>
                <w:rFonts w:hint="eastAsia"/>
              </w:rPr>
              <w:t>排放浓度mg</w:t>
            </w:r>
            <w:r>
              <w:t>/</w:t>
            </w:r>
            <w:r>
              <w:rPr>
                <w:rFonts w:hint="eastAsia"/>
              </w:rPr>
              <w:t>L</w:t>
            </w:r>
          </w:p>
        </w:tc>
        <w:tc>
          <w:tcPr>
            <w:tcW w:w="1493" w:type="dxa"/>
            <w:vAlign w:val="center"/>
          </w:tcPr>
          <w:p>
            <w:pPr>
              <w:pStyle w:val="63"/>
            </w:pPr>
            <w:r>
              <w:rPr>
                <w:rFonts w:hint="eastAsia"/>
              </w:rPr>
              <w:t>日排放量</w:t>
            </w:r>
          </w:p>
          <w:p>
            <w:pPr>
              <w:pStyle w:val="63"/>
            </w:pPr>
            <w:r>
              <w:rPr>
                <w:rFonts w:hint="eastAsia"/>
              </w:rPr>
              <w:t>t</w:t>
            </w:r>
            <w:r>
              <w:t>/</w:t>
            </w:r>
            <w:r>
              <w:rPr>
                <w:rFonts w:hint="eastAsia"/>
              </w:rPr>
              <w:t>d</w:t>
            </w:r>
          </w:p>
        </w:tc>
        <w:tc>
          <w:tcPr>
            <w:tcW w:w="1493" w:type="dxa"/>
            <w:vAlign w:val="center"/>
          </w:tcPr>
          <w:p>
            <w:pPr>
              <w:pStyle w:val="63"/>
            </w:pPr>
            <w:r>
              <w:rPr>
                <w:rFonts w:hint="eastAsia"/>
              </w:rPr>
              <w:t>年排放量t</w:t>
            </w:r>
            <w:r>
              <w:t>/</w:t>
            </w:r>
            <w:r>
              <w:rPr>
                <w:rFonts w:hint="eastAsi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9" w:type="dxa"/>
            <w:vAlign w:val="center"/>
          </w:tcPr>
          <w:p>
            <w:pPr>
              <w:pStyle w:val="63"/>
            </w:pPr>
            <w:r>
              <w:rPr>
                <w:rFonts w:hint="eastAsia"/>
              </w:rPr>
              <w:t>1</w:t>
            </w:r>
          </w:p>
        </w:tc>
        <w:tc>
          <w:tcPr>
            <w:tcW w:w="1491" w:type="dxa"/>
            <w:vMerge w:val="restart"/>
            <w:vAlign w:val="center"/>
          </w:tcPr>
          <w:p>
            <w:pPr>
              <w:pStyle w:val="63"/>
            </w:pPr>
            <w:r>
              <w:t>DW001</w:t>
            </w:r>
          </w:p>
        </w:tc>
        <w:tc>
          <w:tcPr>
            <w:tcW w:w="1491" w:type="dxa"/>
            <w:vAlign w:val="center"/>
          </w:tcPr>
          <w:p>
            <w:pPr>
              <w:pStyle w:val="63"/>
            </w:pPr>
            <w:r>
              <w:rPr>
                <w:rFonts w:hint="eastAsia"/>
              </w:rPr>
              <w:t>COD</w:t>
            </w:r>
          </w:p>
        </w:tc>
        <w:tc>
          <w:tcPr>
            <w:tcW w:w="1491" w:type="dxa"/>
            <w:vAlign w:val="center"/>
          </w:tcPr>
          <w:p>
            <w:pPr>
              <w:pStyle w:val="63"/>
            </w:pPr>
            <w:r>
              <w:t>50</w:t>
            </w:r>
          </w:p>
        </w:tc>
        <w:tc>
          <w:tcPr>
            <w:tcW w:w="1493" w:type="dxa"/>
          </w:tcPr>
          <w:p>
            <w:pPr>
              <w:pStyle w:val="63"/>
            </w:pPr>
            <w:r>
              <w:t>0.5</w:t>
            </w:r>
          </w:p>
        </w:tc>
        <w:tc>
          <w:tcPr>
            <w:tcW w:w="1493" w:type="dxa"/>
            <w:vAlign w:val="center"/>
          </w:tcPr>
          <w:p>
            <w:pPr>
              <w:pStyle w:val="63"/>
            </w:pPr>
            <w: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9" w:type="dxa"/>
            <w:vAlign w:val="center"/>
          </w:tcPr>
          <w:p>
            <w:pPr>
              <w:pStyle w:val="63"/>
            </w:pPr>
            <w:r>
              <w:rPr>
                <w:rFonts w:hint="eastAsia"/>
              </w:rPr>
              <w:t>2</w:t>
            </w:r>
          </w:p>
        </w:tc>
        <w:tc>
          <w:tcPr>
            <w:tcW w:w="1491" w:type="dxa"/>
            <w:vMerge w:val="continue"/>
            <w:vAlign w:val="center"/>
          </w:tcPr>
          <w:p>
            <w:pPr>
              <w:pStyle w:val="63"/>
            </w:pPr>
          </w:p>
        </w:tc>
        <w:tc>
          <w:tcPr>
            <w:tcW w:w="1491" w:type="dxa"/>
            <w:vAlign w:val="center"/>
          </w:tcPr>
          <w:p>
            <w:pPr>
              <w:pStyle w:val="63"/>
            </w:pPr>
            <w:r>
              <w:rPr>
                <w:rFonts w:hint="eastAsia"/>
              </w:rPr>
              <w:t>BOD</w:t>
            </w:r>
            <w:r>
              <w:rPr>
                <w:rFonts w:hint="eastAsia"/>
                <w:vertAlign w:val="subscript"/>
              </w:rPr>
              <w:t>5</w:t>
            </w:r>
          </w:p>
        </w:tc>
        <w:tc>
          <w:tcPr>
            <w:tcW w:w="1491" w:type="dxa"/>
            <w:vAlign w:val="center"/>
          </w:tcPr>
          <w:p>
            <w:pPr>
              <w:pStyle w:val="63"/>
            </w:pPr>
            <w:r>
              <w:t>10</w:t>
            </w:r>
          </w:p>
        </w:tc>
        <w:tc>
          <w:tcPr>
            <w:tcW w:w="1493" w:type="dxa"/>
          </w:tcPr>
          <w:p>
            <w:pPr>
              <w:pStyle w:val="63"/>
            </w:pPr>
            <w:r>
              <w:t>0.1</w:t>
            </w:r>
          </w:p>
        </w:tc>
        <w:tc>
          <w:tcPr>
            <w:tcW w:w="1493" w:type="dxa"/>
            <w:vAlign w:val="center"/>
          </w:tcPr>
          <w:p>
            <w:pPr>
              <w:pStyle w:val="63"/>
            </w:pPr>
            <w: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9" w:type="dxa"/>
            <w:vAlign w:val="center"/>
          </w:tcPr>
          <w:p>
            <w:pPr>
              <w:pStyle w:val="63"/>
            </w:pPr>
            <w:r>
              <w:rPr>
                <w:rFonts w:hint="eastAsia"/>
              </w:rPr>
              <w:t>3</w:t>
            </w:r>
          </w:p>
        </w:tc>
        <w:tc>
          <w:tcPr>
            <w:tcW w:w="1491" w:type="dxa"/>
            <w:vMerge w:val="continue"/>
            <w:vAlign w:val="center"/>
          </w:tcPr>
          <w:p>
            <w:pPr>
              <w:pStyle w:val="63"/>
            </w:pPr>
          </w:p>
        </w:tc>
        <w:tc>
          <w:tcPr>
            <w:tcW w:w="1491" w:type="dxa"/>
            <w:vAlign w:val="center"/>
          </w:tcPr>
          <w:p>
            <w:pPr>
              <w:pStyle w:val="63"/>
            </w:pPr>
            <w:r>
              <w:rPr>
                <w:rFonts w:hint="eastAsia"/>
              </w:rPr>
              <w:t>石油类</w:t>
            </w:r>
          </w:p>
        </w:tc>
        <w:tc>
          <w:tcPr>
            <w:tcW w:w="1491" w:type="dxa"/>
            <w:vAlign w:val="center"/>
          </w:tcPr>
          <w:p>
            <w:pPr>
              <w:pStyle w:val="63"/>
            </w:pPr>
            <w:r>
              <w:t>1</w:t>
            </w:r>
          </w:p>
        </w:tc>
        <w:tc>
          <w:tcPr>
            <w:tcW w:w="1493" w:type="dxa"/>
          </w:tcPr>
          <w:p>
            <w:pPr>
              <w:pStyle w:val="63"/>
            </w:pPr>
            <w:r>
              <w:t>0.01</w:t>
            </w:r>
          </w:p>
        </w:tc>
        <w:tc>
          <w:tcPr>
            <w:tcW w:w="1493" w:type="dxa"/>
            <w:vAlign w:val="center"/>
          </w:tcPr>
          <w:p>
            <w:pPr>
              <w:pStyle w:val="63"/>
            </w:pPr>
            <w: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9" w:type="dxa"/>
            <w:vAlign w:val="center"/>
          </w:tcPr>
          <w:p>
            <w:pPr>
              <w:pStyle w:val="63"/>
            </w:pPr>
            <w:r>
              <w:rPr>
                <w:rFonts w:hint="eastAsia"/>
              </w:rPr>
              <w:t>4</w:t>
            </w:r>
          </w:p>
        </w:tc>
        <w:tc>
          <w:tcPr>
            <w:tcW w:w="1491" w:type="dxa"/>
            <w:vMerge w:val="continue"/>
            <w:vAlign w:val="center"/>
          </w:tcPr>
          <w:p>
            <w:pPr>
              <w:pStyle w:val="63"/>
            </w:pPr>
          </w:p>
        </w:tc>
        <w:tc>
          <w:tcPr>
            <w:tcW w:w="1491" w:type="dxa"/>
            <w:vAlign w:val="center"/>
          </w:tcPr>
          <w:p>
            <w:pPr>
              <w:pStyle w:val="63"/>
            </w:pPr>
            <w:r>
              <w:rPr>
                <w:rFonts w:hint="eastAsia"/>
              </w:rPr>
              <w:t>动植物油</w:t>
            </w:r>
          </w:p>
        </w:tc>
        <w:tc>
          <w:tcPr>
            <w:tcW w:w="1491" w:type="dxa"/>
            <w:vAlign w:val="center"/>
          </w:tcPr>
          <w:p>
            <w:pPr>
              <w:pStyle w:val="63"/>
            </w:pPr>
            <w:r>
              <w:t>1</w:t>
            </w:r>
          </w:p>
        </w:tc>
        <w:tc>
          <w:tcPr>
            <w:tcW w:w="1493" w:type="dxa"/>
          </w:tcPr>
          <w:p>
            <w:pPr>
              <w:pStyle w:val="63"/>
            </w:pPr>
            <w:r>
              <w:t>0.01</w:t>
            </w:r>
          </w:p>
        </w:tc>
        <w:tc>
          <w:tcPr>
            <w:tcW w:w="1493" w:type="dxa"/>
            <w:vAlign w:val="center"/>
          </w:tcPr>
          <w:p>
            <w:pPr>
              <w:pStyle w:val="63"/>
            </w:pPr>
            <w: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9" w:type="dxa"/>
            <w:vAlign w:val="center"/>
          </w:tcPr>
          <w:p>
            <w:pPr>
              <w:pStyle w:val="63"/>
            </w:pPr>
            <w:r>
              <w:rPr>
                <w:rFonts w:hint="eastAsia"/>
              </w:rPr>
              <w:t>5</w:t>
            </w:r>
          </w:p>
        </w:tc>
        <w:tc>
          <w:tcPr>
            <w:tcW w:w="1491" w:type="dxa"/>
            <w:vMerge w:val="continue"/>
            <w:vAlign w:val="center"/>
          </w:tcPr>
          <w:p>
            <w:pPr>
              <w:pStyle w:val="63"/>
            </w:pPr>
          </w:p>
        </w:tc>
        <w:tc>
          <w:tcPr>
            <w:tcW w:w="1491" w:type="dxa"/>
            <w:vAlign w:val="center"/>
          </w:tcPr>
          <w:p>
            <w:pPr>
              <w:pStyle w:val="63"/>
            </w:pPr>
            <w:r>
              <w:rPr>
                <w:rFonts w:hint="eastAsia"/>
              </w:rPr>
              <w:t>氨氮</w:t>
            </w:r>
          </w:p>
        </w:tc>
        <w:tc>
          <w:tcPr>
            <w:tcW w:w="1491" w:type="dxa"/>
            <w:vAlign w:val="center"/>
          </w:tcPr>
          <w:p>
            <w:pPr>
              <w:pStyle w:val="63"/>
            </w:pPr>
            <w:r>
              <w:t>5</w:t>
            </w:r>
          </w:p>
        </w:tc>
        <w:tc>
          <w:tcPr>
            <w:tcW w:w="1493" w:type="dxa"/>
          </w:tcPr>
          <w:p>
            <w:pPr>
              <w:pStyle w:val="63"/>
            </w:pPr>
            <w:r>
              <w:t>0.05</w:t>
            </w:r>
          </w:p>
        </w:tc>
        <w:tc>
          <w:tcPr>
            <w:tcW w:w="1493" w:type="dxa"/>
            <w:vAlign w:val="center"/>
          </w:tcPr>
          <w:p>
            <w:pPr>
              <w:pStyle w:val="63"/>
            </w:pPr>
            <w: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9" w:type="dxa"/>
            <w:vAlign w:val="center"/>
          </w:tcPr>
          <w:p>
            <w:pPr>
              <w:pStyle w:val="63"/>
            </w:pPr>
            <w:r>
              <w:rPr>
                <w:rFonts w:hint="eastAsia"/>
              </w:rPr>
              <w:t>6</w:t>
            </w:r>
          </w:p>
        </w:tc>
        <w:tc>
          <w:tcPr>
            <w:tcW w:w="1491" w:type="dxa"/>
            <w:vMerge w:val="continue"/>
            <w:vAlign w:val="center"/>
          </w:tcPr>
          <w:p>
            <w:pPr>
              <w:pStyle w:val="63"/>
            </w:pPr>
          </w:p>
        </w:tc>
        <w:tc>
          <w:tcPr>
            <w:tcW w:w="1491" w:type="dxa"/>
            <w:vAlign w:val="center"/>
          </w:tcPr>
          <w:p>
            <w:pPr>
              <w:pStyle w:val="63"/>
            </w:pPr>
            <w:r>
              <w:rPr>
                <w:rFonts w:hint="eastAsia"/>
              </w:rPr>
              <w:t>SS</w:t>
            </w:r>
          </w:p>
        </w:tc>
        <w:tc>
          <w:tcPr>
            <w:tcW w:w="1491" w:type="dxa"/>
            <w:vAlign w:val="center"/>
          </w:tcPr>
          <w:p>
            <w:pPr>
              <w:pStyle w:val="63"/>
            </w:pPr>
            <w:r>
              <w:t>10</w:t>
            </w:r>
          </w:p>
        </w:tc>
        <w:tc>
          <w:tcPr>
            <w:tcW w:w="1493" w:type="dxa"/>
          </w:tcPr>
          <w:p>
            <w:pPr>
              <w:pStyle w:val="63"/>
            </w:pPr>
            <w:r>
              <w:t>0.1</w:t>
            </w:r>
          </w:p>
        </w:tc>
        <w:tc>
          <w:tcPr>
            <w:tcW w:w="1493" w:type="dxa"/>
            <w:vAlign w:val="center"/>
          </w:tcPr>
          <w:p>
            <w:pPr>
              <w:pStyle w:val="63"/>
            </w:pPr>
            <w: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9" w:type="dxa"/>
            <w:vAlign w:val="center"/>
          </w:tcPr>
          <w:p>
            <w:pPr>
              <w:pStyle w:val="63"/>
            </w:pPr>
            <w:r>
              <w:rPr>
                <w:rFonts w:hint="eastAsia"/>
              </w:rPr>
              <w:t>7</w:t>
            </w:r>
          </w:p>
        </w:tc>
        <w:tc>
          <w:tcPr>
            <w:tcW w:w="1491" w:type="dxa"/>
            <w:vMerge w:val="continue"/>
            <w:vAlign w:val="center"/>
          </w:tcPr>
          <w:p>
            <w:pPr>
              <w:pStyle w:val="63"/>
            </w:pPr>
          </w:p>
        </w:tc>
        <w:tc>
          <w:tcPr>
            <w:tcW w:w="1491" w:type="dxa"/>
            <w:vAlign w:val="center"/>
          </w:tcPr>
          <w:p>
            <w:pPr>
              <w:pStyle w:val="63"/>
            </w:pPr>
            <w:r>
              <w:rPr>
                <w:rFonts w:hint="eastAsia"/>
              </w:rPr>
              <w:t>总磷</w:t>
            </w:r>
          </w:p>
        </w:tc>
        <w:tc>
          <w:tcPr>
            <w:tcW w:w="1491" w:type="dxa"/>
            <w:vAlign w:val="center"/>
          </w:tcPr>
          <w:p>
            <w:pPr>
              <w:pStyle w:val="63"/>
            </w:pPr>
            <w:r>
              <w:t>0.5</w:t>
            </w:r>
          </w:p>
        </w:tc>
        <w:tc>
          <w:tcPr>
            <w:tcW w:w="1493" w:type="dxa"/>
          </w:tcPr>
          <w:p>
            <w:pPr>
              <w:pStyle w:val="63"/>
            </w:pPr>
            <w:r>
              <w:t>0.005</w:t>
            </w:r>
          </w:p>
        </w:tc>
        <w:tc>
          <w:tcPr>
            <w:tcW w:w="1493" w:type="dxa"/>
            <w:vAlign w:val="center"/>
          </w:tcPr>
          <w:p>
            <w:pPr>
              <w:pStyle w:val="63"/>
            </w:pPr>
            <w: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9" w:type="dxa"/>
            <w:vAlign w:val="center"/>
          </w:tcPr>
          <w:p>
            <w:pPr>
              <w:pStyle w:val="63"/>
            </w:pPr>
            <w:r>
              <w:rPr>
                <w:rFonts w:hint="eastAsia"/>
              </w:rPr>
              <w:t>8</w:t>
            </w:r>
          </w:p>
        </w:tc>
        <w:tc>
          <w:tcPr>
            <w:tcW w:w="1491" w:type="dxa"/>
            <w:vMerge w:val="continue"/>
            <w:vAlign w:val="center"/>
          </w:tcPr>
          <w:p>
            <w:pPr>
              <w:pStyle w:val="63"/>
            </w:pPr>
          </w:p>
        </w:tc>
        <w:tc>
          <w:tcPr>
            <w:tcW w:w="1491" w:type="dxa"/>
            <w:vAlign w:val="center"/>
          </w:tcPr>
          <w:p>
            <w:pPr>
              <w:pStyle w:val="63"/>
            </w:pPr>
            <w:r>
              <w:rPr>
                <w:rFonts w:hint="eastAsia"/>
              </w:rPr>
              <w:t>总氮</w:t>
            </w:r>
          </w:p>
        </w:tc>
        <w:tc>
          <w:tcPr>
            <w:tcW w:w="1491" w:type="dxa"/>
            <w:vAlign w:val="center"/>
          </w:tcPr>
          <w:p>
            <w:pPr>
              <w:pStyle w:val="63"/>
            </w:pPr>
            <w:r>
              <w:t>15</w:t>
            </w:r>
          </w:p>
        </w:tc>
        <w:tc>
          <w:tcPr>
            <w:tcW w:w="1493" w:type="dxa"/>
          </w:tcPr>
          <w:p>
            <w:pPr>
              <w:pStyle w:val="63"/>
            </w:pPr>
            <w:r>
              <w:t>0.15</w:t>
            </w:r>
          </w:p>
        </w:tc>
        <w:tc>
          <w:tcPr>
            <w:tcW w:w="1493" w:type="dxa"/>
            <w:vAlign w:val="center"/>
          </w:tcPr>
          <w:p>
            <w:pPr>
              <w:pStyle w:val="63"/>
            </w:pPr>
            <w:r>
              <w:t>54.75</w:t>
            </w:r>
          </w:p>
        </w:tc>
      </w:tr>
    </w:tbl>
    <w:p>
      <w:pPr>
        <w:pStyle w:val="5"/>
        <w:ind w:firstLine="480"/>
      </w:pPr>
    </w:p>
    <w:p>
      <w:pPr>
        <w:pStyle w:val="3"/>
        <w:spacing w:before="156" w:after="156"/>
      </w:pPr>
      <w:r>
        <w:rPr>
          <w:rFonts w:hint="eastAsia"/>
        </w:rPr>
        <w:t>地表水环境影响评价自查</w:t>
      </w:r>
    </w:p>
    <w:p>
      <w:pPr>
        <w:pStyle w:val="5"/>
        <w:ind w:firstLine="480"/>
      </w:pPr>
      <w:r>
        <w:rPr>
          <w:rFonts w:hint="eastAsia"/>
        </w:rPr>
        <w:t>项目地表水环境影响评价自查见</w:t>
      </w:r>
      <w:r>
        <w:fldChar w:fldCharType="begin"/>
      </w:r>
      <w:r>
        <w:instrText xml:space="preserve"> </w:instrText>
      </w:r>
      <w:r>
        <w:rPr>
          <w:rFonts w:hint="eastAsia"/>
        </w:rPr>
        <w:instrText xml:space="preserve">REF _Ref173682042 \h</w:instrText>
      </w:r>
      <w:r>
        <w:instrText xml:space="preserve"> </w:instrText>
      </w:r>
      <w:r>
        <w:fldChar w:fldCharType="separate"/>
      </w:r>
      <w:r>
        <w:t>表 6.3</w:t>
      </w:r>
      <w:r>
        <w:noBreakHyphen/>
      </w:r>
      <w:r>
        <w:t>1</w:t>
      </w:r>
      <w:r>
        <w:fldChar w:fldCharType="end"/>
      </w:r>
      <w:r>
        <w:rPr>
          <w:rFonts w:hint="eastAsia"/>
        </w:rPr>
        <w:t>。</w:t>
      </w:r>
    </w:p>
    <w:p>
      <w:pPr>
        <w:pStyle w:val="14"/>
        <w:keepNext/>
      </w:pPr>
      <w:bookmarkStart w:id="126" w:name="_Ref173682042"/>
      <w:r>
        <w:t xml:space="preserve">表 </w:t>
      </w:r>
      <w:r>
        <w:fldChar w:fldCharType="begin"/>
      </w:r>
      <w:r>
        <w:instrText xml:space="preserve"> STYLEREF 2 \s </w:instrText>
      </w:r>
      <w:r>
        <w:fldChar w:fldCharType="separate"/>
      </w:r>
      <w:r>
        <w:t>6.3</w:t>
      </w:r>
      <w:r>
        <w:fldChar w:fldCharType="end"/>
      </w:r>
      <w:r>
        <w:noBreakHyphen/>
      </w:r>
      <w:r>
        <w:fldChar w:fldCharType="begin"/>
      </w:r>
      <w:r>
        <w:instrText xml:space="preserve"> SEQ 表 \* ARABIC \s 2 </w:instrText>
      </w:r>
      <w:r>
        <w:fldChar w:fldCharType="separate"/>
      </w:r>
      <w:r>
        <w:t>1</w:t>
      </w:r>
      <w:r>
        <w:fldChar w:fldCharType="end"/>
      </w:r>
      <w:bookmarkEnd w:id="126"/>
      <w:r>
        <w:rPr>
          <w:rFonts w:hint="eastAsia"/>
        </w:rPr>
        <w:t xml:space="preserve">   地表水环境影响评价自查表</w:t>
      </w:r>
    </w:p>
    <w:tbl>
      <w:tblPr>
        <w:tblStyle w:val="38"/>
        <w:tblW w:w="8942" w:type="dxa"/>
        <w:tblInd w:w="0" w:type="dxa"/>
        <w:tblLayout w:type="fixed"/>
        <w:tblCellMar>
          <w:top w:w="0" w:type="dxa"/>
          <w:left w:w="108" w:type="dxa"/>
          <w:bottom w:w="0" w:type="dxa"/>
          <w:right w:w="108" w:type="dxa"/>
        </w:tblCellMar>
      </w:tblPr>
      <w:tblGrid>
        <w:gridCol w:w="341"/>
        <w:gridCol w:w="1851"/>
        <w:gridCol w:w="1331"/>
        <w:gridCol w:w="331"/>
        <w:gridCol w:w="554"/>
        <w:gridCol w:w="442"/>
        <w:gridCol w:w="667"/>
        <w:gridCol w:w="663"/>
        <w:gridCol w:w="165"/>
        <w:gridCol w:w="279"/>
        <w:gridCol w:w="885"/>
        <w:gridCol w:w="34"/>
        <w:gridCol w:w="370"/>
        <w:gridCol w:w="1018"/>
        <w:gridCol w:w="11"/>
      </w:tblGrid>
      <w:tr>
        <w:tblPrEx>
          <w:tblLayout w:type="fixed"/>
          <w:tblCellMar>
            <w:top w:w="0" w:type="dxa"/>
            <w:left w:w="108" w:type="dxa"/>
            <w:bottom w:w="0" w:type="dxa"/>
            <w:right w:w="108" w:type="dxa"/>
          </w:tblCellMar>
        </w:tblPrEx>
        <w:trPr>
          <w:trHeight w:val="299" w:hRule="atLeast"/>
        </w:trPr>
        <w:tc>
          <w:tcPr>
            <w:tcW w:w="2192"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工作内容</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自查项目</w:t>
            </w:r>
          </w:p>
        </w:tc>
      </w:tr>
      <w:tr>
        <w:tblPrEx>
          <w:tblLayout w:type="fixed"/>
          <w:tblCellMar>
            <w:top w:w="0" w:type="dxa"/>
            <w:left w:w="108" w:type="dxa"/>
            <w:bottom w:w="0" w:type="dxa"/>
            <w:right w:w="108" w:type="dxa"/>
          </w:tblCellMar>
        </w:tblPrEx>
        <w:trPr>
          <w:trHeight w:val="299" w:hRule="atLeast"/>
        </w:trPr>
        <w:tc>
          <w:tcPr>
            <w:tcW w:w="34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影</w:t>
            </w:r>
          </w:p>
          <w:p>
            <w:pPr>
              <w:pStyle w:val="63"/>
            </w:pPr>
            <w:r>
              <w:rPr>
                <w:rFonts w:hint="eastAsia"/>
              </w:rPr>
              <w:t>响</w:t>
            </w:r>
          </w:p>
          <w:p>
            <w:pPr>
              <w:pStyle w:val="63"/>
            </w:pPr>
            <w:r>
              <w:rPr>
                <w:rFonts w:hint="eastAsia"/>
              </w:rPr>
              <w:t>识</w:t>
            </w:r>
          </w:p>
          <w:p>
            <w:pPr>
              <w:pStyle w:val="63"/>
            </w:pPr>
            <w:r>
              <w:rPr>
                <w:rFonts w:hint="eastAsia"/>
              </w:rPr>
              <w:t>别</w:t>
            </w: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影响类型</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水污染影响型</w:t>
            </w:r>
            <w:r>
              <w:rPr>
                <w:rFonts w:cs="Calibri"/>
                <w:w w:val="224"/>
              </w:rPr>
              <w:t> </w:t>
            </w:r>
            <w:r>
              <w:rPr/>
              <w:sym w:font="Wingdings 2" w:char="0052"/>
            </w:r>
            <w:r>
              <w:rPr>
                <w:rFonts w:hint="eastAsia"/>
              </w:rPr>
              <w:t>；水文要素影响型</w:t>
            </w:r>
            <w:r>
              <w:rPr>
                <w:rFonts w:cs="Calibri"/>
                <w:w w:val="224"/>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水环境保护目标</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jc w:val="left"/>
            </w:pPr>
            <w:r>
              <w:rPr>
                <w:rFonts w:hint="eastAsia"/>
              </w:rPr>
              <w:t>饮用水水源保护区</w:t>
            </w:r>
            <w:r>
              <w:rPr>
                <w:rFonts w:cs="Calibri"/>
                <w:w w:val="224"/>
              </w:rPr>
              <w:t> </w:t>
            </w:r>
            <w:r>
              <w:rPr>
                <w:rFonts w:hint="eastAsia"/>
              </w:rPr>
              <w:t>□；饮用水取水口</w:t>
            </w:r>
            <w:r>
              <w:rPr>
                <w:rFonts w:cs="Calibri"/>
                <w:w w:val="224"/>
              </w:rPr>
              <w:t> </w:t>
            </w:r>
            <w:r>
              <w:rPr>
                <w:rFonts w:hint="eastAsia"/>
              </w:rPr>
              <w:t>□；涉水的自然保护区</w:t>
            </w:r>
            <w:r>
              <w:rPr>
                <w:rFonts w:cs="Calibri"/>
                <w:w w:val="225"/>
              </w:rPr>
              <w:t> </w:t>
            </w:r>
            <w:r>
              <w:rPr>
                <w:rFonts w:hint="eastAsia"/>
              </w:rPr>
              <w:t>□；重要湿地</w:t>
            </w:r>
            <w:r>
              <w:rPr>
                <w:rFonts w:cs="Calibri"/>
                <w:w w:val="224"/>
              </w:rPr>
              <w:t> </w:t>
            </w:r>
            <w:r>
              <w:rPr>
                <w:rFonts w:hint="eastAsia"/>
              </w:rPr>
              <w:t>□；</w:t>
            </w:r>
          </w:p>
          <w:p>
            <w:pPr>
              <w:pStyle w:val="63"/>
              <w:jc w:val="left"/>
            </w:pPr>
            <w:r>
              <w:rPr>
                <w:rFonts w:hint="eastAsia"/>
              </w:rPr>
              <w:t>重点保护与珍稀水生生物的栖息地</w:t>
            </w:r>
            <w:r>
              <w:rPr>
                <w:rFonts w:cs="Calibri"/>
                <w:w w:val="224"/>
              </w:rPr>
              <w:t> </w:t>
            </w:r>
            <w:r>
              <w:rPr>
                <w:rFonts w:hint="eastAsia"/>
              </w:rPr>
              <w:t>□；重要水生生物的自然产卵场及索饵场、越冬场和洄游通道、天然渔场等渔业水体</w:t>
            </w:r>
            <w:r>
              <w:rPr>
                <w:rFonts w:cs="Calibri"/>
                <w:w w:val="224"/>
              </w:rPr>
              <w:t>  </w:t>
            </w:r>
            <w:r>
              <w:rPr/>
              <w:sym w:font="Wingdings 2" w:char="0052"/>
            </w:r>
            <w:r>
              <w:rPr>
                <w:rFonts w:hint="eastAsia"/>
              </w:rPr>
              <w:t>；涉水的风景名胜区</w:t>
            </w:r>
            <w:r>
              <w:rPr>
                <w:rFonts w:cs="Calibri"/>
                <w:w w:val="224"/>
              </w:rPr>
              <w:t> </w:t>
            </w:r>
            <w:r>
              <w:rPr>
                <w:rFonts w:hint="eastAsia"/>
              </w:rPr>
              <w:t>□；其他</w:t>
            </w:r>
            <w:r>
              <w:rPr>
                <w:rFonts w:cs="Calibri"/>
                <w:w w:val="224"/>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影响途径</w:t>
            </w: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水污染影响型</w:t>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水文要素影响型</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直接排放</w:t>
            </w:r>
            <w:r>
              <w:rPr>
                <w:rFonts w:cs="Calibri"/>
                <w:w w:val="224"/>
              </w:rPr>
              <w:t> </w:t>
            </w:r>
            <w:r>
              <w:rPr/>
              <w:sym w:font="Wingdings 2" w:char="0052"/>
            </w:r>
            <w:r>
              <w:rPr>
                <w:rFonts w:hint="eastAsia"/>
              </w:rPr>
              <w:t>；间接排放</w:t>
            </w:r>
            <w:r>
              <w:rPr>
                <w:rFonts w:cs="Calibri"/>
                <w:w w:val="224"/>
              </w:rPr>
              <w:t> </w:t>
            </w:r>
            <w:r>
              <w:rPr>
                <w:rFonts w:hint="eastAsia"/>
              </w:rPr>
              <w:t>□；其他</w:t>
            </w:r>
            <w:r>
              <w:rPr>
                <w:rFonts w:cs="Calibri"/>
                <w:w w:val="224"/>
              </w:rPr>
              <w:t> </w:t>
            </w:r>
            <w:r>
              <w:rPr>
                <w:rFonts w:hint="eastAsia"/>
              </w:rPr>
              <w:t>□</w:t>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水温</w:t>
            </w:r>
            <w:r>
              <w:rPr>
                <w:rFonts w:cs="Calibri"/>
                <w:w w:val="224"/>
              </w:rPr>
              <w:t> </w:t>
            </w:r>
            <w:r>
              <w:rPr>
                <w:rFonts w:hint="eastAsia"/>
              </w:rPr>
              <w:t>□；径流</w:t>
            </w:r>
            <w:r>
              <w:rPr>
                <w:rFonts w:cs="Calibri"/>
                <w:w w:val="224"/>
              </w:rPr>
              <w:t> </w:t>
            </w:r>
            <w:r>
              <w:rPr>
                <w:rFonts w:hint="eastAsia"/>
              </w:rPr>
              <w:t>□；水域面积</w:t>
            </w:r>
            <w:r>
              <w:rPr>
                <w:rFonts w:cs="Calibri"/>
                <w:w w:val="219"/>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影响因子</w:t>
            </w: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持久性污染物</w:t>
            </w:r>
            <w:r>
              <w:rPr>
                <w:rFonts w:cs="Calibri"/>
                <w:w w:val="224"/>
              </w:rPr>
              <w:t> </w:t>
            </w:r>
            <w:r>
              <w:rPr>
                <w:rFonts w:hint="eastAsia"/>
              </w:rPr>
              <w:t>□；有毒有害污染物</w:t>
            </w:r>
            <w:r>
              <w:rPr>
                <w:rFonts w:cs="Calibri"/>
                <w:w w:val="224"/>
              </w:rPr>
              <w:t> </w:t>
            </w:r>
            <w:r>
              <w:rPr>
                <w:rFonts w:hint="eastAsia"/>
              </w:rPr>
              <w:t>□；</w:t>
            </w:r>
          </w:p>
          <w:p>
            <w:pPr>
              <w:pStyle w:val="63"/>
            </w:pPr>
            <w:r>
              <w:rPr>
                <w:rFonts w:hint="eastAsia"/>
              </w:rPr>
              <w:t xml:space="preserve">非持久性污染物 </w:t>
            </w:r>
            <w:r>
              <w:rPr/>
              <w:sym w:font="Wingdings 2" w:char="0052"/>
            </w:r>
            <w:r>
              <w:rPr>
                <w:rFonts w:hint="eastAsia"/>
              </w:rPr>
              <w:t>；</w:t>
            </w:r>
            <w:r>
              <w:t>pH</w:t>
            </w:r>
            <w:r>
              <w:rPr>
                <w:rFonts w:cs="Calibri"/>
                <w:spacing w:val="3"/>
              </w:rPr>
              <w:t> </w:t>
            </w:r>
            <w:r>
              <w:rPr>
                <w:rFonts w:hint="eastAsia"/>
              </w:rPr>
              <w:t>值</w:t>
            </w:r>
            <w:r>
              <w:rPr>
                <w:rFonts w:cs="Calibri"/>
                <w:w w:val="224"/>
              </w:rPr>
              <w:t> </w:t>
            </w:r>
            <w:r>
              <w:rPr/>
              <w:sym w:font="Wingdings 2" w:char="0052"/>
            </w:r>
            <w:r>
              <w:rPr>
                <w:rFonts w:hint="eastAsia"/>
              </w:rPr>
              <w:t>；热污染</w:t>
            </w:r>
            <w:r>
              <w:rPr>
                <w:rFonts w:cs="Calibri"/>
                <w:w w:val="218"/>
              </w:rPr>
              <w:t> </w:t>
            </w:r>
            <w:r>
              <w:rPr>
                <w:rFonts w:hint="eastAsia"/>
              </w:rPr>
              <w:t>□；富营养化</w:t>
            </w:r>
            <w:r>
              <w:rPr>
                <w:rFonts w:cs="Calibri"/>
                <w:w w:val="224"/>
              </w:rPr>
              <w:t> </w:t>
            </w:r>
            <w:r>
              <w:rPr>
                <w:rFonts w:hint="eastAsia"/>
              </w:rPr>
              <w:t>□；其他</w:t>
            </w:r>
            <w:r>
              <w:rPr>
                <w:rFonts w:cs="Calibri"/>
                <w:w w:val="224"/>
              </w:rPr>
              <w:t> </w:t>
            </w:r>
            <w:r>
              <w:rPr/>
              <w:sym w:font="Wingdings 2" w:char="0052"/>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水温</w:t>
            </w:r>
            <w:r>
              <w:rPr>
                <w:rFonts w:cs="Calibri"/>
                <w:w w:val="224"/>
              </w:rPr>
              <w:t> </w:t>
            </w:r>
            <w:r>
              <w:rPr>
                <w:rFonts w:hint="eastAsia"/>
              </w:rPr>
              <w:t>□；水位（水深）</w:t>
            </w:r>
            <w:r>
              <w:rPr>
                <w:rFonts w:cs="Calibri"/>
                <w:w w:val="224"/>
              </w:rPr>
              <w:t> </w:t>
            </w:r>
            <w:r>
              <w:rPr>
                <w:rFonts w:hint="eastAsia"/>
              </w:rPr>
              <w:t>□；流速</w:t>
            </w:r>
            <w:r>
              <w:rPr>
                <w:rFonts w:cs="Calibri"/>
                <w:w w:val="224"/>
              </w:rPr>
              <w:t> </w:t>
            </w:r>
            <w:r>
              <w:rPr>
                <w:rFonts w:hint="eastAsia"/>
              </w:rPr>
              <w:t>□；流量</w:t>
            </w:r>
            <w:r>
              <w:rPr>
                <w:rFonts w:cs="Calibri"/>
                <w:w w:val="224"/>
              </w:rPr>
              <w:t> </w:t>
            </w:r>
            <w:r>
              <w:rPr>
                <w:rFonts w:hint="eastAsia"/>
              </w:rPr>
              <w:t>□；其他</w:t>
            </w:r>
            <w:r>
              <w:rPr>
                <w:rFonts w:cs="Calibri"/>
                <w:w w:val="224"/>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2192" w:type="dxa"/>
            <w:gridSpan w:val="2"/>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评价等级</w:t>
            </w: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水污染影响型</w:t>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水文要素影响型</w:t>
            </w:r>
          </w:p>
        </w:tc>
      </w:tr>
      <w:tr>
        <w:tblPrEx>
          <w:tblLayout w:type="fixed"/>
          <w:tblCellMar>
            <w:top w:w="0" w:type="dxa"/>
            <w:left w:w="108" w:type="dxa"/>
            <w:bottom w:w="0" w:type="dxa"/>
            <w:right w:w="108" w:type="dxa"/>
          </w:tblCellMar>
        </w:tblPrEx>
        <w:trPr>
          <w:trHeight w:val="299" w:hRule="atLeast"/>
        </w:trPr>
        <w:tc>
          <w:tcPr>
            <w:tcW w:w="2192" w:type="dxa"/>
            <w:gridSpan w:val="2"/>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一级</w:t>
            </w:r>
            <w:r>
              <w:rPr>
                <w:rFonts w:cs="Calibri"/>
                <w:w w:val="224"/>
              </w:rPr>
              <w:t> </w:t>
            </w:r>
            <w:r>
              <w:rPr>
                <w:rFonts w:hint="eastAsia"/>
              </w:rPr>
              <w:t>□；二级</w:t>
            </w:r>
            <w:r>
              <w:rPr>
                <w:rFonts w:cs="Calibri"/>
                <w:w w:val="224"/>
              </w:rPr>
              <w:t> </w:t>
            </w:r>
            <w:r>
              <w:rPr/>
              <w:sym w:font="Wingdings 2" w:char="0052"/>
            </w:r>
            <w:r>
              <w:rPr>
                <w:rFonts w:hint="eastAsia"/>
              </w:rPr>
              <w:t>；三级</w:t>
            </w:r>
            <w:r>
              <w:rPr>
                <w:rFonts w:cs="Calibri"/>
                <w:spacing w:val="3"/>
              </w:rPr>
              <w:t> </w:t>
            </w:r>
            <w:r>
              <w:t>A</w:t>
            </w:r>
            <w:r>
              <w:rPr>
                <w:rFonts w:cs="Calibri"/>
                <w:spacing w:val="1"/>
              </w:rPr>
              <w:t> </w:t>
            </w:r>
            <w:r>
              <w:rPr>
                <w:rFonts w:hint="eastAsia"/>
              </w:rPr>
              <w:t>□；三级</w:t>
            </w:r>
            <w:r>
              <w:rPr>
                <w:rFonts w:cs="Calibri"/>
                <w:spacing w:val="3"/>
              </w:rPr>
              <w:t> </w:t>
            </w:r>
            <w:r>
              <w:t>B</w:t>
            </w:r>
            <w:r>
              <w:rPr>
                <w:rFonts w:cs="Calibri"/>
                <w:spacing w:val="3"/>
              </w:rPr>
              <w:t> </w:t>
            </w:r>
            <w:r>
              <w:rPr>
                <w:rFonts w:hint="eastAsia"/>
              </w:rPr>
              <w:t>□</w:t>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一级</w:t>
            </w:r>
            <w:r>
              <w:rPr>
                <w:rFonts w:cs="Calibri"/>
                <w:w w:val="224"/>
              </w:rPr>
              <w:t> </w:t>
            </w:r>
            <w:r>
              <w:rPr>
                <w:rFonts w:hint="eastAsia"/>
              </w:rPr>
              <w:t>□；二级</w:t>
            </w:r>
            <w:r>
              <w:rPr>
                <w:rFonts w:cs="Calibri"/>
                <w:w w:val="224"/>
              </w:rPr>
              <w:t> </w:t>
            </w:r>
            <w:r>
              <w:rPr>
                <w:rFonts w:hint="eastAsia"/>
              </w:rPr>
              <w:t>□；三级</w:t>
            </w:r>
            <w:r>
              <w:rPr>
                <w:rFonts w:cs="Calibri"/>
                <w:w w:val="225"/>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现</w:t>
            </w:r>
          </w:p>
          <w:p>
            <w:pPr>
              <w:pStyle w:val="63"/>
            </w:pPr>
            <w:r>
              <w:rPr>
                <w:rFonts w:hint="eastAsia"/>
              </w:rPr>
              <w:t>状</w:t>
            </w:r>
          </w:p>
          <w:p>
            <w:pPr>
              <w:pStyle w:val="63"/>
            </w:pPr>
            <w:r>
              <w:rPr>
                <w:rFonts w:hint="eastAsia"/>
              </w:rPr>
              <w:t>调</w:t>
            </w:r>
          </w:p>
          <w:p>
            <w:pPr>
              <w:pStyle w:val="63"/>
            </w:pPr>
            <w:r>
              <w:rPr>
                <w:rFonts w:hint="eastAsia"/>
              </w:rPr>
              <w:t>查</w:t>
            </w:r>
          </w:p>
        </w:tc>
        <w:tc>
          <w:tcPr>
            <w:tcW w:w="185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区域污染源</w:t>
            </w: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调查项目</w:t>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数据来源</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662"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已建</w:t>
            </w:r>
            <w:r>
              <w:rPr>
                <w:rFonts w:cs="Calibri"/>
                <w:w w:val="224"/>
              </w:rPr>
              <w:t> </w:t>
            </w:r>
            <w:r>
              <w:rPr/>
              <w:sym w:font="Wingdings 2" w:char="0052"/>
            </w:r>
            <w:r>
              <w:rPr>
                <w:rFonts w:hint="eastAsia"/>
              </w:rPr>
              <w:t>；在建</w:t>
            </w:r>
            <w:r>
              <w:rPr>
                <w:rFonts w:cs="Calibri"/>
                <w:w w:val="224"/>
              </w:rPr>
              <w:t> </w:t>
            </w:r>
            <w:r>
              <w:rPr>
                <w:rFonts w:hint="eastAsia"/>
              </w:rPr>
              <w:t>□；</w:t>
            </w:r>
          </w:p>
          <w:p>
            <w:pPr>
              <w:pStyle w:val="63"/>
            </w:pPr>
            <w:r>
              <w:rPr>
                <w:rFonts w:hint="eastAsia"/>
              </w:rPr>
              <w:t>拟建 □；其他</w:t>
            </w:r>
            <w:r>
              <w:rPr>
                <w:rFonts w:cs="Calibri"/>
                <w:w w:val="224"/>
              </w:rPr>
              <w:t> </w:t>
            </w:r>
            <w:r>
              <w:rPr>
                <w:rFonts w:hint="eastAsia"/>
              </w:rPr>
              <w:t>□</w:t>
            </w:r>
          </w:p>
        </w:tc>
        <w:tc>
          <w:tcPr>
            <w:tcW w:w="1663"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拟替代的污染源</w:t>
            </w:r>
            <w:r>
              <w:rPr>
                <w:rFonts w:cs="Calibri"/>
                <w:w w:val="225"/>
              </w:rPr>
              <w:t> </w:t>
            </w:r>
            <w:r>
              <w:rPr>
                <w:rFonts w:hint="eastAsia"/>
              </w:rPr>
              <w:t>□</w:t>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排污许可证</w:t>
            </w:r>
            <w:r>
              <w:rPr>
                <w:rFonts w:cs="Calibri"/>
                <w:w w:val="224"/>
              </w:rPr>
              <w:t> </w:t>
            </w:r>
            <w:r>
              <w:rPr>
                <w:rFonts w:hint="eastAsia"/>
              </w:rPr>
              <w:t>□；环评</w:t>
            </w:r>
            <w:r>
              <w:rPr>
                <w:rFonts w:cs="Calibri"/>
                <w:w w:val="224"/>
              </w:rPr>
              <w:t> </w:t>
            </w:r>
            <w:r>
              <w:rPr>
                <w:rFonts w:hint="eastAsia"/>
              </w:rPr>
              <w:t>□；环保验收</w:t>
            </w:r>
            <w:r>
              <w:rPr>
                <w:rFonts w:cs="Calibri"/>
                <w:w w:val="224"/>
              </w:rPr>
              <w:t> </w:t>
            </w:r>
            <w:r>
              <w:rPr>
                <w:rFonts w:hint="eastAsia"/>
              </w:rPr>
              <w:t>□；既有实测</w:t>
            </w:r>
            <w:r>
              <w:rPr>
                <w:rFonts w:cs="Calibri"/>
                <w:w w:val="224"/>
              </w:rPr>
              <w:t> </w:t>
            </w:r>
            <w:r>
              <w:rPr>
                <w:rFonts w:hint="eastAsia"/>
              </w:rPr>
              <w:t>□；现场监测</w:t>
            </w:r>
            <w:r>
              <w:rPr>
                <w:rFonts w:cs="Calibri"/>
                <w:w w:val="224"/>
              </w:rPr>
              <w:t> </w:t>
            </w:r>
            <w:r>
              <w:rPr>
                <w:rFonts w:hint="eastAsia"/>
              </w:rPr>
              <w:t>□；入河排放口数据</w:t>
            </w:r>
            <w:r>
              <w:rPr>
                <w:rFonts w:cs="Calibri"/>
                <w:w w:val="225"/>
              </w:rPr>
              <w:t> </w:t>
            </w:r>
            <w:r>
              <w:rPr>
                <w:rFonts w:hint="eastAsia"/>
              </w:rPr>
              <w:t>□；其他</w:t>
            </w:r>
            <w:r>
              <w:rPr>
                <w:rFonts w:cs="Calibri"/>
                <w:w w:val="224"/>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受影响水体</w:t>
            </w:r>
          </w:p>
          <w:p>
            <w:pPr>
              <w:pStyle w:val="63"/>
            </w:pPr>
            <w:r>
              <w:rPr>
                <w:rFonts w:hint="eastAsia"/>
              </w:rPr>
              <w:t>水环境质量</w:t>
            </w: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调查时期</w:t>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数据来源</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丰水期</w:t>
            </w:r>
            <w:r>
              <w:rPr>
                <w:rFonts w:cs="Calibri"/>
                <w:w w:val="224"/>
              </w:rPr>
              <w:t> </w:t>
            </w:r>
            <w:r>
              <w:rPr>
                <w:rFonts w:hint="eastAsia"/>
              </w:rPr>
              <w:t>□；平水期</w:t>
            </w:r>
            <w:r>
              <w:rPr>
                <w:rFonts w:cs="Calibri"/>
                <w:w w:val="224"/>
              </w:rPr>
              <w:t> </w:t>
            </w:r>
            <w:r>
              <w:rPr>
                <w:rFonts w:hint="eastAsia"/>
              </w:rPr>
              <w:t>□；枯水期</w:t>
            </w:r>
            <w:r>
              <w:rPr>
                <w:rFonts w:cs="Calibri"/>
                <w:w w:val="224"/>
              </w:rPr>
              <w:t> </w:t>
            </w:r>
            <w:r>
              <w:rPr/>
              <w:sym w:font="Wingdings 2" w:char="0052"/>
            </w:r>
            <w:r>
              <w:rPr>
                <w:rFonts w:hint="eastAsia"/>
              </w:rPr>
              <w:t>；冰封期</w:t>
            </w:r>
            <w:r>
              <w:rPr>
                <w:rFonts w:cs="Calibri"/>
                <w:w w:val="225"/>
              </w:rPr>
              <w:t> </w:t>
            </w:r>
            <w:r>
              <w:rPr>
                <w:rFonts w:hint="eastAsia"/>
              </w:rPr>
              <w:t>□</w:t>
            </w:r>
          </w:p>
          <w:p>
            <w:pPr>
              <w:pStyle w:val="63"/>
            </w:pPr>
            <w:r>
              <w:rPr>
                <w:rFonts w:hint="eastAsia"/>
              </w:rPr>
              <w:t>春季</w:t>
            </w:r>
            <w:r>
              <w:rPr>
                <w:rFonts w:cs="Calibri"/>
                <w:w w:val="224"/>
              </w:rPr>
              <w:t> </w:t>
            </w:r>
            <w:r>
              <w:rPr>
                <w:rFonts w:hint="eastAsia"/>
              </w:rPr>
              <w:t>□；夏季</w:t>
            </w:r>
            <w:r>
              <w:rPr>
                <w:rFonts w:cs="Calibri"/>
                <w:w w:val="224"/>
              </w:rPr>
              <w:t> </w:t>
            </w:r>
            <w:r>
              <w:rPr>
                <w:rFonts w:hint="eastAsia"/>
              </w:rPr>
              <w:t>□；秋季</w:t>
            </w:r>
            <w:r>
              <w:rPr>
                <w:rFonts w:cs="Calibri"/>
                <w:w w:val="224"/>
              </w:rPr>
              <w:t> </w:t>
            </w:r>
            <w:r>
              <w:rPr>
                <w:rFonts w:hint="eastAsia"/>
              </w:rPr>
              <w:t>□；冬季</w:t>
            </w:r>
            <w:r>
              <w:rPr>
                <w:rFonts w:cs="Calibri"/>
                <w:w w:val="224"/>
              </w:rPr>
              <w:t> </w:t>
            </w:r>
            <w:r>
              <w:rPr/>
              <w:sym w:font="Wingdings 2" w:char="0052"/>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生态环境保护主管部门</w:t>
            </w:r>
            <w:r>
              <w:rPr>
                <w:rFonts w:cs="Calibri"/>
                <w:w w:val="225"/>
              </w:rPr>
              <w:t> </w:t>
            </w:r>
            <w:r>
              <w:rPr/>
              <w:sym w:font="Wingdings 2" w:char="0052"/>
            </w:r>
            <w:r>
              <w:rPr>
                <w:rFonts w:hint="eastAsia"/>
              </w:rPr>
              <w:t>；补充监测</w:t>
            </w:r>
            <w:r>
              <w:rPr>
                <w:rFonts w:cs="Calibri"/>
                <w:w w:val="224"/>
              </w:rPr>
              <w:t> </w:t>
            </w:r>
            <w:r>
              <w:rPr/>
              <w:sym w:font="Wingdings 2" w:char="0052"/>
            </w:r>
            <w:r>
              <w:rPr>
                <w:rFonts w:hint="eastAsia"/>
              </w:rPr>
              <w:t>；其他</w:t>
            </w:r>
            <w:r>
              <w:rPr>
                <w:rFonts w:cs="Calibri"/>
                <w:w w:val="224"/>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区域水资源开发利用状况</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未开发</w:t>
            </w:r>
            <w:r>
              <w:rPr>
                <w:rFonts w:cs="Calibri"/>
                <w:w w:val="224"/>
              </w:rPr>
              <w:t> </w:t>
            </w:r>
            <w:r>
              <w:rPr>
                <w:rFonts w:hint="eastAsia"/>
              </w:rPr>
              <w:t>□；开发量</w:t>
            </w:r>
            <w:r>
              <w:rPr>
                <w:rFonts w:cs="Calibri"/>
                <w:spacing w:val="3"/>
              </w:rPr>
              <w:t> </w:t>
            </w:r>
            <w:r>
              <w:t>40%</w:t>
            </w:r>
            <w:r>
              <w:rPr>
                <w:rFonts w:hint="eastAsia"/>
              </w:rPr>
              <w:t>以下</w:t>
            </w:r>
            <w:r>
              <w:rPr>
                <w:rFonts w:cs="Calibri"/>
                <w:w w:val="218"/>
              </w:rPr>
              <w:t> </w:t>
            </w:r>
            <w:r>
              <w:rPr>
                <w:rFonts w:hint="eastAsia"/>
              </w:rPr>
              <w:t>□；开发量</w:t>
            </w:r>
            <w:r>
              <w:rPr>
                <w:rFonts w:cs="Calibri"/>
                <w:spacing w:val="3"/>
              </w:rPr>
              <w:t> </w:t>
            </w:r>
            <w:r>
              <w:t>40%</w:t>
            </w:r>
            <w:r>
              <w:rPr>
                <w:rFonts w:hint="eastAsia"/>
              </w:rPr>
              <w:t>以上</w:t>
            </w:r>
            <w:r>
              <w:rPr>
                <w:rFonts w:cs="Calibri"/>
                <w:w w:val="224"/>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水文情势调查</w:t>
            </w: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调查时期</w:t>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数据来源</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丰水期</w:t>
            </w:r>
            <w:r>
              <w:rPr>
                <w:rFonts w:cs="Calibri"/>
                <w:w w:val="224"/>
              </w:rPr>
              <w:t> </w:t>
            </w:r>
            <w:r>
              <w:rPr>
                <w:rFonts w:hint="eastAsia"/>
              </w:rPr>
              <w:t>□；平水期</w:t>
            </w:r>
            <w:r>
              <w:rPr>
                <w:rFonts w:cs="Calibri"/>
                <w:w w:val="224"/>
              </w:rPr>
              <w:t> </w:t>
            </w:r>
            <w:r>
              <w:rPr/>
              <w:sym w:font="Wingdings 2" w:char="0052"/>
            </w:r>
            <w:r>
              <w:rPr>
                <w:rFonts w:hint="eastAsia"/>
              </w:rPr>
              <w:t>；枯水期</w:t>
            </w:r>
            <w:r>
              <w:rPr>
                <w:rFonts w:cs="Calibri"/>
                <w:w w:val="224"/>
              </w:rPr>
              <w:t> </w:t>
            </w:r>
            <w:r>
              <w:rPr/>
              <w:sym w:font="Wingdings 2" w:char="0052"/>
            </w:r>
            <w:r>
              <w:rPr>
                <w:rFonts w:hint="eastAsia"/>
              </w:rPr>
              <w:t>；冰封期</w:t>
            </w:r>
            <w:r>
              <w:rPr>
                <w:rFonts w:cs="Calibri"/>
                <w:w w:val="225"/>
              </w:rPr>
              <w:t> </w:t>
            </w:r>
            <w:r>
              <w:rPr>
                <w:rFonts w:hint="eastAsia"/>
              </w:rPr>
              <w:t>□</w:t>
            </w:r>
          </w:p>
          <w:p>
            <w:pPr>
              <w:pStyle w:val="63"/>
            </w:pPr>
            <w:r>
              <w:rPr>
                <w:rFonts w:hint="eastAsia"/>
              </w:rPr>
              <w:t>春季</w:t>
            </w:r>
            <w:r>
              <w:rPr>
                <w:rFonts w:cs="Calibri"/>
                <w:w w:val="224"/>
              </w:rPr>
              <w:t> </w:t>
            </w:r>
            <w:r>
              <w:rPr>
                <w:rFonts w:hint="eastAsia"/>
              </w:rPr>
              <w:t>□；夏季</w:t>
            </w:r>
            <w:r>
              <w:rPr>
                <w:rFonts w:cs="Calibri"/>
                <w:w w:val="224"/>
              </w:rPr>
              <w:t> </w:t>
            </w:r>
            <w:r>
              <w:rPr>
                <w:rFonts w:hint="eastAsia"/>
              </w:rPr>
              <w:t>□；秋季</w:t>
            </w:r>
            <w:r>
              <w:rPr>
                <w:rFonts w:cs="Calibri"/>
                <w:w w:val="224"/>
              </w:rPr>
              <w:t> </w:t>
            </w:r>
            <w:r>
              <w:rPr>
                <w:rFonts w:hint="eastAsia"/>
              </w:rPr>
              <w:t>□；冬季</w:t>
            </w:r>
            <w:r>
              <w:rPr>
                <w:rFonts w:cs="Calibri"/>
                <w:w w:val="224"/>
              </w:rPr>
              <w:t> </w:t>
            </w:r>
            <w:r>
              <w:rPr>
                <w:rFonts w:hint="eastAsia"/>
              </w:rPr>
              <w:t>□</w:t>
            </w:r>
          </w:p>
        </w:tc>
        <w:tc>
          <w:tcPr>
            <w:tcW w:w="3425" w:type="dxa"/>
            <w:gridSpan w:val="8"/>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水行政主管部门</w:t>
            </w:r>
            <w:r>
              <w:rPr>
                <w:rFonts w:cs="Calibri"/>
                <w:w w:val="224"/>
              </w:rPr>
              <w:t> </w:t>
            </w:r>
            <w:r>
              <w:rPr>
                <w:rFonts w:hint="eastAsia"/>
              </w:rPr>
              <w:t>□；补充监测</w:t>
            </w:r>
            <w:r>
              <w:rPr>
                <w:rFonts w:cs="Calibri"/>
                <w:w w:val="225"/>
              </w:rPr>
              <w:t> </w:t>
            </w:r>
            <w:r>
              <w:rPr>
                <w:rFonts w:hint="eastAsia"/>
              </w:rPr>
              <w:t>□；其他</w:t>
            </w:r>
            <w:r>
              <w:rPr>
                <w:rFonts w:cs="Calibri"/>
                <w:w w:val="224"/>
              </w:rPr>
              <w:t> </w:t>
            </w:r>
            <w:r>
              <w:rPr/>
              <w:sym w:font="Wingdings 2" w:char="0052"/>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补充监测</w:t>
            </w: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监测时期</w:t>
            </w:r>
          </w:p>
        </w:tc>
        <w:tc>
          <w:tcPr>
            <w:tcW w:w="2026"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监测因子</w:t>
            </w:r>
          </w:p>
        </w:tc>
        <w:tc>
          <w:tcPr>
            <w:tcW w:w="1399"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监测断面或点位</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3325"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丰水期</w:t>
            </w:r>
            <w:r>
              <w:rPr>
                <w:rFonts w:cs="Calibri"/>
                <w:w w:val="224"/>
              </w:rPr>
              <w:t> </w:t>
            </w:r>
            <w:r>
              <w:rPr>
                <w:rFonts w:hint="eastAsia"/>
              </w:rPr>
              <w:t>□；平水期</w:t>
            </w:r>
            <w:r>
              <w:rPr>
                <w:rFonts w:cs="Calibri"/>
                <w:w w:val="224"/>
              </w:rPr>
              <w:t> </w:t>
            </w:r>
            <w:r>
              <w:rPr/>
              <w:sym w:font="Wingdings 2" w:char="0052"/>
            </w:r>
            <w:r>
              <w:rPr>
                <w:rFonts w:hint="eastAsia"/>
              </w:rPr>
              <w:t>；枯水期</w:t>
            </w:r>
            <w:r>
              <w:rPr>
                <w:rFonts w:cs="Calibri"/>
                <w:w w:val="224"/>
              </w:rPr>
              <w:t> </w:t>
            </w:r>
            <w:r>
              <w:rPr>
                <w:rFonts w:cs="Calibri"/>
                <w:w w:val="225"/>
              </w:rPr>
              <w:t> </w:t>
            </w:r>
            <w:r>
              <w:rPr>
                <w:rFonts w:hint="eastAsia"/>
              </w:rPr>
              <w:t>□；冰封期</w:t>
            </w:r>
            <w:r>
              <w:rPr>
                <w:rFonts w:cs="Calibri"/>
                <w:w w:val="225"/>
              </w:rPr>
              <w:t> </w:t>
            </w:r>
            <w:r>
              <w:rPr>
                <w:rFonts w:hint="eastAsia"/>
              </w:rPr>
              <w:t>□</w:t>
            </w:r>
          </w:p>
          <w:p>
            <w:pPr>
              <w:pStyle w:val="63"/>
            </w:pPr>
            <w:r>
              <w:rPr>
                <w:rFonts w:hint="eastAsia"/>
              </w:rPr>
              <w:t>春季</w:t>
            </w:r>
            <w:r>
              <w:rPr>
                <w:rFonts w:cs="Calibri"/>
                <w:w w:val="224"/>
              </w:rPr>
              <w:t> </w:t>
            </w:r>
            <w:r>
              <w:rPr>
                <w:rFonts w:hint="eastAsia"/>
              </w:rPr>
              <w:t>□；夏季</w:t>
            </w:r>
            <w:r>
              <w:rPr>
                <w:rFonts w:cs="Calibri"/>
                <w:w w:val="224"/>
              </w:rPr>
              <w:t> </w:t>
            </w:r>
            <w:r>
              <w:rPr/>
              <w:sym w:font="Wingdings 2" w:char="0052"/>
            </w:r>
            <w:r>
              <w:rPr>
                <w:rFonts w:hint="eastAsia"/>
              </w:rPr>
              <w:t>；秋季</w:t>
            </w:r>
            <w:r>
              <w:rPr>
                <w:rFonts w:cs="Calibri"/>
                <w:w w:val="224"/>
              </w:rPr>
              <w:t> </w:t>
            </w:r>
            <w:r>
              <w:rPr>
                <w:rFonts w:hint="eastAsia"/>
              </w:rPr>
              <w:t>□；冬季</w:t>
            </w:r>
            <w:r>
              <w:rPr>
                <w:rFonts w:cs="Calibri"/>
                <w:w w:val="224"/>
              </w:rPr>
              <w:t> </w:t>
            </w:r>
            <w:r>
              <w:rPr>
                <w:rFonts w:hint="eastAsia"/>
              </w:rPr>
              <w:t>□</w:t>
            </w:r>
          </w:p>
        </w:tc>
        <w:tc>
          <w:tcPr>
            <w:tcW w:w="2026"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w:t>
            </w:r>
            <w:r>
              <w:rPr>
                <w:bCs/>
              </w:rPr>
              <w:t>pH、溶解氧、高锰酸盐指数、COD、BOD</w:t>
            </w:r>
            <w:r>
              <w:rPr>
                <w:bCs/>
                <w:vertAlign w:val="subscript"/>
              </w:rPr>
              <w:t>5</w:t>
            </w:r>
            <w:r>
              <w:rPr>
                <w:bCs/>
              </w:rPr>
              <w:t>、氨氮、总磷</w:t>
            </w:r>
            <w:r>
              <w:rPr>
                <w:rFonts w:hint="eastAsia"/>
                <w:bCs/>
              </w:rPr>
              <w:t>等</w:t>
            </w:r>
            <w:r>
              <w:rPr>
                <w:rFonts w:hint="eastAsia"/>
              </w:rPr>
              <w:t>）</w:t>
            </w:r>
          </w:p>
        </w:tc>
        <w:tc>
          <w:tcPr>
            <w:tcW w:w="1399"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监测断面或点位个数</w:t>
            </w:r>
          </w:p>
          <w:p>
            <w:pPr>
              <w:pStyle w:val="63"/>
            </w:pPr>
            <w:r>
              <w:rPr>
                <w:rFonts w:hint="eastAsia"/>
              </w:rPr>
              <w:t>（</w:t>
            </w:r>
            <w:r>
              <w:rPr>
                <w:rFonts w:hint="eastAsia" w:cs="Calibri"/>
                <w:spacing w:val="3"/>
              </w:rPr>
              <w:t>1</w:t>
            </w:r>
            <w:r>
              <w:rPr>
                <w:rFonts w:hint="eastAsia"/>
              </w:rPr>
              <w:t>）个</w:t>
            </w:r>
          </w:p>
        </w:tc>
      </w:tr>
      <w:tr>
        <w:tblPrEx>
          <w:tblLayout w:type="fixed"/>
          <w:tblCellMar>
            <w:top w:w="0" w:type="dxa"/>
            <w:left w:w="108" w:type="dxa"/>
            <w:bottom w:w="0" w:type="dxa"/>
            <w:right w:w="108" w:type="dxa"/>
          </w:tblCellMar>
        </w:tblPrEx>
        <w:trPr>
          <w:trHeight w:val="299" w:hRule="atLeast"/>
        </w:trPr>
        <w:tc>
          <w:tcPr>
            <w:tcW w:w="34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现</w:t>
            </w:r>
          </w:p>
          <w:p>
            <w:pPr>
              <w:pStyle w:val="63"/>
            </w:pPr>
            <w:r>
              <w:rPr>
                <w:rFonts w:hint="eastAsia"/>
              </w:rPr>
              <w:t>状</w:t>
            </w:r>
          </w:p>
          <w:p>
            <w:pPr>
              <w:pStyle w:val="63"/>
            </w:pPr>
            <w:r>
              <w:rPr>
                <w:rFonts w:hint="eastAsia"/>
              </w:rPr>
              <w:t>评</w:t>
            </w:r>
          </w:p>
          <w:p>
            <w:pPr>
              <w:pStyle w:val="63"/>
            </w:pPr>
            <w:r>
              <w:rPr>
                <w:rFonts w:hint="eastAsia"/>
              </w:rPr>
              <w:t>价</w:t>
            </w: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评价范围</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rPr>
                <w:vertAlign w:val="superscript"/>
              </w:rPr>
            </w:pPr>
            <w:r>
              <w:rPr>
                <w:rFonts w:hint="eastAsia"/>
              </w:rPr>
              <w:t>河流：长度（</w:t>
            </w:r>
            <w:r>
              <w:rPr>
                <w:rFonts w:hint="eastAsia" w:cs="Calibri"/>
                <w:spacing w:val="3"/>
              </w:rPr>
              <w:t>10.5</w:t>
            </w:r>
            <w:r>
              <w:rPr>
                <w:rFonts w:hint="eastAsia"/>
              </w:rPr>
              <w:t>）</w:t>
            </w:r>
            <w:r>
              <w:t>km</w:t>
            </w:r>
            <w:r>
              <w:rPr>
                <w:rFonts w:hint="eastAsia"/>
              </w:rPr>
              <w:t>；湖库、河口及近岸海域：面积（</w:t>
            </w:r>
            <w:r>
              <w:t xml:space="preserve">   </w:t>
            </w:r>
            <w:r>
              <w:rPr>
                <w:rFonts w:hint="eastAsia"/>
              </w:rPr>
              <w:t>）</w:t>
            </w:r>
            <w:r>
              <w:t>km</w:t>
            </w:r>
            <w:r>
              <w:rPr>
                <w:vertAlign w:val="superscript"/>
              </w:rPr>
              <w:t>2</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评价因子</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w:t>
            </w:r>
            <w:r>
              <w:rPr>
                <w:bCs/>
              </w:rPr>
              <w:t>pH、溶解氧、高锰酸盐指数、COD、BOD</w:t>
            </w:r>
            <w:r>
              <w:rPr>
                <w:bCs/>
                <w:vertAlign w:val="subscript"/>
              </w:rPr>
              <w:t>5</w:t>
            </w:r>
            <w:r>
              <w:rPr>
                <w:bCs/>
              </w:rPr>
              <w:t>、氨氮、总磷、铜、锌、氟化物、硒、砷、汞、镉、六价铬、铅、氰化物、挥发酚、石油类、阴离子表面活性剂、硫化物、粪大肠菌群、电导率、镍、硫酸盐、氯化物、硝酸盐</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评价标准</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河流、湖库、河口：</w:t>
            </w:r>
            <w:r>
              <w:rPr>
                <w:rFonts w:hint="eastAsia"/>
                <w:w w:val="33"/>
              </w:rPr>
              <w:t>Ⅰ</w:t>
            </w:r>
            <w:r>
              <w:rPr>
                <w:rFonts w:hint="eastAsia"/>
              </w:rPr>
              <w:t>类</w:t>
            </w:r>
            <w:r>
              <w:rPr>
                <w:rFonts w:cs="Calibri"/>
                <w:w w:val="224"/>
              </w:rPr>
              <w:t> </w:t>
            </w:r>
            <w:r>
              <w:rPr>
                <w:rFonts w:hint="eastAsia"/>
              </w:rPr>
              <w:t>□；</w:t>
            </w:r>
            <w:r>
              <w:rPr>
                <w:rFonts w:hint="eastAsia"/>
                <w:w w:val="64"/>
              </w:rPr>
              <w:t>Ⅱ</w:t>
            </w:r>
            <w:r>
              <w:rPr>
                <w:rFonts w:hint="eastAsia"/>
              </w:rPr>
              <w:t>类</w:t>
            </w:r>
            <w:r>
              <w:rPr>
                <w:rFonts w:cs="Calibri"/>
                <w:w w:val="224"/>
              </w:rPr>
              <w:t> </w:t>
            </w:r>
            <w:r>
              <w:rPr>
                <w:rFonts w:hint="eastAsia"/>
              </w:rPr>
              <w:t>□；</w:t>
            </w:r>
            <w:r>
              <w:rPr>
                <w:rFonts w:hint="eastAsia"/>
                <w:spacing w:val="-8"/>
              </w:rPr>
              <w:t>Ⅲ</w:t>
            </w:r>
            <w:r>
              <w:rPr>
                <w:rFonts w:hint="eastAsia"/>
              </w:rPr>
              <w:t>类</w:t>
            </w:r>
            <w:r>
              <w:rPr/>
              <w:sym w:font="Wingdings 2" w:char="0052"/>
            </w:r>
            <w:r>
              <w:rPr>
                <w:rFonts w:cs="Calibri"/>
                <w:w w:val="224"/>
              </w:rPr>
              <w:t> </w:t>
            </w:r>
            <w:r>
              <w:rPr>
                <w:rFonts w:hint="eastAsia"/>
              </w:rPr>
              <w:t>；</w:t>
            </w:r>
            <w:r>
              <w:rPr>
                <w:rFonts w:hint="eastAsia"/>
                <w:spacing w:val="8"/>
              </w:rPr>
              <w:t>Ⅳ</w:t>
            </w:r>
            <w:r>
              <w:rPr>
                <w:rFonts w:hint="eastAsia"/>
              </w:rPr>
              <w:t>类</w:t>
            </w:r>
            <w:r>
              <w:rPr>
                <w:rFonts w:cs="Calibri"/>
                <w:w w:val="224"/>
              </w:rPr>
              <w:t> </w:t>
            </w:r>
            <w:r>
              <w:rPr>
                <w:rFonts w:hint="eastAsia"/>
              </w:rPr>
              <w:t>□；</w:t>
            </w:r>
            <w:r>
              <w:rPr>
                <w:rFonts w:hint="eastAsia"/>
                <w:w w:val="72"/>
              </w:rPr>
              <w:t>Ⅴ</w:t>
            </w:r>
            <w:r>
              <w:rPr>
                <w:rFonts w:hint="eastAsia"/>
              </w:rPr>
              <w:t>类</w:t>
            </w:r>
            <w:r>
              <w:rPr>
                <w:rFonts w:cs="Calibri"/>
                <w:w w:val="224"/>
              </w:rPr>
              <w:t> </w:t>
            </w:r>
            <w:r>
              <w:rPr>
                <w:rFonts w:hint="eastAsia"/>
              </w:rPr>
              <w:t>□</w:t>
            </w:r>
          </w:p>
          <w:p>
            <w:pPr>
              <w:pStyle w:val="63"/>
            </w:pPr>
            <w:r>
              <w:rPr>
                <w:rFonts w:hint="eastAsia"/>
              </w:rPr>
              <w:t>近岸海域：第一类</w:t>
            </w:r>
            <w:r>
              <w:rPr>
                <w:rFonts w:cs="Calibri"/>
                <w:w w:val="224"/>
              </w:rPr>
              <w:t> </w:t>
            </w:r>
            <w:r>
              <w:rPr>
                <w:rFonts w:hint="eastAsia"/>
              </w:rPr>
              <w:t>□；第二类</w:t>
            </w:r>
            <w:r>
              <w:rPr>
                <w:rFonts w:cs="Calibri"/>
                <w:w w:val="224"/>
              </w:rPr>
              <w:t> </w:t>
            </w:r>
            <w:r>
              <w:rPr>
                <w:rFonts w:hint="eastAsia"/>
              </w:rPr>
              <w:t>□；第三类</w:t>
            </w:r>
            <w:r>
              <w:rPr>
                <w:rFonts w:cs="Calibri"/>
                <w:w w:val="224"/>
              </w:rPr>
              <w:t> </w:t>
            </w:r>
            <w:r>
              <w:rPr>
                <w:rFonts w:hint="eastAsia"/>
              </w:rPr>
              <w:t>□；第四类</w:t>
            </w:r>
            <w:r>
              <w:rPr>
                <w:rFonts w:cs="Calibri"/>
                <w:w w:val="224"/>
              </w:rPr>
              <w:t> </w:t>
            </w:r>
            <w:r>
              <w:rPr>
                <w:rFonts w:hint="eastAsia"/>
              </w:rPr>
              <w:t>□</w:t>
            </w:r>
          </w:p>
          <w:p>
            <w:pPr>
              <w:pStyle w:val="63"/>
            </w:pPr>
            <w:r>
              <w:rPr>
                <w:rFonts w:hint="eastAsia"/>
              </w:rPr>
              <w:t>规划年评价标准（《地表水环境质量标准》（</w:t>
            </w:r>
            <w:r>
              <w:t>GB3838-2002</w:t>
            </w:r>
            <w:r>
              <w:rPr>
                <w:rFonts w:hint="eastAsia"/>
              </w:rPr>
              <w:t>）</w:t>
            </w:r>
            <w:r>
              <w:rPr>
                <w:rFonts w:hint="eastAsia"/>
                <w:spacing w:val="-8"/>
              </w:rPr>
              <w:t>Ⅲ</w:t>
            </w:r>
            <w:r>
              <w:rPr>
                <w:rFonts w:hint="eastAsia"/>
              </w:rPr>
              <w:t>类）</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评价时期</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丰水期</w:t>
            </w:r>
            <w:r>
              <w:rPr>
                <w:rFonts w:cs="Calibri"/>
                <w:w w:val="224"/>
              </w:rPr>
              <w:t> </w:t>
            </w:r>
            <w:r>
              <w:rPr>
                <w:rFonts w:hint="eastAsia"/>
              </w:rPr>
              <w:t>□；平水期</w:t>
            </w:r>
            <w:r>
              <w:rPr>
                <w:rFonts w:cs="Calibri"/>
                <w:w w:val="224"/>
              </w:rPr>
              <w:t> </w:t>
            </w:r>
            <w:r>
              <w:rPr>
                <w:rFonts w:hint="eastAsia"/>
              </w:rPr>
              <w:t>□；枯水期</w:t>
            </w:r>
            <w:r>
              <w:rPr>
                <w:rFonts w:cs="Calibri"/>
                <w:w w:val="224"/>
              </w:rPr>
              <w:t> </w:t>
            </w:r>
            <w:r>
              <w:rPr/>
              <w:sym w:font="Wingdings 2" w:char="0052"/>
            </w:r>
            <w:r>
              <w:rPr>
                <w:rFonts w:hint="eastAsia"/>
              </w:rPr>
              <w:t>；冰封期</w:t>
            </w:r>
            <w:r>
              <w:rPr>
                <w:rFonts w:cs="Calibri"/>
                <w:w w:val="224"/>
              </w:rPr>
              <w:t> </w:t>
            </w:r>
            <w:r>
              <w:rPr>
                <w:rFonts w:hint="eastAsia"/>
              </w:rPr>
              <w:t>□</w:t>
            </w:r>
          </w:p>
          <w:p>
            <w:pPr>
              <w:pStyle w:val="63"/>
            </w:pPr>
            <w:r>
              <w:rPr>
                <w:rFonts w:hint="eastAsia"/>
              </w:rPr>
              <w:t>春季</w:t>
            </w:r>
            <w:r>
              <w:rPr>
                <w:rFonts w:cs="Calibri"/>
                <w:w w:val="224"/>
              </w:rPr>
              <w:t> </w:t>
            </w:r>
            <w:r>
              <w:rPr>
                <w:rFonts w:hint="eastAsia"/>
              </w:rPr>
              <w:t>□；夏季</w:t>
            </w:r>
            <w:r>
              <w:rPr>
                <w:rFonts w:cs="Calibri"/>
                <w:w w:val="224"/>
              </w:rPr>
              <w:t> </w:t>
            </w:r>
            <w:r>
              <w:rPr>
                <w:rFonts w:hint="eastAsia"/>
              </w:rPr>
              <w:t>□；秋季</w:t>
            </w:r>
            <w:r>
              <w:rPr>
                <w:rFonts w:cs="Calibri"/>
                <w:w w:val="224"/>
              </w:rPr>
              <w:t> </w:t>
            </w:r>
            <w:r>
              <w:rPr>
                <w:rFonts w:hint="eastAsia"/>
              </w:rPr>
              <w:t>□；冬季</w:t>
            </w:r>
            <w:r>
              <w:rPr>
                <w:rFonts w:cs="Calibri"/>
                <w:w w:val="224"/>
              </w:rPr>
              <w:t> </w:t>
            </w:r>
            <w:r>
              <w:rPr/>
              <w:sym w:font="Wingdings 2" w:char="0052"/>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评价结论</w:t>
            </w:r>
          </w:p>
        </w:tc>
        <w:tc>
          <w:tcPr>
            <w:tcW w:w="5721" w:type="dxa"/>
            <w:gridSpan w:val="11"/>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jc w:val="left"/>
            </w:pPr>
            <w:r>
              <w:rPr>
                <w:rFonts w:hint="eastAsia"/>
              </w:rPr>
              <w:t>水环境功能区或水功能区、近岸海域环境功能区水质达标状况</w:t>
            </w:r>
            <w:r>
              <w:rPr>
                <w:rFonts w:cs="Calibri"/>
                <w:w w:val="224"/>
              </w:rPr>
              <w:t> </w:t>
            </w:r>
            <w:r>
              <w:rPr/>
              <w:sym w:font="Wingdings 2" w:char="0052"/>
            </w:r>
            <w:r>
              <w:rPr>
                <w:rFonts w:hint="eastAsia"/>
              </w:rPr>
              <w:t>：达标</w:t>
            </w:r>
            <w:r>
              <w:rPr/>
              <w:sym w:font="Wingdings 2" w:char="0052"/>
            </w:r>
            <w:r>
              <w:rPr>
                <w:rFonts w:hint="eastAsia"/>
              </w:rPr>
              <w:t>；不达标</w:t>
            </w:r>
            <w:r>
              <w:rPr>
                <w:rFonts w:cs="Calibri"/>
                <w:w w:val="224"/>
              </w:rPr>
              <w:t> </w:t>
            </w:r>
            <w:r>
              <w:rPr>
                <w:rFonts w:hint="eastAsia"/>
              </w:rPr>
              <w:t>□</w:t>
            </w:r>
          </w:p>
          <w:p>
            <w:pPr>
              <w:pStyle w:val="63"/>
              <w:jc w:val="left"/>
            </w:pPr>
            <w:r>
              <w:rPr>
                <w:rFonts w:hint="eastAsia"/>
              </w:rPr>
              <w:t>水环境控制单元或断面水质达标状况</w:t>
            </w:r>
            <w:r>
              <w:rPr>
                <w:rFonts w:cs="Calibri"/>
                <w:w w:val="224"/>
              </w:rPr>
              <w:t> </w:t>
            </w:r>
            <w:r>
              <w:rPr/>
              <w:sym w:font="Wingdings 2" w:char="0052"/>
            </w:r>
            <w:r>
              <w:rPr>
                <w:rFonts w:hint="eastAsia"/>
              </w:rPr>
              <w:t>：达标</w:t>
            </w:r>
            <w:r>
              <w:rPr/>
              <w:sym w:font="Wingdings 2" w:char="0052"/>
            </w:r>
            <w:r>
              <w:rPr>
                <w:rFonts w:hint="eastAsia"/>
              </w:rPr>
              <w:t>；不达标</w:t>
            </w:r>
            <w:r>
              <w:rPr>
                <w:rFonts w:cs="Calibri"/>
                <w:w w:val="224"/>
              </w:rPr>
              <w:t> </w:t>
            </w:r>
            <w:r>
              <w:rPr>
                <w:rFonts w:hint="eastAsia"/>
              </w:rPr>
              <w:t>□</w:t>
            </w:r>
          </w:p>
          <w:p>
            <w:pPr>
              <w:pStyle w:val="63"/>
              <w:jc w:val="left"/>
            </w:pPr>
            <w:r>
              <w:rPr>
                <w:rFonts w:hint="eastAsia"/>
              </w:rPr>
              <w:t>水环境保护目标质量状况</w:t>
            </w:r>
            <w:r>
              <w:rPr>
                <w:rFonts w:cs="Calibri"/>
                <w:w w:val="224"/>
              </w:rPr>
              <w:t> </w:t>
            </w:r>
            <w:r>
              <w:rPr/>
              <w:sym w:font="Wingdings 2" w:char="0052"/>
            </w:r>
            <w:r>
              <w:rPr>
                <w:rFonts w:hint="eastAsia"/>
              </w:rPr>
              <w:t>：达标</w:t>
            </w:r>
            <w:r>
              <w:rPr>
                <w:rFonts w:cs="Calibri"/>
                <w:w w:val="224"/>
              </w:rPr>
              <w:t> </w:t>
            </w:r>
            <w:r>
              <w:rPr/>
              <w:sym w:font="Wingdings 2" w:char="0052"/>
            </w:r>
            <w:r>
              <w:rPr>
                <w:rFonts w:hint="eastAsia"/>
              </w:rPr>
              <w:t>；不达标</w:t>
            </w:r>
            <w:r>
              <w:rPr>
                <w:rFonts w:cs="Calibri"/>
                <w:w w:val="224"/>
              </w:rPr>
              <w:t> </w:t>
            </w:r>
            <w:r>
              <w:rPr>
                <w:rFonts w:hint="eastAsia"/>
              </w:rPr>
              <w:t>□</w:t>
            </w:r>
          </w:p>
          <w:p>
            <w:pPr>
              <w:pStyle w:val="63"/>
              <w:jc w:val="left"/>
            </w:pPr>
            <w:r>
              <w:rPr>
                <w:rFonts w:hint="eastAsia"/>
              </w:rPr>
              <w:t>对照断面、控制断面等代表性断面的水质状况</w:t>
            </w:r>
            <w:r>
              <w:rPr/>
              <w:sym w:font="Wingdings 2" w:char="0052"/>
            </w:r>
            <w:r>
              <w:rPr>
                <w:rFonts w:hint="eastAsia"/>
              </w:rPr>
              <w:t>：达标</w:t>
            </w:r>
            <w:r>
              <w:rPr/>
              <w:sym w:font="Wingdings 2" w:char="0052"/>
            </w:r>
            <w:r>
              <w:rPr>
                <w:rFonts w:hint="eastAsia"/>
              </w:rPr>
              <w:t>；不达标</w:t>
            </w:r>
            <w:r>
              <w:rPr>
                <w:rFonts w:cs="Calibri"/>
                <w:w w:val="224"/>
              </w:rPr>
              <w:t> </w:t>
            </w:r>
            <w:r>
              <w:rPr>
                <w:rFonts w:hint="eastAsia"/>
              </w:rPr>
              <w:t>□</w:t>
            </w:r>
          </w:p>
          <w:p>
            <w:pPr>
              <w:pStyle w:val="63"/>
              <w:jc w:val="left"/>
            </w:pPr>
            <w:r>
              <w:rPr>
                <w:rFonts w:hint="eastAsia"/>
              </w:rPr>
              <w:t>底泥污染评价</w:t>
            </w:r>
            <w:r>
              <w:rPr/>
              <w:sym w:font="Wingdings 2" w:char="0052"/>
            </w:r>
          </w:p>
          <w:p>
            <w:pPr>
              <w:pStyle w:val="63"/>
              <w:jc w:val="left"/>
            </w:pPr>
            <w:r>
              <w:rPr>
                <w:rFonts w:hint="eastAsia"/>
              </w:rPr>
              <w:t>水资源与开发利用程度及其水文情势评价</w:t>
            </w:r>
            <w:r>
              <w:rPr>
                <w:rFonts w:cs="Calibri"/>
                <w:w w:val="224"/>
              </w:rPr>
              <w:t> </w:t>
            </w:r>
            <w:r>
              <w:rPr/>
              <w:sym w:font="Wingdings 2" w:char="0052"/>
            </w:r>
          </w:p>
          <w:p>
            <w:pPr>
              <w:pStyle w:val="63"/>
              <w:jc w:val="left"/>
            </w:pPr>
            <w:r>
              <w:rPr>
                <w:rFonts w:hint="eastAsia"/>
              </w:rPr>
              <w:t>水环境质量回顾评价</w:t>
            </w:r>
            <w:r>
              <w:rPr/>
              <w:sym w:font="Wingdings 2" w:char="0052"/>
            </w:r>
          </w:p>
          <w:p>
            <w:pPr>
              <w:pStyle w:val="63"/>
              <w:jc w:val="left"/>
            </w:pPr>
            <w:r>
              <w:rPr>
                <w:rFonts w:hint="eastAsia"/>
              </w:rPr>
              <w:t>流域（区域）水资源（包括水能资源）与开发利用总体状况、生态流量管理要求与现状满足程度、建设项目占用水域空间的水流状况与河湖演变状况</w:t>
            </w:r>
            <w:r>
              <w:rPr>
                <w:rFonts w:cs="Calibri"/>
                <w:w w:val="224"/>
              </w:rPr>
              <w:t> </w:t>
            </w:r>
            <w:r>
              <w:rPr>
                <w:rFonts w:hint="eastAsia"/>
              </w:rPr>
              <w:t>□</w:t>
            </w:r>
          </w:p>
        </w:tc>
        <w:tc>
          <w:tcPr>
            <w:tcW w:w="1029"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p>
          <w:p>
            <w:pPr>
              <w:pStyle w:val="63"/>
            </w:pPr>
            <w:r>
              <w:rPr>
                <w:rFonts w:hint="eastAsia"/>
              </w:rPr>
              <w:t>达标区</w:t>
            </w:r>
            <w:r>
              <w:rPr>
                <w:rFonts w:cs="Calibri"/>
                <w:w w:val="224"/>
              </w:rPr>
              <w:t> </w:t>
            </w:r>
            <w:r>
              <w:rPr/>
              <w:sym w:font="Wingdings 2" w:char="0052"/>
            </w:r>
          </w:p>
          <w:p>
            <w:pPr>
              <w:pStyle w:val="63"/>
            </w:pPr>
            <w:r>
              <w:rPr>
                <w:rFonts w:hint="eastAsia"/>
              </w:rPr>
              <w:t>不达标区</w:t>
            </w:r>
            <w:r>
              <w:rPr>
                <w:rFonts w:cs="Calibri"/>
                <w:w w:val="224"/>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影</w:t>
            </w:r>
          </w:p>
          <w:p>
            <w:pPr>
              <w:pStyle w:val="63"/>
            </w:pPr>
            <w:r>
              <w:rPr>
                <w:rFonts w:hint="eastAsia"/>
              </w:rPr>
              <w:t>响</w:t>
            </w:r>
          </w:p>
          <w:p>
            <w:pPr>
              <w:pStyle w:val="63"/>
            </w:pPr>
            <w:r>
              <w:rPr>
                <w:rFonts w:hint="eastAsia"/>
              </w:rPr>
              <w:t>预</w:t>
            </w:r>
          </w:p>
          <w:p>
            <w:pPr>
              <w:pStyle w:val="63"/>
            </w:pPr>
            <w:r>
              <w:rPr>
                <w:rFonts w:hint="eastAsia"/>
              </w:rPr>
              <w:t>测</w:t>
            </w: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预测范围</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河流：长度（</w:t>
            </w:r>
            <w:r>
              <w:rPr>
                <w:rFonts w:hint="eastAsia"/>
                <w:spacing w:val="3"/>
              </w:rPr>
              <w:t>10</w:t>
            </w:r>
            <w:r>
              <w:rPr>
                <w:rFonts w:hint="eastAsia"/>
              </w:rPr>
              <w:t>）</w:t>
            </w:r>
            <w:r>
              <w:t>km</w:t>
            </w:r>
            <w:r>
              <w:rPr>
                <w:rFonts w:hint="eastAsia"/>
              </w:rPr>
              <w:t>；湖库、河口及近岸海域：面积（</w:t>
            </w:r>
            <w:r>
              <w:t xml:space="preserve">   </w:t>
            </w:r>
            <w:r>
              <w:rPr>
                <w:rFonts w:hint="eastAsia"/>
              </w:rPr>
              <w:t>）</w:t>
            </w:r>
            <w:r>
              <w:t>km</w:t>
            </w:r>
            <w:r>
              <w:rPr>
                <w:vertAlign w:val="superscript"/>
              </w:rPr>
              <w:t>2</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预测因子</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w:t>
            </w:r>
            <w:r>
              <w:rPr>
                <w:bCs/>
              </w:rPr>
              <w:t>COD</w:t>
            </w:r>
            <w:r>
              <w:rPr>
                <w:rFonts w:hint="eastAsia"/>
                <w:bCs/>
              </w:rPr>
              <w:t>、</w:t>
            </w:r>
            <w:r>
              <w:rPr>
                <w:bCs/>
              </w:rPr>
              <w:t>NH</w:t>
            </w:r>
            <w:r>
              <w:rPr>
                <w:bCs/>
                <w:vertAlign w:val="subscript"/>
              </w:rPr>
              <w:t>3</w:t>
            </w:r>
            <w:r>
              <w:rPr>
                <w:bCs/>
              </w:rPr>
              <w:t>-N</w:t>
            </w:r>
            <w:r>
              <w:rPr>
                <w:rFonts w:hint="eastAsia"/>
                <w:bCs/>
              </w:rPr>
              <w:t>、TP</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预测时期</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丰水期</w:t>
            </w:r>
            <w:r>
              <w:rPr>
                <w:rFonts w:cs="Calibri"/>
                <w:w w:val="224"/>
              </w:rPr>
              <w:t> </w:t>
            </w:r>
            <w:r>
              <w:rPr/>
              <w:sym w:font="Wingdings 2" w:char="0052"/>
            </w:r>
            <w:r>
              <w:rPr>
                <w:rFonts w:hint="eastAsia"/>
              </w:rPr>
              <w:t>；平水期</w:t>
            </w:r>
            <w:r>
              <w:rPr>
                <w:rFonts w:cs="Calibri"/>
                <w:w w:val="224"/>
              </w:rPr>
              <w:t> </w:t>
            </w:r>
            <w:r>
              <w:rPr>
                <w:rFonts w:hint="eastAsia"/>
              </w:rPr>
              <w:t>□；枯水期</w:t>
            </w:r>
            <w:r>
              <w:rPr>
                <w:rFonts w:cs="Calibri"/>
                <w:w w:val="224"/>
              </w:rPr>
              <w:t> </w:t>
            </w:r>
            <w:r>
              <w:rPr/>
              <w:sym w:font="Wingdings 2" w:char="0052"/>
            </w:r>
            <w:r>
              <w:rPr>
                <w:rFonts w:hint="eastAsia"/>
              </w:rPr>
              <w:t>；冰封期</w:t>
            </w:r>
            <w:r>
              <w:rPr>
                <w:rFonts w:cs="Calibri"/>
                <w:w w:val="224"/>
              </w:rPr>
              <w:t> </w:t>
            </w:r>
            <w:r>
              <w:rPr>
                <w:rFonts w:hint="eastAsia"/>
              </w:rPr>
              <w:t>□</w:t>
            </w:r>
          </w:p>
          <w:p>
            <w:pPr>
              <w:pStyle w:val="63"/>
            </w:pPr>
            <w:r>
              <w:rPr>
                <w:rFonts w:hint="eastAsia"/>
              </w:rPr>
              <w:t>春季</w:t>
            </w:r>
            <w:r>
              <w:rPr>
                <w:rFonts w:cs="Calibri"/>
                <w:w w:val="224"/>
              </w:rPr>
              <w:t> </w:t>
            </w:r>
            <w:r>
              <w:rPr>
                <w:rFonts w:hint="eastAsia"/>
              </w:rPr>
              <w:t>□；夏季</w:t>
            </w:r>
            <w:r>
              <w:rPr>
                <w:rFonts w:cs="Calibri"/>
                <w:w w:val="224"/>
              </w:rPr>
              <w:t> </w:t>
            </w:r>
            <w:r>
              <w:rPr/>
              <w:sym w:font="Wingdings 2" w:char="0052"/>
            </w:r>
            <w:r>
              <w:rPr>
                <w:rFonts w:hint="eastAsia"/>
              </w:rPr>
              <w:t>；秋季</w:t>
            </w:r>
            <w:r>
              <w:rPr>
                <w:rFonts w:cs="Calibri"/>
                <w:w w:val="224"/>
              </w:rPr>
              <w:t> </w:t>
            </w:r>
            <w:r>
              <w:rPr>
                <w:rFonts w:hint="eastAsia"/>
              </w:rPr>
              <w:t>□；冬季</w:t>
            </w:r>
            <w:r>
              <w:rPr>
                <w:rFonts w:cs="Calibri"/>
                <w:w w:val="224"/>
              </w:rPr>
              <w:t> </w:t>
            </w:r>
            <w:r>
              <w:rPr/>
              <w:sym w:font="Wingdings 2" w:char="0052"/>
            </w:r>
          </w:p>
          <w:p>
            <w:pPr>
              <w:pStyle w:val="63"/>
            </w:pPr>
            <w:r>
              <w:rPr>
                <w:rFonts w:hint="eastAsia"/>
              </w:rPr>
              <w:t>设计水文条件</w:t>
            </w:r>
            <w:r>
              <w:rPr>
                <w:rFonts w:cs="Calibri"/>
                <w:w w:val="224"/>
              </w:rPr>
              <w:t> </w:t>
            </w:r>
            <w:r>
              <w:rPr>
                <w:rFonts w:hint="eastAsia"/>
              </w:rPr>
              <w:t xml:space="preserve">□ </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预测情景</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建设期</w:t>
            </w:r>
            <w:r>
              <w:rPr>
                <w:rFonts w:cs="Calibri"/>
                <w:w w:val="224"/>
              </w:rPr>
              <w:t> </w:t>
            </w:r>
            <w:r>
              <w:rPr>
                <w:rFonts w:hint="eastAsia"/>
              </w:rPr>
              <w:t>□；生产运行期</w:t>
            </w:r>
            <w:r>
              <w:rPr>
                <w:rFonts w:cs="Calibri"/>
                <w:w w:val="224"/>
              </w:rPr>
              <w:t> </w:t>
            </w:r>
            <w:r>
              <w:rPr/>
              <w:sym w:font="Wingdings 2" w:char="0052"/>
            </w:r>
            <w:r>
              <w:rPr>
                <w:rFonts w:hint="eastAsia"/>
              </w:rPr>
              <w:t>；服务期满后</w:t>
            </w:r>
            <w:r>
              <w:rPr>
                <w:rFonts w:cs="Calibri"/>
                <w:w w:val="224"/>
              </w:rPr>
              <w:t> </w:t>
            </w:r>
            <w:r>
              <w:rPr>
                <w:rFonts w:hint="eastAsia"/>
              </w:rPr>
              <w:t>□</w:t>
            </w:r>
          </w:p>
          <w:p>
            <w:pPr>
              <w:pStyle w:val="63"/>
            </w:pPr>
            <w:r>
              <w:rPr>
                <w:rFonts w:hint="eastAsia"/>
              </w:rPr>
              <w:t>正常工况</w:t>
            </w:r>
            <w:r>
              <w:rPr>
                <w:rFonts w:cs="Calibri"/>
                <w:w w:val="224"/>
              </w:rPr>
              <w:t> </w:t>
            </w:r>
            <w:r>
              <w:rPr/>
              <w:sym w:font="Wingdings 2" w:char="0052"/>
            </w:r>
            <w:r>
              <w:rPr>
                <w:rFonts w:hint="eastAsia"/>
              </w:rPr>
              <w:t>；非正常工况</w:t>
            </w:r>
            <w:r>
              <w:rPr>
                <w:rFonts w:cs="Calibri"/>
                <w:w w:val="224"/>
              </w:rPr>
              <w:t> </w:t>
            </w:r>
            <w:r>
              <w:rPr/>
              <w:sym w:font="Wingdings 2" w:char="0052"/>
            </w:r>
          </w:p>
          <w:p>
            <w:pPr>
              <w:pStyle w:val="63"/>
            </w:pPr>
            <w:r>
              <w:rPr>
                <w:rFonts w:hint="eastAsia"/>
              </w:rPr>
              <w:t>污染控制和减缓措施方案</w:t>
            </w:r>
            <w:r>
              <w:rPr>
                <w:rFonts w:cs="Calibri"/>
                <w:w w:val="224"/>
              </w:rPr>
              <w:t> </w:t>
            </w:r>
            <w:r>
              <w:rPr>
                <w:rFonts w:hint="eastAsia"/>
              </w:rPr>
              <w:t>□</w:t>
            </w:r>
          </w:p>
          <w:p>
            <w:pPr>
              <w:pStyle w:val="63"/>
            </w:pPr>
            <w:r>
              <w:rPr>
                <w:rFonts w:hint="eastAsia"/>
              </w:rPr>
              <w:t>区（流）域环境质量改善目标要求情景</w:t>
            </w:r>
            <w:r>
              <w:rPr>
                <w:rFonts w:cs="Calibri"/>
                <w:w w:val="224"/>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预测方法</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数值解</w:t>
            </w:r>
            <w:r>
              <w:rPr>
                <w:rFonts w:cs="Calibri"/>
                <w:w w:val="224"/>
              </w:rPr>
              <w:t> </w:t>
            </w:r>
            <w:r>
              <w:rPr>
                <w:rFonts w:hint="eastAsia"/>
              </w:rPr>
              <w:t>□；解析解</w:t>
            </w:r>
            <w:r>
              <w:rPr>
                <w:rFonts w:cs="Calibri"/>
                <w:w w:val="224"/>
              </w:rPr>
              <w:t> </w:t>
            </w:r>
            <w:r>
              <w:rPr/>
              <w:sym w:font="Wingdings 2" w:char="0052"/>
            </w:r>
            <w:r>
              <w:rPr>
                <w:rFonts w:hint="eastAsia"/>
              </w:rPr>
              <w:t>；其他</w:t>
            </w:r>
            <w:r>
              <w:rPr>
                <w:rFonts w:cs="Calibri"/>
                <w:w w:val="224"/>
              </w:rPr>
              <w:t> </w:t>
            </w:r>
            <w:r>
              <w:rPr>
                <w:rFonts w:hint="eastAsia"/>
              </w:rPr>
              <w:t>□</w:t>
            </w:r>
          </w:p>
          <w:p>
            <w:pPr>
              <w:pStyle w:val="63"/>
            </w:pPr>
            <w:r>
              <w:rPr>
                <w:rFonts w:hint="eastAsia"/>
              </w:rPr>
              <w:t>导则推荐模式</w:t>
            </w:r>
            <w:r>
              <w:rPr>
                <w:rFonts w:cs="Calibri"/>
                <w:w w:val="224"/>
              </w:rPr>
              <w:t> </w:t>
            </w:r>
            <w:r>
              <w:rPr/>
              <w:sym w:font="Wingdings 2" w:char="0052"/>
            </w:r>
            <w:r>
              <w:rPr>
                <w:rFonts w:hint="eastAsia"/>
              </w:rPr>
              <w:t>；其他</w:t>
            </w:r>
            <w:r>
              <w:rPr>
                <w:rFonts w:cs="Calibri"/>
                <w:w w:val="224"/>
              </w:rPr>
              <w:t> </w:t>
            </w:r>
            <w:r>
              <w:rPr>
                <w:rFonts w:hint="eastAsia"/>
              </w:rPr>
              <w:t>□</w:t>
            </w:r>
          </w:p>
        </w:tc>
      </w:tr>
      <w:tr>
        <w:tblPrEx>
          <w:tblLayout w:type="fixed"/>
          <w:tblCellMar>
            <w:top w:w="0" w:type="dxa"/>
            <w:left w:w="108" w:type="dxa"/>
            <w:bottom w:w="0" w:type="dxa"/>
            <w:right w:w="108" w:type="dxa"/>
          </w:tblCellMar>
        </w:tblPrEx>
        <w:trPr>
          <w:trHeight w:val="299" w:hRule="atLeast"/>
        </w:trPr>
        <w:tc>
          <w:tcPr>
            <w:tcW w:w="34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影</w:t>
            </w:r>
          </w:p>
          <w:p>
            <w:pPr>
              <w:pStyle w:val="63"/>
            </w:pPr>
            <w:r>
              <w:rPr>
                <w:rFonts w:hint="eastAsia"/>
              </w:rPr>
              <w:t>响</w:t>
            </w:r>
          </w:p>
          <w:p>
            <w:pPr>
              <w:pStyle w:val="63"/>
            </w:pPr>
            <w:r>
              <w:rPr>
                <w:rFonts w:hint="eastAsia"/>
              </w:rPr>
              <w:t>评</w:t>
            </w:r>
          </w:p>
          <w:p>
            <w:pPr>
              <w:pStyle w:val="63"/>
            </w:pPr>
            <w:r>
              <w:rPr>
                <w:rFonts w:hint="eastAsia"/>
              </w:rPr>
              <w:t>价</w:t>
            </w: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水污染控制和水环境影响减缓措施有效性评价</w:t>
            </w:r>
          </w:p>
        </w:tc>
        <w:tc>
          <w:tcPr>
            <w:tcW w:w="6750" w:type="dxa"/>
            <w:gridSpan w:val="1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区（流）域水环境质量改善目标</w:t>
            </w:r>
            <w:r>
              <w:rPr>
                <w:rFonts w:cs="Calibri"/>
                <w:w w:val="224"/>
              </w:rPr>
              <w:t> </w:t>
            </w:r>
            <w:r>
              <w:rPr/>
              <w:sym w:font="Wingdings 2" w:char="0052"/>
            </w:r>
            <w:r>
              <w:rPr>
                <w:rFonts w:hint="eastAsia"/>
              </w:rPr>
              <w:t>；替代削减源</w:t>
            </w:r>
            <w:r>
              <w:rPr>
                <w:rFonts w:cs="Calibri"/>
                <w:w w:val="224"/>
              </w:rPr>
              <w:t> </w:t>
            </w:r>
            <w:r>
              <w:rPr>
                <w:rFonts w:hint="eastAsia"/>
              </w:rPr>
              <w:t>□</w:t>
            </w:r>
          </w:p>
        </w:tc>
      </w:tr>
      <w:tr>
        <w:tblPrEx>
          <w:tblLayout w:type="fixed"/>
          <w:tblCellMar>
            <w:top w:w="0" w:type="dxa"/>
            <w:left w:w="108" w:type="dxa"/>
            <w:bottom w:w="0" w:type="dxa"/>
            <w:right w:w="108" w:type="dxa"/>
          </w:tblCellMar>
        </w:tblPrEx>
        <w:trPr>
          <w:gridAfter w:val="1"/>
          <w:wAfter w:w="11" w:type="dxa"/>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水环境影响评价</w:t>
            </w:r>
          </w:p>
        </w:tc>
        <w:tc>
          <w:tcPr>
            <w:tcW w:w="6739" w:type="dxa"/>
            <w:gridSpan w:val="1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jc w:val="left"/>
            </w:pPr>
            <w:r>
              <w:rPr>
                <w:rFonts w:hint="eastAsia"/>
              </w:rPr>
              <w:t>排放口混合区外满足水环境管理要求</w:t>
            </w:r>
            <w:r>
              <w:rPr/>
              <w:sym w:font="Wingdings 2" w:char="0052"/>
            </w:r>
          </w:p>
          <w:p>
            <w:pPr>
              <w:pStyle w:val="63"/>
              <w:jc w:val="left"/>
            </w:pPr>
            <w:r>
              <w:rPr>
                <w:rFonts w:hint="eastAsia"/>
              </w:rPr>
              <w:t>水环境功能区或水功能区、近岸海域环境功能区水质达标</w:t>
            </w:r>
            <w:r>
              <w:rPr>
                <w:rFonts w:cs="Calibri"/>
                <w:w w:val="224"/>
              </w:rPr>
              <w:t> </w:t>
            </w:r>
            <w:r>
              <w:rPr/>
              <w:sym w:font="Wingdings 2" w:char="0052"/>
            </w:r>
          </w:p>
          <w:p>
            <w:pPr>
              <w:pStyle w:val="63"/>
              <w:jc w:val="left"/>
            </w:pPr>
            <w:r>
              <w:rPr>
                <w:rFonts w:hint="eastAsia"/>
              </w:rPr>
              <w:t>满足水环境保护目标水域水环境质量要求</w:t>
            </w:r>
            <w:r>
              <w:rPr>
                <w:rFonts w:cs="Calibri"/>
                <w:w w:val="224"/>
              </w:rPr>
              <w:t> </w:t>
            </w:r>
            <w:r>
              <w:rPr/>
              <w:sym w:font="Wingdings 2" w:char="0052"/>
            </w:r>
          </w:p>
          <w:p>
            <w:pPr>
              <w:pStyle w:val="63"/>
              <w:jc w:val="left"/>
            </w:pPr>
            <w:r>
              <w:rPr>
                <w:rFonts w:hint="eastAsia"/>
              </w:rPr>
              <w:t>水环境控制单元或断面水质达标</w:t>
            </w:r>
            <w:r>
              <w:rPr>
                <w:rFonts w:cs="Calibri"/>
                <w:w w:val="224"/>
              </w:rPr>
              <w:t> </w:t>
            </w:r>
            <w:r>
              <w:rPr/>
              <w:sym w:font="Wingdings 2" w:char="0052"/>
            </w:r>
          </w:p>
          <w:p>
            <w:pPr>
              <w:pStyle w:val="63"/>
              <w:jc w:val="left"/>
            </w:pPr>
            <w:r>
              <w:rPr>
                <w:rFonts w:hint="eastAsia"/>
              </w:rPr>
              <w:t>满足重点水污染物排放总量控制指标要求，重点行业建设项目，</w:t>
            </w:r>
            <w:r>
              <w:rPr>
                <w:w w:val="225"/>
              </w:rPr>
              <w:t> </w:t>
            </w:r>
            <w:r>
              <w:rPr>
                <w:rFonts w:hint="eastAsia"/>
              </w:rPr>
              <w:t>主要污染物排放满足等量或减量替代要求</w:t>
            </w:r>
            <w:r>
              <w:rPr>
                <w:rFonts w:cs="Calibri"/>
                <w:w w:val="224"/>
              </w:rPr>
              <w:t> </w:t>
            </w:r>
            <w:r>
              <w:rPr>
                <w:rFonts w:hint="eastAsia"/>
              </w:rPr>
              <w:t>□</w:t>
            </w:r>
          </w:p>
          <w:p>
            <w:pPr>
              <w:pStyle w:val="63"/>
              <w:jc w:val="left"/>
            </w:pPr>
            <w:r>
              <w:rPr>
                <w:rFonts w:hint="eastAsia"/>
              </w:rPr>
              <w:t>满足区（流）域水环境质量改善目标要求</w:t>
            </w:r>
            <w:r>
              <w:rPr>
                <w:rFonts w:cs="Calibri"/>
                <w:w w:val="224"/>
              </w:rPr>
              <w:t> </w:t>
            </w:r>
            <w:r>
              <w:rPr/>
              <w:sym w:font="Wingdings 2" w:char="0052"/>
            </w:r>
          </w:p>
          <w:p>
            <w:pPr>
              <w:pStyle w:val="63"/>
              <w:jc w:val="left"/>
            </w:pPr>
            <w:r>
              <w:rPr>
                <w:rFonts w:hint="eastAsia"/>
              </w:rPr>
              <w:t>水文要素影响型建设项目同时应包括水文情势变化评价、主要水文特征值影响评价、生态流量符合性评价</w:t>
            </w:r>
            <w:r>
              <w:rPr>
                <w:rFonts w:cs="Calibri"/>
                <w:w w:val="224"/>
              </w:rPr>
              <w:t> </w:t>
            </w:r>
            <w:r>
              <w:rPr>
                <w:rFonts w:hint="eastAsia"/>
              </w:rPr>
              <w:t>□</w:t>
            </w:r>
          </w:p>
          <w:p>
            <w:pPr>
              <w:pStyle w:val="63"/>
              <w:jc w:val="left"/>
            </w:pPr>
            <w:r>
              <w:rPr>
                <w:rFonts w:hint="eastAsia"/>
              </w:rPr>
              <w:t>对于新设或调整入河（湖库、近岸海域）排放口的建设项目，应包括排放口设置的环境合理性评价</w:t>
            </w:r>
            <w:r>
              <w:rPr>
                <w:rFonts w:cs="Calibri"/>
                <w:w w:val="224"/>
              </w:rPr>
              <w:t> </w:t>
            </w:r>
            <w:r>
              <w:rPr/>
              <w:sym w:font="Wingdings 2" w:char="0052"/>
            </w:r>
          </w:p>
          <w:p>
            <w:pPr>
              <w:pStyle w:val="63"/>
              <w:jc w:val="left"/>
            </w:pPr>
            <w:r>
              <w:rPr>
                <w:rFonts w:hint="eastAsia"/>
              </w:rPr>
              <w:t>满足生态保护红线、水环境质量底线、资源利用上线和环境准入清单管理要求</w:t>
            </w:r>
            <w:r>
              <w:rPr>
                <w:rFonts w:cs="Calibri"/>
                <w:w w:val="224"/>
              </w:rPr>
              <w:t> </w:t>
            </w:r>
            <w:r>
              <w:rPr/>
              <w:sym w:font="Wingdings 2" w:char="0052"/>
            </w:r>
          </w:p>
        </w:tc>
      </w:tr>
      <w:tr>
        <w:tblPrEx>
          <w:tblLayout w:type="fixed"/>
          <w:tblCellMar>
            <w:top w:w="0" w:type="dxa"/>
            <w:left w:w="108" w:type="dxa"/>
            <w:bottom w:w="0" w:type="dxa"/>
            <w:right w:w="108" w:type="dxa"/>
          </w:tblCellMar>
        </w:tblPrEx>
        <w:trPr>
          <w:gridAfter w:val="1"/>
          <w:wAfter w:w="11" w:type="dxa"/>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restart"/>
            <w:tcBorders>
              <w:top w:val="single" w:color="000000" w:sz="6" w:space="0"/>
              <w:left w:val="single" w:color="000000" w:sz="6" w:space="0"/>
              <w:bottom w:val="nil"/>
              <w:right w:val="single" w:color="000000" w:sz="6" w:space="0"/>
            </w:tcBorders>
            <w:tcMar>
              <w:top w:w="0" w:type="dxa"/>
              <w:left w:w="0" w:type="dxa"/>
              <w:bottom w:w="0" w:type="dxa"/>
              <w:right w:w="0" w:type="dxa"/>
            </w:tcMar>
            <w:vAlign w:val="center"/>
          </w:tcPr>
          <w:p>
            <w:pPr>
              <w:pStyle w:val="63"/>
            </w:pPr>
            <w:r>
              <w:rPr>
                <w:rFonts w:hint="eastAsia"/>
              </w:rPr>
              <w:t>污染源排放量核算</w:t>
            </w:r>
          </w:p>
        </w:tc>
        <w:tc>
          <w:tcPr>
            <w:tcW w:w="2216"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污染物名称</w:t>
            </w:r>
          </w:p>
        </w:tc>
        <w:tc>
          <w:tcPr>
            <w:tcW w:w="2216"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排放量</w:t>
            </w:r>
            <w:r>
              <w:t>/</w:t>
            </w:r>
            <w:r>
              <w:rPr>
                <w:rFonts w:hint="eastAsia"/>
              </w:rPr>
              <w:t>（</w:t>
            </w:r>
            <w:r>
              <w:t>t/a</w:t>
            </w:r>
            <w:r>
              <w:rPr>
                <w:rFonts w:hint="eastAsia"/>
              </w:rPr>
              <w:t>）</w:t>
            </w:r>
          </w:p>
        </w:tc>
        <w:tc>
          <w:tcPr>
            <w:tcW w:w="2307" w:type="dxa"/>
            <w:gridSpan w:val="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排放浓度</w:t>
            </w:r>
            <w:r>
              <w:t>/</w:t>
            </w:r>
            <w:r>
              <w:rPr>
                <w:rFonts w:hint="eastAsia"/>
              </w:rPr>
              <w:t>（</w:t>
            </w:r>
            <w:r>
              <w:t>mg/L</w:t>
            </w:r>
            <w:r>
              <w:rPr>
                <w:rFonts w:hint="eastAsia"/>
              </w:rPr>
              <w:t>）</w:t>
            </w:r>
          </w:p>
        </w:tc>
      </w:tr>
      <w:tr>
        <w:tblPrEx>
          <w:tblLayout w:type="fixed"/>
          <w:tblCellMar>
            <w:top w:w="0" w:type="dxa"/>
            <w:left w:w="108" w:type="dxa"/>
            <w:bottom w:w="0" w:type="dxa"/>
            <w:right w:w="108" w:type="dxa"/>
          </w:tblCellMar>
        </w:tblPrEx>
        <w:trPr>
          <w:gridAfter w:val="1"/>
          <w:wAfter w:w="11" w:type="dxa"/>
          <w:trHeight w:val="46"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nil"/>
              <w:right w:val="single" w:color="000000" w:sz="6" w:space="0"/>
            </w:tcBorders>
            <w:vAlign w:val="center"/>
          </w:tcPr>
          <w:p>
            <w:pPr>
              <w:pStyle w:val="63"/>
            </w:pPr>
          </w:p>
        </w:tc>
        <w:tc>
          <w:tcPr>
            <w:tcW w:w="2216"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t>pH</w:t>
            </w:r>
            <w:r>
              <w:rPr>
                <w:rFonts w:hint="eastAsia"/>
              </w:rPr>
              <w:t>（无量纲）</w:t>
            </w:r>
          </w:p>
        </w:tc>
        <w:tc>
          <w:tcPr>
            <w:tcW w:w="2216"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t>/</w:t>
            </w:r>
          </w:p>
        </w:tc>
        <w:tc>
          <w:tcPr>
            <w:tcW w:w="2307" w:type="dxa"/>
            <w:gridSpan w:val="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rPr>
                <w:rFonts w:eastAsiaTheme="minorEastAsia"/>
              </w:rPr>
            </w:pPr>
            <w:r>
              <w:rPr>
                <w:rFonts w:eastAsiaTheme="minorEastAsia"/>
              </w:rPr>
              <w:t>6-9</w:t>
            </w:r>
          </w:p>
        </w:tc>
      </w:tr>
      <w:tr>
        <w:tblPrEx>
          <w:tblLayout w:type="fixed"/>
          <w:tblCellMar>
            <w:top w:w="0" w:type="dxa"/>
            <w:left w:w="108" w:type="dxa"/>
            <w:bottom w:w="0" w:type="dxa"/>
            <w:right w:w="108" w:type="dxa"/>
          </w:tblCellMar>
        </w:tblPrEx>
        <w:trPr>
          <w:gridAfter w:val="1"/>
          <w:wAfter w:w="11" w:type="dxa"/>
          <w:trHeight w:val="131"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nil"/>
              <w:right w:val="single" w:color="000000" w:sz="6" w:space="0"/>
            </w:tcBorders>
            <w:vAlign w:val="center"/>
          </w:tcPr>
          <w:p>
            <w:pPr>
              <w:pStyle w:val="63"/>
            </w:pPr>
          </w:p>
        </w:tc>
        <w:tc>
          <w:tcPr>
            <w:tcW w:w="2216" w:type="dxa"/>
            <w:gridSpan w:val="3"/>
            <w:tcBorders>
              <w:top w:val="single" w:color="000000"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t>COD</w:t>
            </w:r>
          </w:p>
        </w:tc>
        <w:tc>
          <w:tcPr>
            <w:tcW w:w="2216" w:type="dxa"/>
            <w:gridSpan w:val="5"/>
            <w:tcBorders>
              <w:top w:val="single" w:color="000000"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t>182.5</w:t>
            </w:r>
          </w:p>
        </w:tc>
        <w:tc>
          <w:tcPr>
            <w:tcW w:w="2307" w:type="dxa"/>
            <w:gridSpan w:val="4"/>
            <w:tcBorders>
              <w:top w:val="single" w:color="000000" w:sz="6" w:space="0"/>
              <w:left w:val="single" w:color="000000" w:sz="6" w:space="0"/>
              <w:bottom w:val="single" w:color="auto" w:sz="6" w:space="0"/>
              <w:right w:val="single" w:color="000000" w:sz="6" w:space="0"/>
            </w:tcBorders>
            <w:tcMar>
              <w:top w:w="0" w:type="dxa"/>
              <w:left w:w="0" w:type="dxa"/>
              <w:bottom w:w="0" w:type="dxa"/>
              <w:right w:w="0" w:type="dxa"/>
            </w:tcMar>
          </w:tcPr>
          <w:p>
            <w:pPr>
              <w:pStyle w:val="63"/>
            </w:pPr>
            <w:r>
              <w:rPr>
                <w:rFonts w:hint="eastAsia"/>
              </w:rPr>
              <w:t>50</w:t>
            </w:r>
          </w:p>
        </w:tc>
      </w:tr>
      <w:tr>
        <w:tblPrEx>
          <w:tblLayout w:type="fixed"/>
          <w:tblCellMar>
            <w:top w:w="0" w:type="dxa"/>
            <w:left w:w="108" w:type="dxa"/>
            <w:bottom w:w="0" w:type="dxa"/>
            <w:right w:w="108" w:type="dxa"/>
          </w:tblCellMar>
        </w:tblPrEx>
        <w:trPr>
          <w:gridAfter w:val="1"/>
          <w:wAfter w:w="11" w:type="dxa"/>
          <w:trHeight w:val="46"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nil"/>
              <w:right w:val="single" w:color="000000" w:sz="6" w:space="0"/>
            </w:tcBorders>
            <w:vAlign w:val="center"/>
          </w:tcPr>
          <w:p>
            <w:pPr>
              <w:pStyle w:val="63"/>
            </w:pPr>
          </w:p>
        </w:tc>
        <w:tc>
          <w:tcPr>
            <w:tcW w:w="2216" w:type="dxa"/>
            <w:gridSpan w:val="3"/>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t>BOD</w:t>
            </w:r>
            <w:r>
              <w:rPr>
                <w:vertAlign w:val="subscript"/>
              </w:rPr>
              <w:t>5</w:t>
            </w:r>
          </w:p>
        </w:tc>
        <w:tc>
          <w:tcPr>
            <w:tcW w:w="2216" w:type="dxa"/>
            <w:gridSpan w:val="5"/>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t>36.5</w:t>
            </w:r>
          </w:p>
        </w:tc>
        <w:tc>
          <w:tcPr>
            <w:tcW w:w="2307" w:type="dxa"/>
            <w:gridSpan w:val="4"/>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tcPr>
          <w:p>
            <w:pPr>
              <w:pStyle w:val="63"/>
            </w:pPr>
            <w:r>
              <w:rPr>
                <w:rFonts w:hint="eastAsia"/>
              </w:rPr>
              <w:t>10</w:t>
            </w:r>
          </w:p>
        </w:tc>
      </w:tr>
      <w:tr>
        <w:tblPrEx>
          <w:tblLayout w:type="fixed"/>
          <w:tblCellMar>
            <w:top w:w="0" w:type="dxa"/>
            <w:left w:w="108" w:type="dxa"/>
            <w:bottom w:w="0" w:type="dxa"/>
            <w:right w:w="108" w:type="dxa"/>
          </w:tblCellMar>
        </w:tblPrEx>
        <w:trPr>
          <w:gridAfter w:val="1"/>
          <w:wAfter w:w="11" w:type="dxa"/>
          <w:trHeight w:val="46"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nil"/>
              <w:right w:val="single" w:color="000000" w:sz="6" w:space="0"/>
            </w:tcBorders>
            <w:vAlign w:val="center"/>
          </w:tcPr>
          <w:p>
            <w:pPr>
              <w:pStyle w:val="63"/>
            </w:pPr>
          </w:p>
        </w:tc>
        <w:tc>
          <w:tcPr>
            <w:tcW w:w="2216" w:type="dxa"/>
            <w:gridSpan w:val="3"/>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t>SS</w:t>
            </w:r>
          </w:p>
        </w:tc>
        <w:tc>
          <w:tcPr>
            <w:tcW w:w="2216" w:type="dxa"/>
            <w:gridSpan w:val="5"/>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rPr>
                <w:rFonts w:hint="eastAsia"/>
              </w:rPr>
              <w:t>36.5</w:t>
            </w:r>
          </w:p>
        </w:tc>
        <w:tc>
          <w:tcPr>
            <w:tcW w:w="2307" w:type="dxa"/>
            <w:gridSpan w:val="4"/>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tcPr>
          <w:p>
            <w:pPr>
              <w:pStyle w:val="63"/>
            </w:pPr>
            <w:r>
              <w:rPr>
                <w:rFonts w:hint="eastAsia"/>
              </w:rPr>
              <w:t>10</w:t>
            </w:r>
          </w:p>
        </w:tc>
      </w:tr>
      <w:tr>
        <w:tblPrEx>
          <w:tblLayout w:type="fixed"/>
          <w:tblCellMar>
            <w:top w:w="0" w:type="dxa"/>
            <w:left w:w="108" w:type="dxa"/>
            <w:bottom w:w="0" w:type="dxa"/>
            <w:right w:w="108" w:type="dxa"/>
          </w:tblCellMar>
        </w:tblPrEx>
        <w:trPr>
          <w:gridAfter w:val="1"/>
          <w:wAfter w:w="11" w:type="dxa"/>
          <w:trHeight w:val="46"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nil"/>
              <w:right w:val="single" w:color="000000" w:sz="6" w:space="0"/>
            </w:tcBorders>
            <w:vAlign w:val="center"/>
          </w:tcPr>
          <w:p>
            <w:pPr>
              <w:pStyle w:val="63"/>
            </w:pPr>
          </w:p>
        </w:tc>
        <w:tc>
          <w:tcPr>
            <w:tcW w:w="2216" w:type="dxa"/>
            <w:gridSpan w:val="3"/>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t>NH</w:t>
            </w:r>
            <w:r>
              <w:rPr>
                <w:vertAlign w:val="subscript"/>
              </w:rPr>
              <w:t>3</w:t>
            </w:r>
            <w:r>
              <w:t>-N</w:t>
            </w:r>
          </w:p>
        </w:tc>
        <w:tc>
          <w:tcPr>
            <w:tcW w:w="2216" w:type="dxa"/>
            <w:gridSpan w:val="5"/>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rPr>
                <w:rFonts w:hint="eastAsia"/>
              </w:rPr>
              <w:t>18.25</w:t>
            </w:r>
          </w:p>
        </w:tc>
        <w:tc>
          <w:tcPr>
            <w:tcW w:w="2307" w:type="dxa"/>
            <w:gridSpan w:val="4"/>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tcPr>
          <w:p>
            <w:pPr>
              <w:pStyle w:val="63"/>
            </w:pPr>
            <w:r>
              <w:rPr>
                <w:rFonts w:hint="eastAsia"/>
              </w:rPr>
              <w:t>5</w:t>
            </w:r>
          </w:p>
        </w:tc>
      </w:tr>
      <w:tr>
        <w:tblPrEx>
          <w:tblLayout w:type="fixed"/>
          <w:tblCellMar>
            <w:top w:w="0" w:type="dxa"/>
            <w:left w:w="108" w:type="dxa"/>
            <w:bottom w:w="0" w:type="dxa"/>
            <w:right w:w="108" w:type="dxa"/>
          </w:tblCellMar>
        </w:tblPrEx>
        <w:trPr>
          <w:gridAfter w:val="1"/>
          <w:wAfter w:w="11" w:type="dxa"/>
          <w:trHeight w:val="46"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nil"/>
              <w:right w:val="single" w:color="000000" w:sz="6" w:space="0"/>
            </w:tcBorders>
            <w:vAlign w:val="center"/>
          </w:tcPr>
          <w:p>
            <w:pPr>
              <w:pStyle w:val="63"/>
            </w:pPr>
          </w:p>
        </w:tc>
        <w:tc>
          <w:tcPr>
            <w:tcW w:w="2216" w:type="dxa"/>
            <w:gridSpan w:val="3"/>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t>TN</w:t>
            </w:r>
          </w:p>
        </w:tc>
        <w:tc>
          <w:tcPr>
            <w:tcW w:w="2216" w:type="dxa"/>
            <w:gridSpan w:val="5"/>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rPr>
                <w:rFonts w:hint="eastAsia"/>
              </w:rPr>
              <w:t>54.75</w:t>
            </w:r>
          </w:p>
        </w:tc>
        <w:tc>
          <w:tcPr>
            <w:tcW w:w="2307" w:type="dxa"/>
            <w:gridSpan w:val="4"/>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tcPr>
          <w:p>
            <w:pPr>
              <w:pStyle w:val="63"/>
            </w:pPr>
            <w:r>
              <w:rPr>
                <w:rFonts w:hint="eastAsia"/>
              </w:rPr>
              <w:t>15</w:t>
            </w:r>
          </w:p>
        </w:tc>
      </w:tr>
      <w:tr>
        <w:tblPrEx>
          <w:tblLayout w:type="fixed"/>
          <w:tblCellMar>
            <w:top w:w="0" w:type="dxa"/>
            <w:left w:w="108" w:type="dxa"/>
            <w:bottom w:w="0" w:type="dxa"/>
            <w:right w:w="108" w:type="dxa"/>
          </w:tblCellMar>
        </w:tblPrEx>
        <w:trPr>
          <w:gridAfter w:val="1"/>
          <w:wAfter w:w="11" w:type="dxa"/>
          <w:trHeight w:val="46"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nil"/>
              <w:right w:val="single" w:color="000000" w:sz="6" w:space="0"/>
            </w:tcBorders>
            <w:vAlign w:val="center"/>
          </w:tcPr>
          <w:p>
            <w:pPr>
              <w:pStyle w:val="63"/>
            </w:pPr>
          </w:p>
        </w:tc>
        <w:tc>
          <w:tcPr>
            <w:tcW w:w="2216" w:type="dxa"/>
            <w:gridSpan w:val="3"/>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t>TP</w:t>
            </w:r>
          </w:p>
        </w:tc>
        <w:tc>
          <w:tcPr>
            <w:tcW w:w="2216" w:type="dxa"/>
            <w:gridSpan w:val="5"/>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vAlign w:val="center"/>
          </w:tcPr>
          <w:p>
            <w:pPr>
              <w:pStyle w:val="63"/>
            </w:pPr>
            <w:r>
              <w:rPr>
                <w:rFonts w:hint="eastAsia"/>
              </w:rPr>
              <w:t>1.825</w:t>
            </w:r>
          </w:p>
        </w:tc>
        <w:tc>
          <w:tcPr>
            <w:tcW w:w="2307" w:type="dxa"/>
            <w:gridSpan w:val="4"/>
            <w:tcBorders>
              <w:top w:val="single" w:color="auto" w:sz="6" w:space="0"/>
              <w:left w:val="single" w:color="000000" w:sz="6" w:space="0"/>
              <w:bottom w:val="single" w:color="auto" w:sz="6" w:space="0"/>
              <w:right w:val="single" w:color="000000" w:sz="6" w:space="0"/>
            </w:tcBorders>
            <w:tcMar>
              <w:top w:w="0" w:type="dxa"/>
              <w:left w:w="0" w:type="dxa"/>
              <w:bottom w:w="0" w:type="dxa"/>
              <w:right w:w="0" w:type="dxa"/>
            </w:tcMar>
          </w:tcPr>
          <w:p>
            <w:pPr>
              <w:pStyle w:val="63"/>
            </w:pPr>
            <w:r>
              <w:rPr>
                <w:rFonts w:hint="eastAsia"/>
              </w:rPr>
              <w:t>0.5</w:t>
            </w:r>
          </w:p>
        </w:tc>
      </w:tr>
      <w:tr>
        <w:tblPrEx>
          <w:tblLayout w:type="fixed"/>
          <w:tblCellMar>
            <w:top w:w="0" w:type="dxa"/>
            <w:left w:w="108" w:type="dxa"/>
            <w:bottom w:w="0" w:type="dxa"/>
            <w:right w:w="108" w:type="dxa"/>
          </w:tblCellMar>
        </w:tblPrEx>
        <w:trPr>
          <w:gridAfter w:val="1"/>
          <w:wAfter w:w="11" w:type="dxa"/>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替代源排放情况</w:t>
            </w:r>
          </w:p>
        </w:tc>
        <w:tc>
          <w:tcPr>
            <w:tcW w:w="133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污染源名称</w:t>
            </w:r>
          </w:p>
        </w:tc>
        <w:tc>
          <w:tcPr>
            <w:tcW w:w="1327"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排污许可证编号</w:t>
            </w:r>
          </w:p>
        </w:tc>
        <w:tc>
          <w:tcPr>
            <w:tcW w:w="1330"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污染物名称</w:t>
            </w:r>
          </w:p>
        </w:tc>
        <w:tc>
          <w:tcPr>
            <w:tcW w:w="1329"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排放量</w:t>
            </w:r>
            <w:r>
              <w:t>/</w:t>
            </w:r>
            <w:r>
              <w:rPr>
                <w:rFonts w:hint="eastAsia"/>
              </w:rPr>
              <w:t>（</w:t>
            </w:r>
            <w:r>
              <w:t>t/a</w:t>
            </w:r>
            <w:r>
              <w:rPr>
                <w:rFonts w:hint="eastAsia"/>
              </w:rPr>
              <w:t>）</w:t>
            </w:r>
          </w:p>
        </w:tc>
        <w:tc>
          <w:tcPr>
            <w:tcW w:w="1422"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排放浓度</w:t>
            </w:r>
            <w:r>
              <w:t>/</w:t>
            </w:r>
            <w:r>
              <w:rPr>
                <w:rFonts w:hint="eastAsia"/>
              </w:rPr>
              <w:t>（</w:t>
            </w:r>
            <w:r>
              <w:t>mg/L</w:t>
            </w:r>
            <w:r>
              <w:rPr>
                <w:rFonts w:hint="eastAsia"/>
              </w:rPr>
              <w:t>）</w:t>
            </w:r>
          </w:p>
        </w:tc>
      </w:tr>
      <w:tr>
        <w:tblPrEx>
          <w:tblLayout w:type="fixed"/>
          <w:tblCellMar>
            <w:top w:w="0" w:type="dxa"/>
            <w:left w:w="108" w:type="dxa"/>
            <w:bottom w:w="0" w:type="dxa"/>
            <w:right w:w="108" w:type="dxa"/>
          </w:tblCellMar>
        </w:tblPrEx>
        <w:trPr>
          <w:gridAfter w:val="1"/>
          <w:wAfter w:w="11" w:type="dxa"/>
          <w:trHeight w:val="4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33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w:t>
            </w:r>
            <w:r>
              <w:rPr>
                <w:spacing w:val="3"/>
              </w:rPr>
              <w:t>      </w:t>
            </w:r>
            <w:r>
              <w:rPr>
                <w:rFonts w:hint="eastAsia"/>
              </w:rPr>
              <w:t>）</w:t>
            </w:r>
          </w:p>
        </w:tc>
        <w:tc>
          <w:tcPr>
            <w:tcW w:w="1327"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w:t>
            </w:r>
            <w:r>
              <w:rPr>
                <w:spacing w:val="3"/>
              </w:rPr>
              <w:t>      </w:t>
            </w:r>
            <w:r>
              <w:rPr>
                <w:rFonts w:hint="eastAsia"/>
              </w:rPr>
              <w:t>）</w:t>
            </w:r>
          </w:p>
        </w:tc>
        <w:tc>
          <w:tcPr>
            <w:tcW w:w="1330"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w:t>
            </w:r>
            <w:r>
              <w:rPr>
                <w:spacing w:val="3"/>
              </w:rPr>
              <w:t>      </w:t>
            </w:r>
            <w:r>
              <w:rPr>
                <w:rFonts w:hint="eastAsia"/>
              </w:rPr>
              <w:t>）</w:t>
            </w:r>
          </w:p>
        </w:tc>
        <w:tc>
          <w:tcPr>
            <w:tcW w:w="1329"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w:t>
            </w:r>
            <w:r>
              <w:rPr>
                <w:spacing w:val="3"/>
              </w:rPr>
              <w:t>      </w:t>
            </w:r>
            <w:r>
              <w:rPr>
                <w:rFonts w:hint="eastAsia"/>
              </w:rPr>
              <w:t>）</w:t>
            </w:r>
          </w:p>
        </w:tc>
        <w:tc>
          <w:tcPr>
            <w:tcW w:w="1422" w:type="dxa"/>
            <w:gridSpan w:val="3"/>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w:t>
            </w:r>
            <w:r>
              <w:rPr>
                <w:spacing w:val="3"/>
              </w:rPr>
              <w:t>      </w:t>
            </w:r>
            <w:r>
              <w:rPr>
                <w:rFonts w:hint="eastAsia"/>
              </w:rPr>
              <w:t>）</w:t>
            </w:r>
          </w:p>
        </w:tc>
      </w:tr>
      <w:tr>
        <w:tblPrEx>
          <w:tblLayout w:type="fixed"/>
          <w:tblCellMar>
            <w:top w:w="0" w:type="dxa"/>
            <w:left w:w="108" w:type="dxa"/>
            <w:bottom w:w="0" w:type="dxa"/>
            <w:right w:w="108" w:type="dxa"/>
          </w:tblCellMar>
        </w:tblPrEx>
        <w:trPr>
          <w:gridAfter w:val="1"/>
          <w:wAfter w:w="11" w:type="dxa"/>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生态流量确定</w:t>
            </w:r>
          </w:p>
        </w:tc>
        <w:tc>
          <w:tcPr>
            <w:tcW w:w="6739" w:type="dxa"/>
            <w:gridSpan w:val="1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生态流量：一般水期（</w:t>
            </w:r>
            <w:r>
              <w:rPr>
                <w:spacing w:val="3"/>
              </w:rPr>
              <w:t>      </w:t>
            </w:r>
            <w:r>
              <w:rPr>
                <w:rFonts w:hint="eastAsia"/>
              </w:rPr>
              <w:t>）</w:t>
            </w:r>
            <w:r>
              <w:t>m</w:t>
            </w:r>
            <w:r>
              <w:rPr>
                <w:vertAlign w:val="superscript"/>
              </w:rPr>
              <w:t>3</w:t>
            </w:r>
            <w:r>
              <w:t>/s</w:t>
            </w:r>
            <w:r>
              <w:rPr>
                <w:rFonts w:hint="eastAsia"/>
              </w:rPr>
              <w:t>；鱼类繁殖期（</w:t>
            </w:r>
            <w:r>
              <w:rPr>
                <w:spacing w:val="3"/>
              </w:rPr>
              <w:t>      </w:t>
            </w:r>
            <w:r>
              <w:rPr>
                <w:rFonts w:hint="eastAsia"/>
              </w:rPr>
              <w:t>）</w:t>
            </w:r>
            <w:r>
              <w:t>m</w:t>
            </w:r>
            <w:r>
              <w:rPr>
                <w:vertAlign w:val="superscript"/>
              </w:rPr>
              <w:t>3</w:t>
            </w:r>
            <w:r>
              <w:t>/s</w:t>
            </w:r>
            <w:r>
              <w:rPr>
                <w:rFonts w:hint="eastAsia"/>
              </w:rPr>
              <w:t>；其他（</w:t>
            </w:r>
            <w:r>
              <w:rPr>
                <w:spacing w:val="3"/>
              </w:rPr>
              <w:t>      </w:t>
            </w:r>
            <w:r>
              <w:rPr>
                <w:rFonts w:hint="eastAsia"/>
              </w:rPr>
              <w:t>）</w:t>
            </w:r>
            <w:r>
              <w:t>m</w:t>
            </w:r>
            <w:r>
              <w:rPr>
                <w:vertAlign w:val="superscript"/>
              </w:rPr>
              <w:t>3</w:t>
            </w:r>
            <w:r>
              <w:t>/s</w:t>
            </w:r>
          </w:p>
          <w:p>
            <w:pPr>
              <w:pStyle w:val="63"/>
            </w:pPr>
            <w:r>
              <w:rPr>
                <w:rFonts w:hint="eastAsia"/>
              </w:rPr>
              <w:t>生态水位：一般水期（</w:t>
            </w:r>
            <w:r>
              <w:rPr>
                <w:spacing w:val="3"/>
              </w:rPr>
              <w:t>      </w:t>
            </w:r>
            <w:r>
              <w:rPr>
                <w:rFonts w:hint="eastAsia"/>
              </w:rPr>
              <w:t>）</w:t>
            </w:r>
            <w:r>
              <w:t>m</w:t>
            </w:r>
            <w:r>
              <w:rPr>
                <w:rFonts w:hint="eastAsia"/>
              </w:rPr>
              <w:t>；鱼类繁殖期（</w:t>
            </w:r>
            <w:r>
              <w:rPr>
                <w:spacing w:val="3"/>
              </w:rPr>
              <w:t>      </w:t>
            </w:r>
            <w:r>
              <w:rPr>
                <w:rFonts w:hint="eastAsia"/>
              </w:rPr>
              <w:t>）</w:t>
            </w:r>
            <w:r>
              <w:t>m</w:t>
            </w:r>
            <w:r>
              <w:rPr>
                <w:rFonts w:hint="eastAsia"/>
              </w:rPr>
              <w:t>；其他（</w:t>
            </w:r>
            <w:r>
              <w:rPr>
                <w:spacing w:val="3"/>
              </w:rPr>
              <w:t>      </w:t>
            </w:r>
            <w:r>
              <w:rPr>
                <w:rFonts w:hint="eastAsia"/>
              </w:rPr>
              <w:t>）</w:t>
            </w:r>
            <w:r>
              <w:t>m</w:t>
            </w:r>
          </w:p>
        </w:tc>
      </w:tr>
      <w:tr>
        <w:tblPrEx>
          <w:tblLayout w:type="fixed"/>
          <w:tblCellMar>
            <w:top w:w="0" w:type="dxa"/>
            <w:left w:w="108" w:type="dxa"/>
            <w:bottom w:w="0" w:type="dxa"/>
            <w:right w:w="108" w:type="dxa"/>
          </w:tblCellMar>
        </w:tblPrEx>
        <w:trPr>
          <w:gridAfter w:val="1"/>
          <w:wAfter w:w="11" w:type="dxa"/>
          <w:trHeight w:val="299" w:hRule="atLeast"/>
        </w:trPr>
        <w:tc>
          <w:tcPr>
            <w:tcW w:w="34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防</w:t>
            </w:r>
          </w:p>
          <w:p>
            <w:pPr>
              <w:pStyle w:val="63"/>
            </w:pPr>
            <w:r>
              <w:rPr>
                <w:rFonts w:hint="eastAsia"/>
              </w:rPr>
              <w:t>治</w:t>
            </w:r>
          </w:p>
          <w:p>
            <w:pPr>
              <w:pStyle w:val="63"/>
            </w:pPr>
            <w:r>
              <w:rPr>
                <w:rFonts w:hint="eastAsia"/>
              </w:rPr>
              <w:t>措</w:t>
            </w:r>
          </w:p>
          <w:p>
            <w:pPr>
              <w:pStyle w:val="63"/>
            </w:pPr>
            <w:r>
              <w:rPr>
                <w:rFonts w:hint="eastAsia"/>
              </w:rPr>
              <w:t>施</w:t>
            </w: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环保措施</w:t>
            </w:r>
          </w:p>
        </w:tc>
        <w:tc>
          <w:tcPr>
            <w:tcW w:w="6739" w:type="dxa"/>
            <w:gridSpan w:val="1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污水处理设施</w:t>
            </w:r>
            <w:r>
              <w:rPr>
                <w:rFonts w:cs="Calibri"/>
                <w:w w:val="224"/>
              </w:rPr>
              <w:t> </w:t>
            </w:r>
            <w:r>
              <w:rPr/>
              <w:sym w:font="Wingdings 2" w:char="0052"/>
            </w:r>
            <w:r>
              <w:rPr>
                <w:rFonts w:hint="eastAsia"/>
              </w:rPr>
              <w:t>；水文减缓设施</w:t>
            </w:r>
            <w:r>
              <w:rPr>
                <w:rFonts w:cs="Calibri"/>
                <w:w w:val="224"/>
              </w:rPr>
              <w:t> </w:t>
            </w:r>
            <w:r>
              <w:rPr>
                <w:rFonts w:hint="eastAsia"/>
              </w:rPr>
              <w:t>□；生态流量保障设施</w:t>
            </w:r>
            <w:r>
              <w:rPr>
                <w:rFonts w:cs="Calibri"/>
                <w:w w:val="224"/>
              </w:rPr>
              <w:t> </w:t>
            </w:r>
            <w:r>
              <w:rPr>
                <w:rFonts w:hint="eastAsia"/>
              </w:rPr>
              <w:t>□；区域削减</w:t>
            </w:r>
            <w:r>
              <w:rPr>
                <w:rFonts w:cs="Calibri"/>
                <w:w w:val="224"/>
              </w:rPr>
              <w:t> </w:t>
            </w:r>
            <w:r>
              <w:rPr>
                <w:rFonts w:hint="eastAsia"/>
              </w:rPr>
              <w:t>□；依托其他工程措施</w:t>
            </w:r>
            <w:r>
              <w:rPr>
                <w:rFonts w:cs="Calibri"/>
                <w:w w:val="224"/>
              </w:rPr>
              <w:t> </w:t>
            </w:r>
            <w:r>
              <w:rPr>
                <w:rFonts w:hint="eastAsia"/>
              </w:rPr>
              <w:t>□；其他</w:t>
            </w:r>
            <w:r>
              <w:rPr>
                <w:rFonts w:cs="Calibri"/>
                <w:w w:val="224"/>
              </w:rPr>
              <w:t> </w:t>
            </w:r>
            <w:r>
              <w:rPr>
                <w:rFonts w:hint="eastAsia"/>
              </w:rPr>
              <w:t>□</w:t>
            </w:r>
          </w:p>
        </w:tc>
      </w:tr>
      <w:tr>
        <w:tblPrEx>
          <w:tblLayout w:type="fixed"/>
          <w:tblCellMar>
            <w:top w:w="0" w:type="dxa"/>
            <w:left w:w="108" w:type="dxa"/>
            <w:bottom w:w="0" w:type="dxa"/>
            <w:right w:w="108" w:type="dxa"/>
          </w:tblCellMar>
        </w:tblPrEx>
        <w:trPr>
          <w:gridAfter w:val="1"/>
          <w:wAfter w:w="11" w:type="dxa"/>
          <w:trHeight w:val="4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监测计划</w:t>
            </w:r>
          </w:p>
        </w:tc>
        <w:tc>
          <w:tcPr>
            <w:tcW w:w="1662"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p>
        </w:tc>
        <w:tc>
          <w:tcPr>
            <w:tcW w:w="2491"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环境质量</w:t>
            </w:r>
          </w:p>
        </w:tc>
        <w:tc>
          <w:tcPr>
            <w:tcW w:w="2586"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污染源</w:t>
            </w:r>
          </w:p>
        </w:tc>
      </w:tr>
      <w:tr>
        <w:tblPrEx>
          <w:tblLayout w:type="fixed"/>
          <w:tblCellMar>
            <w:top w:w="0" w:type="dxa"/>
            <w:left w:w="108" w:type="dxa"/>
            <w:bottom w:w="0" w:type="dxa"/>
            <w:right w:w="108" w:type="dxa"/>
          </w:tblCellMar>
        </w:tblPrEx>
        <w:trPr>
          <w:gridAfter w:val="1"/>
          <w:wAfter w:w="11" w:type="dxa"/>
          <w:trHeight w:val="4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662"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监测方式</w:t>
            </w:r>
          </w:p>
        </w:tc>
        <w:tc>
          <w:tcPr>
            <w:tcW w:w="2491"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手动□；自动</w:t>
            </w:r>
            <w:r>
              <w:rPr>
                <w:rFonts w:cs="Calibri"/>
                <w:w w:val="224"/>
              </w:rPr>
              <w:t> </w:t>
            </w:r>
            <w:r>
              <w:rPr>
                <w:rFonts w:hint="eastAsia"/>
              </w:rPr>
              <w:t>□；无监测</w:t>
            </w:r>
            <w:r>
              <w:rPr>
                <w:rFonts w:cs="Calibri"/>
                <w:w w:val="224"/>
              </w:rPr>
              <w:t> </w:t>
            </w:r>
            <w:r>
              <w:rPr/>
              <w:sym w:font="Wingdings 2" w:char="0052"/>
            </w:r>
          </w:p>
        </w:tc>
        <w:tc>
          <w:tcPr>
            <w:tcW w:w="2586"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手动</w:t>
            </w:r>
            <w:r>
              <w:rPr>
                <w:rFonts w:cs="Calibri"/>
                <w:w w:val="224"/>
              </w:rPr>
              <w:t> </w:t>
            </w:r>
            <w:r>
              <w:rPr>
                <w:rFonts w:hint="eastAsia"/>
              </w:rPr>
              <w:t>□；自动</w:t>
            </w:r>
            <w:r>
              <w:rPr>
                <w:rFonts w:cs="Calibri"/>
                <w:w w:val="224"/>
              </w:rPr>
              <w:t> </w:t>
            </w:r>
            <w:r>
              <w:rPr/>
              <w:sym w:font="Wingdings 2" w:char="0052"/>
            </w:r>
            <w:r>
              <w:rPr>
                <w:rFonts w:hint="eastAsia"/>
              </w:rPr>
              <w:t>；无监测</w:t>
            </w:r>
            <w:r>
              <w:rPr>
                <w:rFonts w:cs="Calibri"/>
                <w:w w:val="224"/>
              </w:rPr>
              <w:t> </w:t>
            </w:r>
            <w:r>
              <w:rPr>
                <w:rFonts w:hint="eastAsia"/>
              </w:rPr>
              <w:t>□</w:t>
            </w:r>
          </w:p>
        </w:tc>
      </w:tr>
      <w:tr>
        <w:tblPrEx>
          <w:tblLayout w:type="fixed"/>
          <w:tblCellMar>
            <w:top w:w="0" w:type="dxa"/>
            <w:left w:w="108" w:type="dxa"/>
            <w:bottom w:w="0" w:type="dxa"/>
            <w:right w:w="108" w:type="dxa"/>
          </w:tblCellMar>
        </w:tblPrEx>
        <w:trPr>
          <w:gridAfter w:val="1"/>
          <w:wAfter w:w="11" w:type="dxa"/>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662"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监测点位</w:t>
            </w:r>
          </w:p>
        </w:tc>
        <w:tc>
          <w:tcPr>
            <w:tcW w:w="2491"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w:t>
            </w:r>
          </w:p>
        </w:tc>
        <w:tc>
          <w:tcPr>
            <w:tcW w:w="2586"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（项目污水处理设施进、出口）</w:t>
            </w:r>
          </w:p>
        </w:tc>
      </w:tr>
      <w:tr>
        <w:tblPrEx>
          <w:tblLayout w:type="fixed"/>
          <w:tblCellMar>
            <w:top w:w="0" w:type="dxa"/>
            <w:left w:w="108" w:type="dxa"/>
            <w:bottom w:w="0" w:type="dxa"/>
            <w:right w:w="108" w:type="dxa"/>
          </w:tblCellMar>
        </w:tblPrEx>
        <w:trPr>
          <w:gridAfter w:val="1"/>
          <w:wAfter w:w="11" w:type="dxa"/>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662"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监测因子</w:t>
            </w:r>
          </w:p>
        </w:tc>
        <w:tc>
          <w:tcPr>
            <w:tcW w:w="2491"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w:t>
            </w:r>
          </w:p>
        </w:tc>
        <w:tc>
          <w:tcPr>
            <w:tcW w:w="2586" w:type="dxa"/>
            <w:gridSpan w:val="5"/>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（流量、</w:t>
            </w:r>
            <w:r>
              <w:t>pH</w:t>
            </w:r>
            <w:r>
              <w:rPr>
                <w:rFonts w:hint="eastAsia"/>
              </w:rPr>
              <w:t>、</w:t>
            </w:r>
            <w:r>
              <w:t>COD</w:t>
            </w:r>
            <w:r>
              <w:rPr>
                <w:vertAlign w:val="subscript"/>
              </w:rPr>
              <w:t>cr</w:t>
            </w:r>
            <w:r>
              <w:rPr>
                <w:rFonts w:hint="eastAsia"/>
              </w:rPr>
              <w:t>、</w:t>
            </w:r>
            <w:r>
              <w:t>BOD</w:t>
            </w:r>
            <w:r>
              <w:rPr>
                <w:vertAlign w:val="subscript"/>
              </w:rPr>
              <w:t>5</w:t>
            </w:r>
            <w:r>
              <w:rPr>
                <w:rFonts w:hint="eastAsia"/>
              </w:rPr>
              <w:t>、氨氮、</w:t>
            </w:r>
            <w:r>
              <w:t>SS</w:t>
            </w:r>
            <w:r>
              <w:rPr>
                <w:rFonts w:hint="eastAsia"/>
              </w:rPr>
              <w:t>、粪大肠菌群数、动植物油、石油类、总磷、总氮）</w:t>
            </w:r>
          </w:p>
        </w:tc>
      </w:tr>
      <w:tr>
        <w:tblPrEx>
          <w:tblLayout w:type="fixed"/>
          <w:tblCellMar>
            <w:top w:w="0" w:type="dxa"/>
            <w:left w:w="108" w:type="dxa"/>
            <w:bottom w:w="0" w:type="dxa"/>
            <w:right w:w="108" w:type="dxa"/>
          </w:tblCellMar>
        </w:tblPrEx>
        <w:trPr>
          <w:gridAfter w:val="1"/>
          <w:wAfter w:w="11" w:type="dxa"/>
          <w:trHeight w:val="299" w:hRule="atLeast"/>
        </w:trPr>
        <w:tc>
          <w:tcPr>
            <w:tcW w:w="341" w:type="dxa"/>
            <w:vMerge w:val="continue"/>
            <w:tcBorders>
              <w:top w:val="single" w:color="000000" w:sz="6" w:space="0"/>
              <w:left w:val="single" w:color="000000" w:sz="6" w:space="0"/>
              <w:bottom w:val="single" w:color="000000" w:sz="6" w:space="0"/>
              <w:right w:val="single" w:color="000000" w:sz="6" w:space="0"/>
            </w:tcBorders>
            <w:vAlign w:val="center"/>
          </w:tcPr>
          <w:p>
            <w:pPr>
              <w:pStyle w:val="63"/>
            </w:pPr>
          </w:p>
        </w:tc>
        <w:tc>
          <w:tcPr>
            <w:tcW w:w="1851"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污染物排放清单</w:t>
            </w:r>
          </w:p>
        </w:tc>
        <w:tc>
          <w:tcPr>
            <w:tcW w:w="6739" w:type="dxa"/>
            <w:gridSpan w:val="1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cs="Calibri"/>
                <w:w w:val="224"/>
              </w:rPr>
              <w:t> </w:t>
            </w:r>
            <w:r>
              <w:rPr/>
              <w:sym w:font="Wingdings 2" w:char="0052"/>
            </w:r>
          </w:p>
        </w:tc>
      </w:tr>
      <w:tr>
        <w:tblPrEx>
          <w:tblLayout w:type="fixed"/>
          <w:tblCellMar>
            <w:top w:w="0" w:type="dxa"/>
            <w:left w:w="108" w:type="dxa"/>
            <w:bottom w:w="0" w:type="dxa"/>
            <w:right w:w="108" w:type="dxa"/>
          </w:tblCellMar>
        </w:tblPrEx>
        <w:trPr>
          <w:gridAfter w:val="1"/>
          <w:wAfter w:w="11" w:type="dxa"/>
          <w:trHeight w:val="49" w:hRule="atLeast"/>
        </w:trPr>
        <w:tc>
          <w:tcPr>
            <w:tcW w:w="2192" w:type="dxa"/>
            <w:gridSpan w:val="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pStyle w:val="63"/>
            </w:pPr>
            <w:r>
              <w:rPr>
                <w:rFonts w:hint="eastAsia"/>
              </w:rPr>
              <w:t>评价结论</w:t>
            </w:r>
          </w:p>
        </w:tc>
        <w:tc>
          <w:tcPr>
            <w:tcW w:w="6739" w:type="dxa"/>
            <w:gridSpan w:val="12"/>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可以接受</w:t>
            </w:r>
            <w:r>
              <w:rPr>
                <w:rFonts w:cs="Calibri"/>
                <w:w w:val="224"/>
              </w:rPr>
              <w:t> </w:t>
            </w:r>
            <w:r>
              <w:rPr/>
              <w:sym w:font="Wingdings 2" w:char="0052"/>
            </w:r>
            <w:r>
              <w:rPr>
                <w:rFonts w:hint="eastAsia"/>
              </w:rPr>
              <w:t>；不可以接受</w:t>
            </w:r>
            <w:r>
              <w:rPr>
                <w:rFonts w:cs="Calibri"/>
                <w:w w:val="224"/>
              </w:rPr>
              <w:t> </w:t>
            </w:r>
            <w:r>
              <w:rPr>
                <w:rFonts w:hint="eastAsia"/>
              </w:rPr>
              <w:t>□</w:t>
            </w:r>
          </w:p>
        </w:tc>
      </w:tr>
      <w:tr>
        <w:tblPrEx>
          <w:tblLayout w:type="fixed"/>
          <w:tblCellMar>
            <w:top w:w="0" w:type="dxa"/>
            <w:left w:w="108" w:type="dxa"/>
            <w:bottom w:w="0" w:type="dxa"/>
            <w:right w:w="108" w:type="dxa"/>
          </w:tblCellMar>
        </w:tblPrEx>
        <w:trPr>
          <w:gridAfter w:val="1"/>
          <w:wAfter w:w="11" w:type="dxa"/>
          <w:trHeight w:val="49" w:hRule="atLeast"/>
        </w:trPr>
        <w:tc>
          <w:tcPr>
            <w:tcW w:w="8931" w:type="dxa"/>
            <w:gridSpan w:val="14"/>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pPr>
              <w:pStyle w:val="63"/>
            </w:pPr>
            <w:r>
              <w:rPr>
                <w:rFonts w:hint="eastAsia"/>
              </w:rPr>
              <w:t>注：“□”为勾选项，可</w:t>
            </w:r>
            <w:r>
              <w:t>√</w:t>
            </w:r>
            <w:r>
              <w:rPr>
                <w:rFonts w:hint="eastAsia"/>
              </w:rPr>
              <w:t>；“（</w:t>
            </w:r>
            <w:r>
              <w:rPr>
                <w:spacing w:val="3"/>
              </w:rPr>
              <w:t>      </w:t>
            </w:r>
            <w:r>
              <w:rPr>
                <w:rFonts w:hint="eastAsia"/>
              </w:rPr>
              <w:t>）”为内容填写项；“备注”为其他补充内容。</w:t>
            </w:r>
          </w:p>
        </w:tc>
      </w:tr>
    </w:tbl>
    <w:p>
      <w:pPr>
        <w:pStyle w:val="5"/>
        <w:ind w:firstLine="480"/>
      </w:pPr>
    </w:p>
    <w:p>
      <w:pPr>
        <w:pStyle w:val="5"/>
        <w:ind w:firstLine="480"/>
      </w:pPr>
    </w:p>
    <w:sectPr>
      <w:pgSz w:w="11906" w:h="16838"/>
      <w:pgMar w:top="1701" w:right="1474" w:bottom="1418" w:left="1474"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Dutch801 Rm BT">
    <w:altName w:val="Cambria"/>
    <w:panose1 w:val="02020603060505020304"/>
    <w:charset w:val="00"/>
    <w:family w:val="roman"/>
    <w:pitch w:val="default"/>
    <w:sig w:usb0="00000000" w:usb1="00000000" w:usb2="00000000" w:usb3="00000000" w:csb0="0000001B"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ZWAdobeF">
    <w:altName w:val="Segoe Print"/>
    <w:panose1 w:val="00000000000000000000"/>
    <w:charset w:val="00"/>
    <w:family w:val="auto"/>
    <w:pitch w:val="default"/>
    <w:sig w:usb0="00000000" w:usb1="00000000" w:usb2="00000000" w:usb3="00000000" w:csb0="000001FF"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7495096"/>
      <w:docPartObj>
        <w:docPartGallery w:val="AutoText"/>
      </w:docPartObj>
    </w:sdtPr>
    <w:sdtContent>
      <w:p>
        <w:pPr>
          <w:pStyle w:val="24"/>
          <w:jc w:val="center"/>
        </w:pPr>
        <w:r>
          <w:fldChar w:fldCharType="begin"/>
        </w:r>
        <w:r>
          <w:instrText xml:space="preserve">PAGE   \* MERGEFORMAT</w:instrText>
        </w:r>
        <w:r>
          <w:fldChar w:fldCharType="separate"/>
        </w:r>
        <w:r>
          <w:rPr>
            <w:lang w:val="zh-CN"/>
          </w:rPr>
          <w:t>2</w:t>
        </w:r>
        <w:r>
          <w:fldChar w:fldCharType="end"/>
        </w:r>
      </w:p>
    </w:sdtContent>
  </w:sdt>
  <w:p>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rPr>
    </w:pPr>
    <w:r>
      <w:fldChar w:fldCharType="begin"/>
    </w:r>
    <w:r>
      <w:rPr>
        <w:rStyle w:val="41"/>
      </w:rPr>
      <w:instrText xml:space="preserve">PAGE  </w:instrText>
    </w:r>
    <w:r>
      <w:fldChar w:fldCharType="separate"/>
    </w:r>
    <w:r>
      <w:rPr>
        <w:rStyle w:val="41"/>
      </w:rPr>
      <w:t>22</w: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posOffset>2748915</wp:posOffset>
              </wp:positionH>
              <wp:positionV relativeFrom="paragraph">
                <wp:posOffset>-1905</wp:posOffset>
              </wp:positionV>
              <wp:extent cx="294005" cy="131445"/>
              <wp:effectExtent l="0" t="0" r="10795" b="190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94005" cy="131445"/>
                      </a:xfrm>
                      <a:prstGeom prst="rect">
                        <a:avLst/>
                      </a:prstGeom>
                      <a:noFill/>
                      <a:ln>
                        <a:noFill/>
                      </a:ln>
                    </wps:spPr>
                    <wps:txbx>
                      <w:txbxContent>
                        <w:p>
                          <w:pPr>
                            <w:pStyle w:val="24"/>
                          </w:pPr>
                          <w:r>
                            <w:fldChar w:fldCharType="begin"/>
                          </w:r>
                          <w:r>
                            <w:instrText xml:space="preserve"> PAGE  \* MERGEFORMAT </w:instrText>
                          </w:r>
                          <w:r>
                            <w:fldChar w:fldCharType="separate"/>
                          </w:r>
                          <w:r>
                            <w:t>2</w:t>
                          </w:r>
                          <w:r>
                            <w:fldChar w:fldCharType="end"/>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left:216.45pt;margin-top:-0.15pt;height:10.35pt;width:23.15pt;mso-position-horizontal-relative:margin;z-index:251660288;mso-width-relative:page;mso-height-relative:page;" filled="f" stroked="f" coordsize="21600,21600" o:gfxdata="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I4bNNYAAAAIAQAADwAAAAAAAAABACAAAAAiAAAAZHJzL2Rvd25yZXYueG1sUEsBAhQAFAAAAAgA&#10;h07iQL1kxcnuAQAAtgMAAA4AAAAAAAAAAQAgAAAAJQEAAGRycy9lMm9Eb2MueG1sUEsFBgAAAAAG&#10;AAYAWQEAAIUFA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8931"/>
      </w:tabs>
      <w:ind w:right="27"/>
      <w:jc w:val="right"/>
      <w:rPr>
        <w:szCs w:val="20"/>
      </w:rPr>
    </w:pPr>
    <w:r>
      <w:rPr>
        <w:rFonts w:hint="eastAsia"/>
      </w:rPr>
      <w:t xml:space="preserve">      </w:t>
    </w:r>
    <w:sdt>
      <w:sdtPr>
        <w:id w:val="-858735641"/>
        <w:docPartObj>
          <w:docPartGallery w:val="AutoText"/>
        </w:docPartObj>
      </w:sdtPr>
      <w:sdtContent>
        <w:r>
          <w:rPr>
            <w:rFonts w:hint="eastAsia"/>
          </w:rPr>
          <w:t xml:space="preserve">                                    </w:t>
        </w:r>
        <w:r>
          <w:t xml:space="preserve">   </w:t>
        </w:r>
        <w:r>
          <w:rPr>
            <w:rFonts w:hint="eastAsia"/>
          </w:rPr>
          <w:t xml:space="preserve">第 </w:t>
        </w:r>
        <w:r>
          <w:fldChar w:fldCharType="begin"/>
        </w:r>
        <w:r>
          <w:instrText xml:space="preserve">PAGE   \* MERGEFORMAT</w:instrText>
        </w:r>
        <w:r>
          <w:fldChar w:fldCharType="separate"/>
        </w:r>
        <w:r>
          <w:rPr>
            <w:lang w:val="zh-CN"/>
          </w:rPr>
          <w:t>299</w:t>
        </w:r>
        <w:r>
          <w:fldChar w:fldCharType="end"/>
        </w:r>
        <w:r>
          <w:t xml:space="preserve"> </w:t>
        </w:r>
      </w:sdtContent>
    </w:sdt>
    <w:r>
      <w:rPr>
        <w:rFonts w:hint="eastAsia"/>
      </w:rPr>
      <w:t xml:space="preserve">页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4837501"/>
      <w:docPartObj>
        <w:docPartGallery w:val="AutoText"/>
      </w:docPartObj>
    </w:sdtPr>
    <w:sdtContent>
      <w:p>
        <w:pPr>
          <w:pStyle w:val="24"/>
          <w:jc w:val="center"/>
        </w:pPr>
        <w:r>
          <w:fldChar w:fldCharType="begin"/>
        </w:r>
        <w:r>
          <w:instrText xml:space="preserve">PAGE   \* MERGEFORMAT</w:instrText>
        </w:r>
        <w:r>
          <w:fldChar w:fldCharType="separate"/>
        </w:r>
        <w:r>
          <w:rPr>
            <w:lang w:val="zh-CN"/>
          </w:rPr>
          <w:t>2</w:t>
        </w:r>
        <w:r>
          <w:fldChar w:fldCharType="end"/>
        </w:r>
      </w:p>
    </w:sdtContent>
  </w:sdt>
  <w:p>
    <w:pPr>
      <w:pStyle w:val="2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8931"/>
      </w:tabs>
      <w:ind w:right="747" w:firstLine="3960" w:firstLineChars="2200"/>
      <w:rPr>
        <w:szCs w:val="20"/>
      </w:rPr>
    </w:pPr>
    <w:sdt>
      <w:sdtPr>
        <w:id w:val="220104151"/>
        <w:docPartObj>
          <w:docPartGallery w:val="AutoText"/>
        </w:docPartObj>
      </w:sdtPr>
      <w:sdtContent>
        <w:r>
          <w:t xml:space="preserve">   </w:t>
        </w:r>
        <w:r>
          <w:rPr>
            <w:rFonts w:hint="eastAsia"/>
          </w:rPr>
          <w:t xml:space="preserve">第 </w:t>
        </w:r>
        <w:r>
          <w:fldChar w:fldCharType="begin"/>
        </w:r>
        <w:r>
          <w:instrText xml:space="preserve">PAGE   \* MERGEFORMAT</w:instrText>
        </w:r>
        <w:r>
          <w:fldChar w:fldCharType="separate"/>
        </w:r>
        <w:r>
          <w:rPr>
            <w:lang w:val="zh-CN"/>
          </w:rPr>
          <w:t>299</w:t>
        </w:r>
        <w:r>
          <w:fldChar w:fldCharType="end"/>
        </w:r>
        <w:r>
          <w:t xml:space="preserve"> </w:t>
        </w:r>
      </w:sdtContent>
    </w:sdt>
    <w:r>
      <w:rPr>
        <w:rFonts w:hint="eastAsia"/>
      </w:rPr>
      <w:t xml:space="preserve">页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142C"/>
    <w:multiLevelType w:val="multilevel"/>
    <w:tmpl w:val="0551142C"/>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5"/>
      <w:numFmt w:val="japaneseCounting"/>
      <w:lvlText w:val="%5、"/>
      <w:lvlJc w:val="left"/>
      <w:pPr>
        <w:ind w:left="2720" w:hanging="480"/>
      </w:pPr>
      <w:rPr>
        <w:rFonts w:hint="default"/>
      </w:r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
    <w:nsid w:val="10FD0049"/>
    <w:multiLevelType w:val="multilevel"/>
    <w:tmpl w:val="10FD0049"/>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1C54685D"/>
    <w:multiLevelType w:val="multilevel"/>
    <w:tmpl w:val="1C54685D"/>
    <w:lvl w:ilvl="0" w:tentative="0">
      <w:start w:val="1"/>
      <w:numFmt w:val="decimal"/>
      <w:lvlText w:val="%1"/>
      <w:lvlJc w:val="center"/>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E867C31"/>
    <w:multiLevelType w:val="multilevel"/>
    <w:tmpl w:val="2E867C31"/>
    <w:lvl w:ilvl="0" w:tentative="0">
      <w:start w:val="1"/>
      <w:numFmt w:val="decimal"/>
      <w:lvlText w:val="%1"/>
      <w:lvlJc w:val="center"/>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33CE1F3F"/>
    <w:multiLevelType w:val="multilevel"/>
    <w:tmpl w:val="33CE1F3F"/>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3EBB3F58"/>
    <w:multiLevelType w:val="multilevel"/>
    <w:tmpl w:val="3EBB3F58"/>
    <w:lvl w:ilvl="0" w:tentative="0">
      <w:start w:val="1"/>
      <w:numFmt w:val="decimal"/>
      <w:lvlText w:val="（%1）"/>
      <w:lvlJc w:val="left"/>
      <w:pPr>
        <w:ind w:left="0" w:firstLine="369"/>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44B216CD"/>
    <w:multiLevelType w:val="multilevel"/>
    <w:tmpl w:val="44B216CD"/>
    <w:lvl w:ilvl="0" w:tentative="0">
      <w:start w:val="1"/>
      <w:numFmt w:val="decimal"/>
      <w:lvlText w:val="（%1）"/>
      <w:lvlJc w:val="left"/>
      <w:pPr>
        <w:ind w:left="0" w:firstLine="369"/>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7">
    <w:nsid w:val="486B75F7"/>
    <w:multiLevelType w:val="multilevel"/>
    <w:tmpl w:val="486B75F7"/>
    <w:lvl w:ilvl="0" w:tentative="0">
      <w:start w:val="1"/>
      <w:numFmt w:val="decimal"/>
      <w:lvlText w:val="（%1）"/>
      <w:lvlJc w:val="left"/>
      <w:pPr>
        <w:ind w:left="0" w:firstLine="369"/>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4A950574"/>
    <w:multiLevelType w:val="multilevel"/>
    <w:tmpl w:val="4A950574"/>
    <w:lvl w:ilvl="0" w:tentative="0">
      <w:start w:val="1"/>
      <w:numFmt w:val="decimal"/>
      <w:lvlText w:val="（%1）"/>
      <w:lvlJc w:val="left"/>
      <w:pPr>
        <w:ind w:left="0" w:firstLine="369"/>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4D562D0E"/>
    <w:multiLevelType w:val="multilevel"/>
    <w:tmpl w:val="4D562D0E"/>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0">
    <w:nsid w:val="52F53FA4"/>
    <w:multiLevelType w:val="multilevel"/>
    <w:tmpl w:val="52F53FA4"/>
    <w:lvl w:ilvl="0" w:tentative="0">
      <w:start w:val="1"/>
      <w:numFmt w:val="decimal"/>
      <w:lvlText w:val="%1"/>
      <w:lvlJc w:val="center"/>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57BC1B4E"/>
    <w:multiLevelType w:val="multilevel"/>
    <w:tmpl w:val="57BC1B4E"/>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6"/>
      <w:numFmt w:val="japaneseCounting"/>
      <w:lvlText w:val="%5、"/>
      <w:lvlJc w:val="left"/>
      <w:pPr>
        <w:ind w:left="2720" w:hanging="480"/>
      </w:pPr>
      <w:rPr>
        <w:rFonts w:hint="default"/>
      </w:r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2">
    <w:nsid w:val="585208EC"/>
    <w:multiLevelType w:val="multilevel"/>
    <w:tmpl w:val="585208EC"/>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3">
    <w:nsid w:val="58DA735A"/>
    <w:multiLevelType w:val="multilevel"/>
    <w:tmpl w:val="58DA735A"/>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5C44781F"/>
    <w:multiLevelType w:val="multilevel"/>
    <w:tmpl w:val="5C44781F"/>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1418" w:hanging="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3" w:tentative="0">
      <w:start w:val="1"/>
      <w:numFmt w:val="decimal"/>
      <w:pStyle w:val="6"/>
      <w:lvlText w:val="%1.%2.%3.%4"/>
      <w:lvlJc w:val="left"/>
      <w:pPr>
        <w:ind w:left="1984" w:hanging="708"/>
      </w:pPr>
      <w:rPr>
        <w:rFonts w:ascii="Times New Roman" w:hAnsi="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608937BD"/>
    <w:multiLevelType w:val="multilevel"/>
    <w:tmpl w:val="608937BD"/>
    <w:lvl w:ilvl="0" w:tentative="0">
      <w:start w:val="1"/>
      <w:numFmt w:val="decimal"/>
      <w:lvlText w:val="%1"/>
      <w:lvlJc w:val="center"/>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66BF049A"/>
    <w:multiLevelType w:val="multilevel"/>
    <w:tmpl w:val="66BF049A"/>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7">
    <w:nsid w:val="6D6505CC"/>
    <w:multiLevelType w:val="multilevel"/>
    <w:tmpl w:val="6D6505C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72A14BE7"/>
    <w:multiLevelType w:val="multilevel"/>
    <w:tmpl w:val="72A14BE7"/>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9">
    <w:nsid w:val="765027CC"/>
    <w:multiLevelType w:val="multilevel"/>
    <w:tmpl w:val="765027CC"/>
    <w:lvl w:ilvl="0" w:tentative="0">
      <w:start w:val="1"/>
      <w:numFmt w:val="decimal"/>
      <w:lvlText w:val="%1"/>
      <w:lvlJc w:val="center"/>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78343A44"/>
    <w:multiLevelType w:val="multilevel"/>
    <w:tmpl w:val="78343A44"/>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1">
    <w:nsid w:val="7B535FB9"/>
    <w:multiLevelType w:val="multilevel"/>
    <w:tmpl w:val="7B535FB9"/>
    <w:lvl w:ilvl="0" w:tentative="0">
      <w:start w:val="1"/>
      <w:numFmt w:val="decimal"/>
      <w:lvlText w:val="（%1）"/>
      <w:lvlJc w:val="left"/>
      <w:pPr>
        <w:ind w:left="0" w:firstLine="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14"/>
  </w:num>
  <w:num w:numId="2">
    <w:abstractNumId w:val="5"/>
  </w:num>
  <w:num w:numId="3">
    <w:abstractNumId w:val="18"/>
  </w:num>
  <w:num w:numId="4">
    <w:abstractNumId w:val="12"/>
  </w:num>
  <w:num w:numId="5">
    <w:abstractNumId w:val="16"/>
  </w:num>
  <w:num w:numId="6">
    <w:abstractNumId w:val="21"/>
  </w:num>
  <w:num w:numId="7">
    <w:abstractNumId w:val="1"/>
  </w:num>
  <w:num w:numId="8">
    <w:abstractNumId w:val="13"/>
  </w:num>
  <w:num w:numId="9">
    <w:abstractNumId w:val="17"/>
  </w:num>
  <w:num w:numId="10">
    <w:abstractNumId w:val="19"/>
  </w:num>
  <w:num w:numId="11">
    <w:abstractNumId w:val="2"/>
  </w:num>
  <w:num w:numId="12">
    <w:abstractNumId w:val="4"/>
  </w:num>
  <w:num w:numId="13">
    <w:abstractNumId w:val="3"/>
  </w:num>
  <w:num w:numId="14">
    <w:abstractNumId w:val="15"/>
  </w:num>
  <w:num w:numId="15">
    <w:abstractNumId w:val="10"/>
  </w:num>
  <w:num w:numId="16">
    <w:abstractNumId w:val="9"/>
  </w:num>
  <w:num w:numId="17">
    <w:abstractNumId w:val="8"/>
  </w:num>
  <w:num w:numId="18">
    <w:abstractNumId w:val="6"/>
  </w:num>
  <w:num w:numId="19">
    <w:abstractNumId w:val="7"/>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446"/>
    <w:rsid w:val="000008A3"/>
    <w:rsid w:val="0000216A"/>
    <w:rsid w:val="00005015"/>
    <w:rsid w:val="00005965"/>
    <w:rsid w:val="0000599A"/>
    <w:rsid w:val="0000646F"/>
    <w:rsid w:val="000075A9"/>
    <w:rsid w:val="0000791D"/>
    <w:rsid w:val="00011875"/>
    <w:rsid w:val="00012E75"/>
    <w:rsid w:val="00014CA3"/>
    <w:rsid w:val="000204D4"/>
    <w:rsid w:val="00021BCB"/>
    <w:rsid w:val="00023AB0"/>
    <w:rsid w:val="00023D14"/>
    <w:rsid w:val="000240A0"/>
    <w:rsid w:val="00027785"/>
    <w:rsid w:val="00032172"/>
    <w:rsid w:val="00034084"/>
    <w:rsid w:val="00034D65"/>
    <w:rsid w:val="00036C99"/>
    <w:rsid w:val="00036DD1"/>
    <w:rsid w:val="00037186"/>
    <w:rsid w:val="00037A26"/>
    <w:rsid w:val="00037BE4"/>
    <w:rsid w:val="00037C50"/>
    <w:rsid w:val="0004127A"/>
    <w:rsid w:val="00041360"/>
    <w:rsid w:val="0004181A"/>
    <w:rsid w:val="0004260B"/>
    <w:rsid w:val="000503FE"/>
    <w:rsid w:val="000522B3"/>
    <w:rsid w:val="00055843"/>
    <w:rsid w:val="00061599"/>
    <w:rsid w:val="0006270A"/>
    <w:rsid w:val="00062781"/>
    <w:rsid w:val="00062877"/>
    <w:rsid w:val="00062A92"/>
    <w:rsid w:val="0006390F"/>
    <w:rsid w:val="00063914"/>
    <w:rsid w:val="000653B0"/>
    <w:rsid w:val="00067906"/>
    <w:rsid w:val="00070C92"/>
    <w:rsid w:val="00073394"/>
    <w:rsid w:val="00074B53"/>
    <w:rsid w:val="0007534F"/>
    <w:rsid w:val="00076BAA"/>
    <w:rsid w:val="00077F57"/>
    <w:rsid w:val="000803D5"/>
    <w:rsid w:val="00080832"/>
    <w:rsid w:val="00081DC6"/>
    <w:rsid w:val="00084620"/>
    <w:rsid w:val="000851A6"/>
    <w:rsid w:val="00085676"/>
    <w:rsid w:val="000872F5"/>
    <w:rsid w:val="00087D57"/>
    <w:rsid w:val="00090CCF"/>
    <w:rsid w:val="000920C0"/>
    <w:rsid w:val="00094A0D"/>
    <w:rsid w:val="000969E8"/>
    <w:rsid w:val="000969F5"/>
    <w:rsid w:val="0009793F"/>
    <w:rsid w:val="000A0255"/>
    <w:rsid w:val="000A2E66"/>
    <w:rsid w:val="000B09AB"/>
    <w:rsid w:val="000B1387"/>
    <w:rsid w:val="000B62D2"/>
    <w:rsid w:val="000B7FCB"/>
    <w:rsid w:val="000C0059"/>
    <w:rsid w:val="000C40C9"/>
    <w:rsid w:val="000C674F"/>
    <w:rsid w:val="000D0F62"/>
    <w:rsid w:val="000D2E77"/>
    <w:rsid w:val="000D656F"/>
    <w:rsid w:val="000E02D8"/>
    <w:rsid w:val="000E0712"/>
    <w:rsid w:val="000E4D15"/>
    <w:rsid w:val="000E55C2"/>
    <w:rsid w:val="000F1291"/>
    <w:rsid w:val="000F2FB8"/>
    <w:rsid w:val="000F4EEB"/>
    <w:rsid w:val="000F7245"/>
    <w:rsid w:val="00100CEE"/>
    <w:rsid w:val="00100EEB"/>
    <w:rsid w:val="00101EDE"/>
    <w:rsid w:val="00104709"/>
    <w:rsid w:val="00104BCD"/>
    <w:rsid w:val="00106098"/>
    <w:rsid w:val="001065E7"/>
    <w:rsid w:val="00107019"/>
    <w:rsid w:val="0011074E"/>
    <w:rsid w:val="00111A9F"/>
    <w:rsid w:val="001121FF"/>
    <w:rsid w:val="001130C8"/>
    <w:rsid w:val="00115748"/>
    <w:rsid w:val="001164B9"/>
    <w:rsid w:val="00123BEA"/>
    <w:rsid w:val="001256CC"/>
    <w:rsid w:val="001303F3"/>
    <w:rsid w:val="00130CBC"/>
    <w:rsid w:val="0013111F"/>
    <w:rsid w:val="0013213C"/>
    <w:rsid w:val="001342B4"/>
    <w:rsid w:val="001370DA"/>
    <w:rsid w:val="00140B08"/>
    <w:rsid w:val="00141DC4"/>
    <w:rsid w:val="00142322"/>
    <w:rsid w:val="00143D94"/>
    <w:rsid w:val="00143F9B"/>
    <w:rsid w:val="00146548"/>
    <w:rsid w:val="00146E39"/>
    <w:rsid w:val="00147711"/>
    <w:rsid w:val="0014776F"/>
    <w:rsid w:val="00155A17"/>
    <w:rsid w:val="00155C28"/>
    <w:rsid w:val="001575F2"/>
    <w:rsid w:val="001600AB"/>
    <w:rsid w:val="001607D0"/>
    <w:rsid w:val="00160B37"/>
    <w:rsid w:val="00160D6C"/>
    <w:rsid w:val="00162490"/>
    <w:rsid w:val="00163C7D"/>
    <w:rsid w:val="001756E6"/>
    <w:rsid w:val="001757A5"/>
    <w:rsid w:val="001815F2"/>
    <w:rsid w:val="00182618"/>
    <w:rsid w:val="00182DF9"/>
    <w:rsid w:val="00185EBB"/>
    <w:rsid w:val="001902AF"/>
    <w:rsid w:val="001909CE"/>
    <w:rsid w:val="00191B4E"/>
    <w:rsid w:val="00192881"/>
    <w:rsid w:val="00192DA2"/>
    <w:rsid w:val="001932BD"/>
    <w:rsid w:val="001972B1"/>
    <w:rsid w:val="00197E8B"/>
    <w:rsid w:val="001A14B9"/>
    <w:rsid w:val="001A15C2"/>
    <w:rsid w:val="001A2653"/>
    <w:rsid w:val="001A30AA"/>
    <w:rsid w:val="001A5FF9"/>
    <w:rsid w:val="001B282F"/>
    <w:rsid w:val="001B5263"/>
    <w:rsid w:val="001B6387"/>
    <w:rsid w:val="001B6866"/>
    <w:rsid w:val="001C2B61"/>
    <w:rsid w:val="001C3596"/>
    <w:rsid w:val="001C7DB6"/>
    <w:rsid w:val="001D0529"/>
    <w:rsid w:val="001D326D"/>
    <w:rsid w:val="001D3D24"/>
    <w:rsid w:val="001D517A"/>
    <w:rsid w:val="001D5C16"/>
    <w:rsid w:val="001D60C6"/>
    <w:rsid w:val="001D6130"/>
    <w:rsid w:val="001D69A4"/>
    <w:rsid w:val="001D790B"/>
    <w:rsid w:val="001E07F4"/>
    <w:rsid w:val="001E31E5"/>
    <w:rsid w:val="001E5CCB"/>
    <w:rsid w:val="001E64D6"/>
    <w:rsid w:val="001F04CC"/>
    <w:rsid w:val="001F1D7C"/>
    <w:rsid w:val="001F3AD9"/>
    <w:rsid w:val="001F4341"/>
    <w:rsid w:val="001F597C"/>
    <w:rsid w:val="00202825"/>
    <w:rsid w:val="00204505"/>
    <w:rsid w:val="002061D5"/>
    <w:rsid w:val="00207A89"/>
    <w:rsid w:val="00210F4D"/>
    <w:rsid w:val="00212590"/>
    <w:rsid w:val="0021407F"/>
    <w:rsid w:val="0021424A"/>
    <w:rsid w:val="0021724F"/>
    <w:rsid w:val="0021772E"/>
    <w:rsid w:val="00220C3B"/>
    <w:rsid w:val="00221BBF"/>
    <w:rsid w:val="00222365"/>
    <w:rsid w:val="00222B7C"/>
    <w:rsid w:val="00223EA5"/>
    <w:rsid w:val="002323C6"/>
    <w:rsid w:val="00233B5F"/>
    <w:rsid w:val="002359C3"/>
    <w:rsid w:val="002403D6"/>
    <w:rsid w:val="002406EB"/>
    <w:rsid w:val="002466A8"/>
    <w:rsid w:val="002511DB"/>
    <w:rsid w:val="00251D77"/>
    <w:rsid w:val="0025252B"/>
    <w:rsid w:val="002528E1"/>
    <w:rsid w:val="00253D02"/>
    <w:rsid w:val="00254D22"/>
    <w:rsid w:val="002565AA"/>
    <w:rsid w:val="0026520D"/>
    <w:rsid w:val="00265497"/>
    <w:rsid w:val="0026590E"/>
    <w:rsid w:val="00266B3D"/>
    <w:rsid w:val="00266BE2"/>
    <w:rsid w:val="00270671"/>
    <w:rsid w:val="00270A3F"/>
    <w:rsid w:val="00270F3C"/>
    <w:rsid w:val="00273064"/>
    <w:rsid w:val="002747DA"/>
    <w:rsid w:val="00280293"/>
    <w:rsid w:val="00280A79"/>
    <w:rsid w:val="00281694"/>
    <w:rsid w:val="002864A2"/>
    <w:rsid w:val="0028740E"/>
    <w:rsid w:val="00290C93"/>
    <w:rsid w:val="00291F33"/>
    <w:rsid w:val="002936CA"/>
    <w:rsid w:val="00294B2D"/>
    <w:rsid w:val="002956C4"/>
    <w:rsid w:val="002973A0"/>
    <w:rsid w:val="002A1235"/>
    <w:rsid w:val="002A3E79"/>
    <w:rsid w:val="002A5FEB"/>
    <w:rsid w:val="002A60EA"/>
    <w:rsid w:val="002B0CB0"/>
    <w:rsid w:val="002B0CB4"/>
    <w:rsid w:val="002B1A2A"/>
    <w:rsid w:val="002B29E2"/>
    <w:rsid w:val="002B715B"/>
    <w:rsid w:val="002B7FE1"/>
    <w:rsid w:val="002C0DC8"/>
    <w:rsid w:val="002C1254"/>
    <w:rsid w:val="002C3333"/>
    <w:rsid w:val="002C36B7"/>
    <w:rsid w:val="002C4156"/>
    <w:rsid w:val="002C4CF1"/>
    <w:rsid w:val="002C745B"/>
    <w:rsid w:val="002D00F6"/>
    <w:rsid w:val="002D34AD"/>
    <w:rsid w:val="002D3E55"/>
    <w:rsid w:val="002D4B97"/>
    <w:rsid w:val="002D6075"/>
    <w:rsid w:val="002D6ABE"/>
    <w:rsid w:val="002D6C2A"/>
    <w:rsid w:val="002D6E82"/>
    <w:rsid w:val="002E0820"/>
    <w:rsid w:val="002E38FB"/>
    <w:rsid w:val="002E65B7"/>
    <w:rsid w:val="002E7824"/>
    <w:rsid w:val="002E7F4D"/>
    <w:rsid w:val="002F11C6"/>
    <w:rsid w:val="002F3142"/>
    <w:rsid w:val="002F3F52"/>
    <w:rsid w:val="002F42E5"/>
    <w:rsid w:val="002F4CA7"/>
    <w:rsid w:val="002F522D"/>
    <w:rsid w:val="002F5727"/>
    <w:rsid w:val="002F7BC1"/>
    <w:rsid w:val="003025CE"/>
    <w:rsid w:val="0030335F"/>
    <w:rsid w:val="00307FB2"/>
    <w:rsid w:val="00311AFD"/>
    <w:rsid w:val="00312F6D"/>
    <w:rsid w:val="00313F16"/>
    <w:rsid w:val="00321799"/>
    <w:rsid w:val="00322499"/>
    <w:rsid w:val="003224F4"/>
    <w:rsid w:val="00323A79"/>
    <w:rsid w:val="00324EED"/>
    <w:rsid w:val="00325DDE"/>
    <w:rsid w:val="00325FB5"/>
    <w:rsid w:val="003304D3"/>
    <w:rsid w:val="003334D3"/>
    <w:rsid w:val="00335BCF"/>
    <w:rsid w:val="003360FD"/>
    <w:rsid w:val="003362E9"/>
    <w:rsid w:val="00336BDD"/>
    <w:rsid w:val="00342D46"/>
    <w:rsid w:val="00344FF5"/>
    <w:rsid w:val="00345937"/>
    <w:rsid w:val="00345C88"/>
    <w:rsid w:val="00345E21"/>
    <w:rsid w:val="00350F42"/>
    <w:rsid w:val="00352B2D"/>
    <w:rsid w:val="00352C91"/>
    <w:rsid w:val="0035435B"/>
    <w:rsid w:val="00356A6E"/>
    <w:rsid w:val="0036179B"/>
    <w:rsid w:val="0036299C"/>
    <w:rsid w:val="003630B8"/>
    <w:rsid w:val="003642D5"/>
    <w:rsid w:val="00365522"/>
    <w:rsid w:val="00365B92"/>
    <w:rsid w:val="0036721E"/>
    <w:rsid w:val="00370E10"/>
    <w:rsid w:val="00371842"/>
    <w:rsid w:val="00372A8E"/>
    <w:rsid w:val="00372D2F"/>
    <w:rsid w:val="003745DA"/>
    <w:rsid w:val="00374BCC"/>
    <w:rsid w:val="00375317"/>
    <w:rsid w:val="0037642C"/>
    <w:rsid w:val="00377A79"/>
    <w:rsid w:val="00380E85"/>
    <w:rsid w:val="00381C73"/>
    <w:rsid w:val="00382FAE"/>
    <w:rsid w:val="00383230"/>
    <w:rsid w:val="0038498F"/>
    <w:rsid w:val="00384C06"/>
    <w:rsid w:val="003857BE"/>
    <w:rsid w:val="0038604A"/>
    <w:rsid w:val="00386D8A"/>
    <w:rsid w:val="003872A9"/>
    <w:rsid w:val="003922DA"/>
    <w:rsid w:val="00392A25"/>
    <w:rsid w:val="00395838"/>
    <w:rsid w:val="0039642C"/>
    <w:rsid w:val="00396C0B"/>
    <w:rsid w:val="0039794E"/>
    <w:rsid w:val="003A0D47"/>
    <w:rsid w:val="003A1F70"/>
    <w:rsid w:val="003A2F0A"/>
    <w:rsid w:val="003A471F"/>
    <w:rsid w:val="003A5210"/>
    <w:rsid w:val="003A7E08"/>
    <w:rsid w:val="003B0557"/>
    <w:rsid w:val="003B1BE2"/>
    <w:rsid w:val="003B2903"/>
    <w:rsid w:val="003B3E3E"/>
    <w:rsid w:val="003B65FA"/>
    <w:rsid w:val="003B776E"/>
    <w:rsid w:val="003B7D5D"/>
    <w:rsid w:val="003C11ED"/>
    <w:rsid w:val="003C389B"/>
    <w:rsid w:val="003C4B95"/>
    <w:rsid w:val="003C4FDD"/>
    <w:rsid w:val="003C5D6E"/>
    <w:rsid w:val="003C6BAB"/>
    <w:rsid w:val="003D205A"/>
    <w:rsid w:val="003D3902"/>
    <w:rsid w:val="003D430D"/>
    <w:rsid w:val="003D53E2"/>
    <w:rsid w:val="003D541C"/>
    <w:rsid w:val="003D5726"/>
    <w:rsid w:val="003D5C95"/>
    <w:rsid w:val="003D5D5E"/>
    <w:rsid w:val="003D786B"/>
    <w:rsid w:val="003E0271"/>
    <w:rsid w:val="003E3F3E"/>
    <w:rsid w:val="003E4B44"/>
    <w:rsid w:val="003E554F"/>
    <w:rsid w:val="003E5AE8"/>
    <w:rsid w:val="003E6868"/>
    <w:rsid w:val="003E6EC4"/>
    <w:rsid w:val="003E76B7"/>
    <w:rsid w:val="003F0E5A"/>
    <w:rsid w:val="003F6D2A"/>
    <w:rsid w:val="003F7B1F"/>
    <w:rsid w:val="004016CF"/>
    <w:rsid w:val="00402FA8"/>
    <w:rsid w:val="00404513"/>
    <w:rsid w:val="004101B5"/>
    <w:rsid w:val="00414982"/>
    <w:rsid w:val="00415EED"/>
    <w:rsid w:val="004163BB"/>
    <w:rsid w:val="004174E6"/>
    <w:rsid w:val="0042082E"/>
    <w:rsid w:val="00420C7F"/>
    <w:rsid w:val="00422C56"/>
    <w:rsid w:val="004244CA"/>
    <w:rsid w:val="00424856"/>
    <w:rsid w:val="00432B9A"/>
    <w:rsid w:val="00433EA9"/>
    <w:rsid w:val="004359CE"/>
    <w:rsid w:val="0043662C"/>
    <w:rsid w:val="00436830"/>
    <w:rsid w:val="00437A08"/>
    <w:rsid w:val="00441E7A"/>
    <w:rsid w:val="00441F31"/>
    <w:rsid w:val="0044297A"/>
    <w:rsid w:val="0044558F"/>
    <w:rsid w:val="00446D90"/>
    <w:rsid w:val="00453D46"/>
    <w:rsid w:val="00454658"/>
    <w:rsid w:val="00455150"/>
    <w:rsid w:val="004572A0"/>
    <w:rsid w:val="00457768"/>
    <w:rsid w:val="004600D2"/>
    <w:rsid w:val="004619EC"/>
    <w:rsid w:val="00462701"/>
    <w:rsid w:val="004628E9"/>
    <w:rsid w:val="00463BC7"/>
    <w:rsid w:val="00464A3F"/>
    <w:rsid w:val="00467100"/>
    <w:rsid w:val="00470AB5"/>
    <w:rsid w:val="00471100"/>
    <w:rsid w:val="00471DE2"/>
    <w:rsid w:val="004747DC"/>
    <w:rsid w:val="0048240E"/>
    <w:rsid w:val="00482C09"/>
    <w:rsid w:val="00484B6F"/>
    <w:rsid w:val="0048504F"/>
    <w:rsid w:val="004913D8"/>
    <w:rsid w:val="00492104"/>
    <w:rsid w:val="00494224"/>
    <w:rsid w:val="00494CFF"/>
    <w:rsid w:val="00495051"/>
    <w:rsid w:val="004954BF"/>
    <w:rsid w:val="00495508"/>
    <w:rsid w:val="00496382"/>
    <w:rsid w:val="004A069A"/>
    <w:rsid w:val="004A08AC"/>
    <w:rsid w:val="004A4055"/>
    <w:rsid w:val="004A4A0B"/>
    <w:rsid w:val="004A5444"/>
    <w:rsid w:val="004A5AA0"/>
    <w:rsid w:val="004A697B"/>
    <w:rsid w:val="004B3DEC"/>
    <w:rsid w:val="004B3F49"/>
    <w:rsid w:val="004B45EC"/>
    <w:rsid w:val="004B4CFC"/>
    <w:rsid w:val="004B615D"/>
    <w:rsid w:val="004B6518"/>
    <w:rsid w:val="004B7853"/>
    <w:rsid w:val="004C03BE"/>
    <w:rsid w:val="004C049A"/>
    <w:rsid w:val="004C3ECE"/>
    <w:rsid w:val="004C5594"/>
    <w:rsid w:val="004D09AA"/>
    <w:rsid w:val="004D124C"/>
    <w:rsid w:val="004D4685"/>
    <w:rsid w:val="004D4B34"/>
    <w:rsid w:val="004D5A91"/>
    <w:rsid w:val="004D5D4B"/>
    <w:rsid w:val="004D5D9D"/>
    <w:rsid w:val="004D6858"/>
    <w:rsid w:val="004E0FF2"/>
    <w:rsid w:val="004E6EC1"/>
    <w:rsid w:val="004E7B9F"/>
    <w:rsid w:val="004F0370"/>
    <w:rsid w:val="004F06C7"/>
    <w:rsid w:val="004F1CDF"/>
    <w:rsid w:val="004F29CC"/>
    <w:rsid w:val="004F2F4C"/>
    <w:rsid w:val="004F35B0"/>
    <w:rsid w:val="004F47F2"/>
    <w:rsid w:val="004F5B76"/>
    <w:rsid w:val="004F64B9"/>
    <w:rsid w:val="005007F2"/>
    <w:rsid w:val="005010EF"/>
    <w:rsid w:val="00501D85"/>
    <w:rsid w:val="00507727"/>
    <w:rsid w:val="00510631"/>
    <w:rsid w:val="00510B7D"/>
    <w:rsid w:val="00511CD2"/>
    <w:rsid w:val="00512321"/>
    <w:rsid w:val="00512EB7"/>
    <w:rsid w:val="00514528"/>
    <w:rsid w:val="00514746"/>
    <w:rsid w:val="00521C53"/>
    <w:rsid w:val="00523B87"/>
    <w:rsid w:val="00524515"/>
    <w:rsid w:val="00527474"/>
    <w:rsid w:val="00533FCA"/>
    <w:rsid w:val="00533FD3"/>
    <w:rsid w:val="00534A42"/>
    <w:rsid w:val="00535E38"/>
    <w:rsid w:val="00541816"/>
    <w:rsid w:val="0054249E"/>
    <w:rsid w:val="005438C3"/>
    <w:rsid w:val="0054544A"/>
    <w:rsid w:val="00546C65"/>
    <w:rsid w:val="005474CF"/>
    <w:rsid w:val="005503DE"/>
    <w:rsid w:val="00551EA0"/>
    <w:rsid w:val="00552768"/>
    <w:rsid w:val="00553AE9"/>
    <w:rsid w:val="00554931"/>
    <w:rsid w:val="00557640"/>
    <w:rsid w:val="00560010"/>
    <w:rsid w:val="005616FC"/>
    <w:rsid w:val="00570284"/>
    <w:rsid w:val="00570730"/>
    <w:rsid w:val="005721F9"/>
    <w:rsid w:val="00572B5A"/>
    <w:rsid w:val="0057332B"/>
    <w:rsid w:val="00573FB3"/>
    <w:rsid w:val="00573FE8"/>
    <w:rsid w:val="0057448E"/>
    <w:rsid w:val="005749CD"/>
    <w:rsid w:val="00574A03"/>
    <w:rsid w:val="005756A6"/>
    <w:rsid w:val="00576307"/>
    <w:rsid w:val="0058024F"/>
    <w:rsid w:val="005807C8"/>
    <w:rsid w:val="005834D8"/>
    <w:rsid w:val="005853F6"/>
    <w:rsid w:val="00586872"/>
    <w:rsid w:val="00586F1D"/>
    <w:rsid w:val="0059069B"/>
    <w:rsid w:val="00591374"/>
    <w:rsid w:val="0059166D"/>
    <w:rsid w:val="00592D70"/>
    <w:rsid w:val="00594466"/>
    <w:rsid w:val="00594AA4"/>
    <w:rsid w:val="005A1137"/>
    <w:rsid w:val="005A1987"/>
    <w:rsid w:val="005A2990"/>
    <w:rsid w:val="005A3510"/>
    <w:rsid w:val="005A3C1E"/>
    <w:rsid w:val="005A4357"/>
    <w:rsid w:val="005A6A2D"/>
    <w:rsid w:val="005A7644"/>
    <w:rsid w:val="005A782E"/>
    <w:rsid w:val="005A7A65"/>
    <w:rsid w:val="005B03F3"/>
    <w:rsid w:val="005B24D7"/>
    <w:rsid w:val="005B3EC6"/>
    <w:rsid w:val="005B460F"/>
    <w:rsid w:val="005B59F2"/>
    <w:rsid w:val="005C336B"/>
    <w:rsid w:val="005C384D"/>
    <w:rsid w:val="005C3BDA"/>
    <w:rsid w:val="005C651E"/>
    <w:rsid w:val="005E0A0E"/>
    <w:rsid w:val="005E10DB"/>
    <w:rsid w:val="005E1306"/>
    <w:rsid w:val="005E1A02"/>
    <w:rsid w:val="005E2D44"/>
    <w:rsid w:val="005E485E"/>
    <w:rsid w:val="005E4DCE"/>
    <w:rsid w:val="005E5EFC"/>
    <w:rsid w:val="005E66F2"/>
    <w:rsid w:val="005F05D5"/>
    <w:rsid w:val="005F0B78"/>
    <w:rsid w:val="005F4476"/>
    <w:rsid w:val="005F567F"/>
    <w:rsid w:val="005F7122"/>
    <w:rsid w:val="00602697"/>
    <w:rsid w:val="0060348A"/>
    <w:rsid w:val="0060385C"/>
    <w:rsid w:val="00603D85"/>
    <w:rsid w:val="00604009"/>
    <w:rsid w:val="00604721"/>
    <w:rsid w:val="006118F7"/>
    <w:rsid w:val="00613ED3"/>
    <w:rsid w:val="0062201A"/>
    <w:rsid w:val="0062426C"/>
    <w:rsid w:val="00625EEF"/>
    <w:rsid w:val="00625F1D"/>
    <w:rsid w:val="006278C8"/>
    <w:rsid w:val="00627C9A"/>
    <w:rsid w:val="00630B30"/>
    <w:rsid w:val="00640B18"/>
    <w:rsid w:val="00641C3A"/>
    <w:rsid w:val="0064202B"/>
    <w:rsid w:val="006425B2"/>
    <w:rsid w:val="0064326F"/>
    <w:rsid w:val="006446FA"/>
    <w:rsid w:val="006475FF"/>
    <w:rsid w:val="006519AE"/>
    <w:rsid w:val="00653062"/>
    <w:rsid w:val="0065370F"/>
    <w:rsid w:val="00654155"/>
    <w:rsid w:val="00654C06"/>
    <w:rsid w:val="00654E00"/>
    <w:rsid w:val="00656405"/>
    <w:rsid w:val="00660CB3"/>
    <w:rsid w:val="0066372B"/>
    <w:rsid w:val="00663A98"/>
    <w:rsid w:val="00664559"/>
    <w:rsid w:val="006659FC"/>
    <w:rsid w:val="0066775D"/>
    <w:rsid w:val="0067416E"/>
    <w:rsid w:val="006749D1"/>
    <w:rsid w:val="0067555C"/>
    <w:rsid w:val="0067592F"/>
    <w:rsid w:val="00676E1D"/>
    <w:rsid w:val="00681924"/>
    <w:rsid w:val="00681A21"/>
    <w:rsid w:val="00682528"/>
    <w:rsid w:val="00682E6D"/>
    <w:rsid w:val="00684214"/>
    <w:rsid w:val="006863B7"/>
    <w:rsid w:val="00686B51"/>
    <w:rsid w:val="006917B6"/>
    <w:rsid w:val="00691A14"/>
    <w:rsid w:val="00691B9B"/>
    <w:rsid w:val="00692688"/>
    <w:rsid w:val="00696C25"/>
    <w:rsid w:val="00697494"/>
    <w:rsid w:val="006A1A2F"/>
    <w:rsid w:val="006A3046"/>
    <w:rsid w:val="006A5C8D"/>
    <w:rsid w:val="006A65BE"/>
    <w:rsid w:val="006A7F91"/>
    <w:rsid w:val="006B058D"/>
    <w:rsid w:val="006B0E7B"/>
    <w:rsid w:val="006B1684"/>
    <w:rsid w:val="006B1A39"/>
    <w:rsid w:val="006B61C6"/>
    <w:rsid w:val="006C0E63"/>
    <w:rsid w:val="006C1DDD"/>
    <w:rsid w:val="006C2476"/>
    <w:rsid w:val="006C32B4"/>
    <w:rsid w:val="006C3BE4"/>
    <w:rsid w:val="006C5BD5"/>
    <w:rsid w:val="006C7A8F"/>
    <w:rsid w:val="006D0967"/>
    <w:rsid w:val="006D0ADD"/>
    <w:rsid w:val="006D3748"/>
    <w:rsid w:val="006D4049"/>
    <w:rsid w:val="006E22E0"/>
    <w:rsid w:val="006E2BA2"/>
    <w:rsid w:val="006E371B"/>
    <w:rsid w:val="006E6A17"/>
    <w:rsid w:val="006E7ACF"/>
    <w:rsid w:val="006F185E"/>
    <w:rsid w:val="006F1CF4"/>
    <w:rsid w:val="00703153"/>
    <w:rsid w:val="007034A6"/>
    <w:rsid w:val="00703E18"/>
    <w:rsid w:val="00704EB5"/>
    <w:rsid w:val="00706615"/>
    <w:rsid w:val="00706FC1"/>
    <w:rsid w:val="0071106D"/>
    <w:rsid w:val="007117CF"/>
    <w:rsid w:val="00713176"/>
    <w:rsid w:val="007132DC"/>
    <w:rsid w:val="00713E5E"/>
    <w:rsid w:val="007143CB"/>
    <w:rsid w:val="00720A1B"/>
    <w:rsid w:val="00720F75"/>
    <w:rsid w:val="007225B1"/>
    <w:rsid w:val="00724282"/>
    <w:rsid w:val="00726213"/>
    <w:rsid w:val="0073537D"/>
    <w:rsid w:val="00735843"/>
    <w:rsid w:val="007365A6"/>
    <w:rsid w:val="0073733E"/>
    <w:rsid w:val="00737841"/>
    <w:rsid w:val="007404F4"/>
    <w:rsid w:val="007406D7"/>
    <w:rsid w:val="00741B23"/>
    <w:rsid w:val="00742CC9"/>
    <w:rsid w:val="00744F5A"/>
    <w:rsid w:val="00746567"/>
    <w:rsid w:val="00747117"/>
    <w:rsid w:val="00747D3B"/>
    <w:rsid w:val="00750BD6"/>
    <w:rsid w:val="007510B0"/>
    <w:rsid w:val="00751B60"/>
    <w:rsid w:val="00752737"/>
    <w:rsid w:val="00762AD2"/>
    <w:rsid w:val="00765807"/>
    <w:rsid w:val="00765912"/>
    <w:rsid w:val="00766433"/>
    <w:rsid w:val="0076745C"/>
    <w:rsid w:val="00767CB6"/>
    <w:rsid w:val="00770328"/>
    <w:rsid w:val="00770A22"/>
    <w:rsid w:val="00771D7D"/>
    <w:rsid w:val="00772461"/>
    <w:rsid w:val="00773043"/>
    <w:rsid w:val="00783412"/>
    <w:rsid w:val="007836B2"/>
    <w:rsid w:val="00783B0E"/>
    <w:rsid w:val="007865DC"/>
    <w:rsid w:val="007872EF"/>
    <w:rsid w:val="00790C16"/>
    <w:rsid w:val="00792489"/>
    <w:rsid w:val="0079387F"/>
    <w:rsid w:val="0079508F"/>
    <w:rsid w:val="0079559F"/>
    <w:rsid w:val="00797E33"/>
    <w:rsid w:val="007A0671"/>
    <w:rsid w:val="007A2C94"/>
    <w:rsid w:val="007A3FA5"/>
    <w:rsid w:val="007B0BC6"/>
    <w:rsid w:val="007B1994"/>
    <w:rsid w:val="007B346F"/>
    <w:rsid w:val="007B3482"/>
    <w:rsid w:val="007B72D5"/>
    <w:rsid w:val="007C0832"/>
    <w:rsid w:val="007C092B"/>
    <w:rsid w:val="007C162E"/>
    <w:rsid w:val="007C3F3B"/>
    <w:rsid w:val="007C67FC"/>
    <w:rsid w:val="007C6CB5"/>
    <w:rsid w:val="007C6DA2"/>
    <w:rsid w:val="007D003E"/>
    <w:rsid w:val="007D4BD6"/>
    <w:rsid w:val="007E0E1A"/>
    <w:rsid w:val="007E16D0"/>
    <w:rsid w:val="007E36A0"/>
    <w:rsid w:val="007E46CF"/>
    <w:rsid w:val="007E7B00"/>
    <w:rsid w:val="007F00CC"/>
    <w:rsid w:val="007F0582"/>
    <w:rsid w:val="007F07B0"/>
    <w:rsid w:val="007F0D85"/>
    <w:rsid w:val="007F1917"/>
    <w:rsid w:val="007F1E8D"/>
    <w:rsid w:val="007F288B"/>
    <w:rsid w:val="007F3E4C"/>
    <w:rsid w:val="007F7B86"/>
    <w:rsid w:val="008001F7"/>
    <w:rsid w:val="008012E2"/>
    <w:rsid w:val="00801402"/>
    <w:rsid w:val="0080273C"/>
    <w:rsid w:val="00804EE9"/>
    <w:rsid w:val="008078DB"/>
    <w:rsid w:val="00811446"/>
    <w:rsid w:val="00814894"/>
    <w:rsid w:val="00814C26"/>
    <w:rsid w:val="00815B9D"/>
    <w:rsid w:val="00816EBD"/>
    <w:rsid w:val="008204C2"/>
    <w:rsid w:val="0082154F"/>
    <w:rsid w:val="0082200C"/>
    <w:rsid w:val="008222D8"/>
    <w:rsid w:val="008222F6"/>
    <w:rsid w:val="00822819"/>
    <w:rsid w:val="0082290B"/>
    <w:rsid w:val="00822FB4"/>
    <w:rsid w:val="008244DB"/>
    <w:rsid w:val="008255A3"/>
    <w:rsid w:val="008303B4"/>
    <w:rsid w:val="00830B2E"/>
    <w:rsid w:val="0083268F"/>
    <w:rsid w:val="00834401"/>
    <w:rsid w:val="00835B16"/>
    <w:rsid w:val="00836D07"/>
    <w:rsid w:val="00837D96"/>
    <w:rsid w:val="0084249C"/>
    <w:rsid w:val="00843104"/>
    <w:rsid w:val="0084421E"/>
    <w:rsid w:val="008445D6"/>
    <w:rsid w:val="00844C74"/>
    <w:rsid w:val="00845F0C"/>
    <w:rsid w:val="0085064C"/>
    <w:rsid w:val="00854363"/>
    <w:rsid w:val="00856EE9"/>
    <w:rsid w:val="0085746C"/>
    <w:rsid w:val="00857594"/>
    <w:rsid w:val="00860E79"/>
    <w:rsid w:val="008611BE"/>
    <w:rsid w:val="00861589"/>
    <w:rsid w:val="008632B2"/>
    <w:rsid w:val="00865C91"/>
    <w:rsid w:val="00870C29"/>
    <w:rsid w:val="00872171"/>
    <w:rsid w:val="0087537D"/>
    <w:rsid w:val="00876CEB"/>
    <w:rsid w:val="00880C1D"/>
    <w:rsid w:val="00881B84"/>
    <w:rsid w:val="00882C51"/>
    <w:rsid w:val="00884804"/>
    <w:rsid w:val="00885BF9"/>
    <w:rsid w:val="00885DB8"/>
    <w:rsid w:val="0088789B"/>
    <w:rsid w:val="0089069D"/>
    <w:rsid w:val="008936FD"/>
    <w:rsid w:val="00894E36"/>
    <w:rsid w:val="0089572B"/>
    <w:rsid w:val="00896E14"/>
    <w:rsid w:val="008977D6"/>
    <w:rsid w:val="008A0DD2"/>
    <w:rsid w:val="008A39EF"/>
    <w:rsid w:val="008A4A0A"/>
    <w:rsid w:val="008A5343"/>
    <w:rsid w:val="008A6110"/>
    <w:rsid w:val="008B4D53"/>
    <w:rsid w:val="008B5F2B"/>
    <w:rsid w:val="008B628E"/>
    <w:rsid w:val="008B68B3"/>
    <w:rsid w:val="008B73BA"/>
    <w:rsid w:val="008B758B"/>
    <w:rsid w:val="008B759F"/>
    <w:rsid w:val="008C58AC"/>
    <w:rsid w:val="008C7C4B"/>
    <w:rsid w:val="008D0D93"/>
    <w:rsid w:val="008D1314"/>
    <w:rsid w:val="008D27CA"/>
    <w:rsid w:val="008D2826"/>
    <w:rsid w:val="008D2AEA"/>
    <w:rsid w:val="008D44A6"/>
    <w:rsid w:val="008D626A"/>
    <w:rsid w:val="008D63FB"/>
    <w:rsid w:val="008E0A1C"/>
    <w:rsid w:val="008E22DB"/>
    <w:rsid w:val="008E28D6"/>
    <w:rsid w:val="008E432E"/>
    <w:rsid w:val="008E4C6C"/>
    <w:rsid w:val="008E548D"/>
    <w:rsid w:val="008F037A"/>
    <w:rsid w:val="008F08F0"/>
    <w:rsid w:val="008F15D2"/>
    <w:rsid w:val="008F6E12"/>
    <w:rsid w:val="008F7B66"/>
    <w:rsid w:val="008F7E1C"/>
    <w:rsid w:val="008F7FD3"/>
    <w:rsid w:val="009000DA"/>
    <w:rsid w:val="00901B38"/>
    <w:rsid w:val="009037EB"/>
    <w:rsid w:val="00905CC9"/>
    <w:rsid w:val="00910B3D"/>
    <w:rsid w:val="00915C3C"/>
    <w:rsid w:val="00917193"/>
    <w:rsid w:val="00922AF4"/>
    <w:rsid w:val="009255DE"/>
    <w:rsid w:val="00925B85"/>
    <w:rsid w:val="00926BA7"/>
    <w:rsid w:val="00931936"/>
    <w:rsid w:val="00932583"/>
    <w:rsid w:val="00932C12"/>
    <w:rsid w:val="00933EBE"/>
    <w:rsid w:val="009356D7"/>
    <w:rsid w:val="00937146"/>
    <w:rsid w:val="009450E8"/>
    <w:rsid w:val="00946281"/>
    <w:rsid w:val="00947075"/>
    <w:rsid w:val="00951317"/>
    <w:rsid w:val="0095158C"/>
    <w:rsid w:val="00952FF1"/>
    <w:rsid w:val="009537D8"/>
    <w:rsid w:val="009544D3"/>
    <w:rsid w:val="0095558F"/>
    <w:rsid w:val="00957DD3"/>
    <w:rsid w:val="0096045A"/>
    <w:rsid w:val="009604F9"/>
    <w:rsid w:val="009606EB"/>
    <w:rsid w:val="009617A8"/>
    <w:rsid w:val="009673CB"/>
    <w:rsid w:val="00967616"/>
    <w:rsid w:val="0097233E"/>
    <w:rsid w:val="009733DB"/>
    <w:rsid w:val="0097388F"/>
    <w:rsid w:val="00973EB3"/>
    <w:rsid w:val="00977D8E"/>
    <w:rsid w:val="0098232B"/>
    <w:rsid w:val="00982507"/>
    <w:rsid w:val="00982763"/>
    <w:rsid w:val="0098293E"/>
    <w:rsid w:val="00982C4E"/>
    <w:rsid w:val="00983B5D"/>
    <w:rsid w:val="00985575"/>
    <w:rsid w:val="00985F77"/>
    <w:rsid w:val="00993C6E"/>
    <w:rsid w:val="009952DA"/>
    <w:rsid w:val="00995601"/>
    <w:rsid w:val="009958DA"/>
    <w:rsid w:val="009978C1"/>
    <w:rsid w:val="009A0558"/>
    <w:rsid w:val="009A084B"/>
    <w:rsid w:val="009A11FF"/>
    <w:rsid w:val="009A2EFD"/>
    <w:rsid w:val="009A34C0"/>
    <w:rsid w:val="009A481C"/>
    <w:rsid w:val="009A54BC"/>
    <w:rsid w:val="009A5768"/>
    <w:rsid w:val="009A688B"/>
    <w:rsid w:val="009B0F7B"/>
    <w:rsid w:val="009B561A"/>
    <w:rsid w:val="009B5646"/>
    <w:rsid w:val="009B716A"/>
    <w:rsid w:val="009B77A1"/>
    <w:rsid w:val="009C010A"/>
    <w:rsid w:val="009C076A"/>
    <w:rsid w:val="009C09CD"/>
    <w:rsid w:val="009C138F"/>
    <w:rsid w:val="009C2D3E"/>
    <w:rsid w:val="009C38CB"/>
    <w:rsid w:val="009C533F"/>
    <w:rsid w:val="009C5709"/>
    <w:rsid w:val="009C5A14"/>
    <w:rsid w:val="009C6024"/>
    <w:rsid w:val="009C61F2"/>
    <w:rsid w:val="009C6CD9"/>
    <w:rsid w:val="009D0459"/>
    <w:rsid w:val="009D241D"/>
    <w:rsid w:val="009D43A0"/>
    <w:rsid w:val="009D4A16"/>
    <w:rsid w:val="009D573E"/>
    <w:rsid w:val="009D5820"/>
    <w:rsid w:val="009E1811"/>
    <w:rsid w:val="009E466D"/>
    <w:rsid w:val="009E50CA"/>
    <w:rsid w:val="009E5D6D"/>
    <w:rsid w:val="009E6730"/>
    <w:rsid w:val="009E6A1D"/>
    <w:rsid w:val="009F0ABB"/>
    <w:rsid w:val="009F2384"/>
    <w:rsid w:val="009F2E43"/>
    <w:rsid w:val="009F3047"/>
    <w:rsid w:val="009F5DE6"/>
    <w:rsid w:val="009F6DB5"/>
    <w:rsid w:val="009F7B7B"/>
    <w:rsid w:val="00A001F5"/>
    <w:rsid w:val="00A0121E"/>
    <w:rsid w:val="00A0129E"/>
    <w:rsid w:val="00A02AEE"/>
    <w:rsid w:val="00A03B6C"/>
    <w:rsid w:val="00A04331"/>
    <w:rsid w:val="00A05556"/>
    <w:rsid w:val="00A06DDE"/>
    <w:rsid w:val="00A07A52"/>
    <w:rsid w:val="00A10EDE"/>
    <w:rsid w:val="00A110A1"/>
    <w:rsid w:val="00A1503E"/>
    <w:rsid w:val="00A16965"/>
    <w:rsid w:val="00A16E28"/>
    <w:rsid w:val="00A172AA"/>
    <w:rsid w:val="00A25BE4"/>
    <w:rsid w:val="00A25C69"/>
    <w:rsid w:val="00A26D7B"/>
    <w:rsid w:val="00A27B26"/>
    <w:rsid w:val="00A31566"/>
    <w:rsid w:val="00A317A2"/>
    <w:rsid w:val="00A31B30"/>
    <w:rsid w:val="00A3309B"/>
    <w:rsid w:val="00A33928"/>
    <w:rsid w:val="00A34D50"/>
    <w:rsid w:val="00A37A33"/>
    <w:rsid w:val="00A4114C"/>
    <w:rsid w:val="00A41848"/>
    <w:rsid w:val="00A43E95"/>
    <w:rsid w:val="00A450A9"/>
    <w:rsid w:val="00A46597"/>
    <w:rsid w:val="00A47410"/>
    <w:rsid w:val="00A54871"/>
    <w:rsid w:val="00A559F3"/>
    <w:rsid w:val="00A56604"/>
    <w:rsid w:val="00A56CE5"/>
    <w:rsid w:val="00A60C2A"/>
    <w:rsid w:val="00A6192B"/>
    <w:rsid w:val="00A6196C"/>
    <w:rsid w:val="00A65F18"/>
    <w:rsid w:val="00A67222"/>
    <w:rsid w:val="00A67D08"/>
    <w:rsid w:val="00A702EF"/>
    <w:rsid w:val="00A706A3"/>
    <w:rsid w:val="00A72296"/>
    <w:rsid w:val="00A73743"/>
    <w:rsid w:val="00A74C68"/>
    <w:rsid w:val="00A7506F"/>
    <w:rsid w:val="00A751C2"/>
    <w:rsid w:val="00A76982"/>
    <w:rsid w:val="00A77473"/>
    <w:rsid w:val="00A776C7"/>
    <w:rsid w:val="00A803EE"/>
    <w:rsid w:val="00A829C2"/>
    <w:rsid w:val="00A836C7"/>
    <w:rsid w:val="00A84691"/>
    <w:rsid w:val="00A84E28"/>
    <w:rsid w:val="00A85C72"/>
    <w:rsid w:val="00A85DF3"/>
    <w:rsid w:val="00A86C82"/>
    <w:rsid w:val="00A87CFA"/>
    <w:rsid w:val="00A87E3D"/>
    <w:rsid w:val="00A93AA7"/>
    <w:rsid w:val="00A9418F"/>
    <w:rsid w:val="00A94691"/>
    <w:rsid w:val="00A94703"/>
    <w:rsid w:val="00A95694"/>
    <w:rsid w:val="00A95AF6"/>
    <w:rsid w:val="00A9689C"/>
    <w:rsid w:val="00A975AC"/>
    <w:rsid w:val="00AA0289"/>
    <w:rsid w:val="00AA10BC"/>
    <w:rsid w:val="00AA43B8"/>
    <w:rsid w:val="00AA62D0"/>
    <w:rsid w:val="00AA67EB"/>
    <w:rsid w:val="00AA7213"/>
    <w:rsid w:val="00AA7DAB"/>
    <w:rsid w:val="00AB08EC"/>
    <w:rsid w:val="00AB2B4A"/>
    <w:rsid w:val="00AB4ADE"/>
    <w:rsid w:val="00AB619A"/>
    <w:rsid w:val="00AC2D95"/>
    <w:rsid w:val="00AC2D9C"/>
    <w:rsid w:val="00AC5F11"/>
    <w:rsid w:val="00AC6005"/>
    <w:rsid w:val="00AC702B"/>
    <w:rsid w:val="00AC71C4"/>
    <w:rsid w:val="00AC7C92"/>
    <w:rsid w:val="00AD335E"/>
    <w:rsid w:val="00AD3ABB"/>
    <w:rsid w:val="00AD4778"/>
    <w:rsid w:val="00AD4958"/>
    <w:rsid w:val="00AD5FBE"/>
    <w:rsid w:val="00AD7928"/>
    <w:rsid w:val="00AE09F9"/>
    <w:rsid w:val="00AE1691"/>
    <w:rsid w:val="00AE4F8A"/>
    <w:rsid w:val="00AE4FBC"/>
    <w:rsid w:val="00AE7462"/>
    <w:rsid w:val="00AF0E97"/>
    <w:rsid w:val="00AF22F9"/>
    <w:rsid w:val="00AF25FA"/>
    <w:rsid w:val="00AF541A"/>
    <w:rsid w:val="00AF7467"/>
    <w:rsid w:val="00B04A2B"/>
    <w:rsid w:val="00B05FA8"/>
    <w:rsid w:val="00B0667E"/>
    <w:rsid w:val="00B06F57"/>
    <w:rsid w:val="00B07D16"/>
    <w:rsid w:val="00B11D8C"/>
    <w:rsid w:val="00B13B1B"/>
    <w:rsid w:val="00B14F32"/>
    <w:rsid w:val="00B15028"/>
    <w:rsid w:val="00B17977"/>
    <w:rsid w:val="00B21A92"/>
    <w:rsid w:val="00B21FCB"/>
    <w:rsid w:val="00B22C30"/>
    <w:rsid w:val="00B22E24"/>
    <w:rsid w:val="00B24E3E"/>
    <w:rsid w:val="00B24EDC"/>
    <w:rsid w:val="00B25543"/>
    <w:rsid w:val="00B258A4"/>
    <w:rsid w:val="00B26733"/>
    <w:rsid w:val="00B27070"/>
    <w:rsid w:val="00B2744F"/>
    <w:rsid w:val="00B34758"/>
    <w:rsid w:val="00B36E8E"/>
    <w:rsid w:val="00B376E2"/>
    <w:rsid w:val="00B4037E"/>
    <w:rsid w:val="00B40A0B"/>
    <w:rsid w:val="00B4256E"/>
    <w:rsid w:val="00B42F19"/>
    <w:rsid w:val="00B44DA5"/>
    <w:rsid w:val="00B45E30"/>
    <w:rsid w:val="00B47BC7"/>
    <w:rsid w:val="00B54E1C"/>
    <w:rsid w:val="00B63B50"/>
    <w:rsid w:val="00B67FA0"/>
    <w:rsid w:val="00B67FF3"/>
    <w:rsid w:val="00B70C1B"/>
    <w:rsid w:val="00B73238"/>
    <w:rsid w:val="00B76775"/>
    <w:rsid w:val="00B80A27"/>
    <w:rsid w:val="00B81D5B"/>
    <w:rsid w:val="00B81F59"/>
    <w:rsid w:val="00B83F7C"/>
    <w:rsid w:val="00B90D1D"/>
    <w:rsid w:val="00B94120"/>
    <w:rsid w:val="00B94D6B"/>
    <w:rsid w:val="00B95455"/>
    <w:rsid w:val="00B96828"/>
    <w:rsid w:val="00B97449"/>
    <w:rsid w:val="00B97DEA"/>
    <w:rsid w:val="00BA01AD"/>
    <w:rsid w:val="00BA4F68"/>
    <w:rsid w:val="00BA508E"/>
    <w:rsid w:val="00BA5E9E"/>
    <w:rsid w:val="00BB10FA"/>
    <w:rsid w:val="00BB426E"/>
    <w:rsid w:val="00BB44FA"/>
    <w:rsid w:val="00BB4E3C"/>
    <w:rsid w:val="00BB74C9"/>
    <w:rsid w:val="00BC0588"/>
    <w:rsid w:val="00BC250C"/>
    <w:rsid w:val="00BC4C6A"/>
    <w:rsid w:val="00BC544A"/>
    <w:rsid w:val="00BC5DD2"/>
    <w:rsid w:val="00BC6860"/>
    <w:rsid w:val="00BD322E"/>
    <w:rsid w:val="00BD408F"/>
    <w:rsid w:val="00BD421C"/>
    <w:rsid w:val="00BD5B2E"/>
    <w:rsid w:val="00BD652A"/>
    <w:rsid w:val="00BD76F5"/>
    <w:rsid w:val="00BE0629"/>
    <w:rsid w:val="00BE2563"/>
    <w:rsid w:val="00BE373B"/>
    <w:rsid w:val="00BE6581"/>
    <w:rsid w:val="00BF10FD"/>
    <w:rsid w:val="00BF1C9E"/>
    <w:rsid w:val="00BF7978"/>
    <w:rsid w:val="00BF7F83"/>
    <w:rsid w:val="00C04C23"/>
    <w:rsid w:val="00C05F1A"/>
    <w:rsid w:val="00C0631B"/>
    <w:rsid w:val="00C077AF"/>
    <w:rsid w:val="00C105AA"/>
    <w:rsid w:val="00C118AD"/>
    <w:rsid w:val="00C12D1D"/>
    <w:rsid w:val="00C159B4"/>
    <w:rsid w:val="00C232FC"/>
    <w:rsid w:val="00C23D1A"/>
    <w:rsid w:val="00C318AA"/>
    <w:rsid w:val="00C31F36"/>
    <w:rsid w:val="00C32AF2"/>
    <w:rsid w:val="00C33D05"/>
    <w:rsid w:val="00C34541"/>
    <w:rsid w:val="00C35436"/>
    <w:rsid w:val="00C35997"/>
    <w:rsid w:val="00C36739"/>
    <w:rsid w:val="00C36CA1"/>
    <w:rsid w:val="00C37855"/>
    <w:rsid w:val="00C40FAA"/>
    <w:rsid w:val="00C433FE"/>
    <w:rsid w:val="00C449FB"/>
    <w:rsid w:val="00C451B8"/>
    <w:rsid w:val="00C45829"/>
    <w:rsid w:val="00C50C9F"/>
    <w:rsid w:val="00C54CDC"/>
    <w:rsid w:val="00C54FE4"/>
    <w:rsid w:val="00C569D9"/>
    <w:rsid w:val="00C57C43"/>
    <w:rsid w:val="00C600A7"/>
    <w:rsid w:val="00C62A3E"/>
    <w:rsid w:val="00C6354B"/>
    <w:rsid w:val="00C64003"/>
    <w:rsid w:val="00C64138"/>
    <w:rsid w:val="00C64DA4"/>
    <w:rsid w:val="00C66020"/>
    <w:rsid w:val="00C7017D"/>
    <w:rsid w:val="00C72695"/>
    <w:rsid w:val="00C732FD"/>
    <w:rsid w:val="00C735CE"/>
    <w:rsid w:val="00C76DA1"/>
    <w:rsid w:val="00C77533"/>
    <w:rsid w:val="00C77C68"/>
    <w:rsid w:val="00C80F8C"/>
    <w:rsid w:val="00C81312"/>
    <w:rsid w:val="00C81655"/>
    <w:rsid w:val="00C82027"/>
    <w:rsid w:val="00C82A90"/>
    <w:rsid w:val="00C86C35"/>
    <w:rsid w:val="00C870C2"/>
    <w:rsid w:val="00C90703"/>
    <w:rsid w:val="00C93A7C"/>
    <w:rsid w:val="00C95371"/>
    <w:rsid w:val="00C955CC"/>
    <w:rsid w:val="00C95D3D"/>
    <w:rsid w:val="00CA0253"/>
    <w:rsid w:val="00CA4768"/>
    <w:rsid w:val="00CA5E5F"/>
    <w:rsid w:val="00CA69AE"/>
    <w:rsid w:val="00CA7F86"/>
    <w:rsid w:val="00CB01E0"/>
    <w:rsid w:val="00CB6701"/>
    <w:rsid w:val="00CC0166"/>
    <w:rsid w:val="00CC1B9F"/>
    <w:rsid w:val="00CC26B6"/>
    <w:rsid w:val="00CC3319"/>
    <w:rsid w:val="00CC501A"/>
    <w:rsid w:val="00CC58DD"/>
    <w:rsid w:val="00CC662F"/>
    <w:rsid w:val="00CD346B"/>
    <w:rsid w:val="00CD3ECA"/>
    <w:rsid w:val="00CD5C16"/>
    <w:rsid w:val="00CE07D8"/>
    <w:rsid w:val="00CE0E66"/>
    <w:rsid w:val="00CE120E"/>
    <w:rsid w:val="00CE2EC4"/>
    <w:rsid w:val="00CE3130"/>
    <w:rsid w:val="00CE4EE2"/>
    <w:rsid w:val="00CE54BF"/>
    <w:rsid w:val="00CF255B"/>
    <w:rsid w:val="00CF2BB3"/>
    <w:rsid w:val="00CF38DB"/>
    <w:rsid w:val="00CF499C"/>
    <w:rsid w:val="00CF5C0C"/>
    <w:rsid w:val="00CF6495"/>
    <w:rsid w:val="00CF71E9"/>
    <w:rsid w:val="00D030F8"/>
    <w:rsid w:val="00D031EC"/>
    <w:rsid w:val="00D060CD"/>
    <w:rsid w:val="00D066C9"/>
    <w:rsid w:val="00D12750"/>
    <w:rsid w:val="00D14A58"/>
    <w:rsid w:val="00D15E87"/>
    <w:rsid w:val="00D16618"/>
    <w:rsid w:val="00D17DB3"/>
    <w:rsid w:val="00D17FF4"/>
    <w:rsid w:val="00D21ECC"/>
    <w:rsid w:val="00D231F8"/>
    <w:rsid w:val="00D2426E"/>
    <w:rsid w:val="00D31C32"/>
    <w:rsid w:val="00D33BD1"/>
    <w:rsid w:val="00D34FFA"/>
    <w:rsid w:val="00D35AC3"/>
    <w:rsid w:val="00D36E11"/>
    <w:rsid w:val="00D37B5E"/>
    <w:rsid w:val="00D4069C"/>
    <w:rsid w:val="00D4071F"/>
    <w:rsid w:val="00D413F2"/>
    <w:rsid w:val="00D4299B"/>
    <w:rsid w:val="00D44C40"/>
    <w:rsid w:val="00D45955"/>
    <w:rsid w:val="00D45AE8"/>
    <w:rsid w:val="00D4663D"/>
    <w:rsid w:val="00D47261"/>
    <w:rsid w:val="00D47F7B"/>
    <w:rsid w:val="00D51CB4"/>
    <w:rsid w:val="00D53F8C"/>
    <w:rsid w:val="00D566A3"/>
    <w:rsid w:val="00D57000"/>
    <w:rsid w:val="00D6353C"/>
    <w:rsid w:val="00D63F98"/>
    <w:rsid w:val="00D67376"/>
    <w:rsid w:val="00D76D5C"/>
    <w:rsid w:val="00D81286"/>
    <w:rsid w:val="00D82195"/>
    <w:rsid w:val="00D85DF3"/>
    <w:rsid w:val="00D95D0D"/>
    <w:rsid w:val="00D96457"/>
    <w:rsid w:val="00D96531"/>
    <w:rsid w:val="00DA0FE4"/>
    <w:rsid w:val="00DA12CF"/>
    <w:rsid w:val="00DA147D"/>
    <w:rsid w:val="00DA235B"/>
    <w:rsid w:val="00DA5342"/>
    <w:rsid w:val="00DA54D4"/>
    <w:rsid w:val="00DA575C"/>
    <w:rsid w:val="00DB41CE"/>
    <w:rsid w:val="00DC0871"/>
    <w:rsid w:val="00DC2C44"/>
    <w:rsid w:val="00DC3D90"/>
    <w:rsid w:val="00DC3FC0"/>
    <w:rsid w:val="00DC4D5A"/>
    <w:rsid w:val="00DC50D9"/>
    <w:rsid w:val="00DC596A"/>
    <w:rsid w:val="00DC5E38"/>
    <w:rsid w:val="00DC71B7"/>
    <w:rsid w:val="00DC750A"/>
    <w:rsid w:val="00DD1C43"/>
    <w:rsid w:val="00DD228C"/>
    <w:rsid w:val="00DD2503"/>
    <w:rsid w:val="00DD2787"/>
    <w:rsid w:val="00DD27E1"/>
    <w:rsid w:val="00DD2938"/>
    <w:rsid w:val="00DD3AE8"/>
    <w:rsid w:val="00DD3CA6"/>
    <w:rsid w:val="00DD59F9"/>
    <w:rsid w:val="00DD5F70"/>
    <w:rsid w:val="00DD7896"/>
    <w:rsid w:val="00DD7EAC"/>
    <w:rsid w:val="00DE029E"/>
    <w:rsid w:val="00DE0A52"/>
    <w:rsid w:val="00DE2A40"/>
    <w:rsid w:val="00DE2B4D"/>
    <w:rsid w:val="00DE5E99"/>
    <w:rsid w:val="00DF0657"/>
    <w:rsid w:val="00DF0F24"/>
    <w:rsid w:val="00DF12E3"/>
    <w:rsid w:val="00DF19AA"/>
    <w:rsid w:val="00DF2F5C"/>
    <w:rsid w:val="00DF36D5"/>
    <w:rsid w:val="00DF4A3E"/>
    <w:rsid w:val="00DF5154"/>
    <w:rsid w:val="00DF6A74"/>
    <w:rsid w:val="00DF7366"/>
    <w:rsid w:val="00E01833"/>
    <w:rsid w:val="00E03AAC"/>
    <w:rsid w:val="00E049C1"/>
    <w:rsid w:val="00E05915"/>
    <w:rsid w:val="00E06B95"/>
    <w:rsid w:val="00E07203"/>
    <w:rsid w:val="00E11052"/>
    <w:rsid w:val="00E117AB"/>
    <w:rsid w:val="00E11D2B"/>
    <w:rsid w:val="00E129B6"/>
    <w:rsid w:val="00E2242F"/>
    <w:rsid w:val="00E22666"/>
    <w:rsid w:val="00E23E0B"/>
    <w:rsid w:val="00E27324"/>
    <w:rsid w:val="00E273CA"/>
    <w:rsid w:val="00E27AC5"/>
    <w:rsid w:val="00E3197D"/>
    <w:rsid w:val="00E337E8"/>
    <w:rsid w:val="00E35A61"/>
    <w:rsid w:val="00E36606"/>
    <w:rsid w:val="00E37457"/>
    <w:rsid w:val="00E37792"/>
    <w:rsid w:val="00E403B4"/>
    <w:rsid w:val="00E403D9"/>
    <w:rsid w:val="00E41D96"/>
    <w:rsid w:val="00E4338A"/>
    <w:rsid w:val="00E47BA5"/>
    <w:rsid w:val="00E47D54"/>
    <w:rsid w:val="00E5055B"/>
    <w:rsid w:val="00E5287C"/>
    <w:rsid w:val="00E55625"/>
    <w:rsid w:val="00E57A71"/>
    <w:rsid w:val="00E63BF3"/>
    <w:rsid w:val="00E67C9D"/>
    <w:rsid w:val="00E717D8"/>
    <w:rsid w:val="00E7240D"/>
    <w:rsid w:val="00E73F95"/>
    <w:rsid w:val="00E76B03"/>
    <w:rsid w:val="00E77A68"/>
    <w:rsid w:val="00E8027C"/>
    <w:rsid w:val="00E8028C"/>
    <w:rsid w:val="00E8102E"/>
    <w:rsid w:val="00E81914"/>
    <w:rsid w:val="00E8326F"/>
    <w:rsid w:val="00E834E3"/>
    <w:rsid w:val="00E83508"/>
    <w:rsid w:val="00E86B12"/>
    <w:rsid w:val="00E879A5"/>
    <w:rsid w:val="00E87A83"/>
    <w:rsid w:val="00E87E04"/>
    <w:rsid w:val="00E87EC9"/>
    <w:rsid w:val="00E9074F"/>
    <w:rsid w:val="00E91006"/>
    <w:rsid w:val="00E9335B"/>
    <w:rsid w:val="00E94AA7"/>
    <w:rsid w:val="00E95D06"/>
    <w:rsid w:val="00E97C32"/>
    <w:rsid w:val="00EA01C9"/>
    <w:rsid w:val="00EA0603"/>
    <w:rsid w:val="00EA0F21"/>
    <w:rsid w:val="00EA18EA"/>
    <w:rsid w:val="00EA30A1"/>
    <w:rsid w:val="00EA3300"/>
    <w:rsid w:val="00EA38F7"/>
    <w:rsid w:val="00EA5044"/>
    <w:rsid w:val="00EA5784"/>
    <w:rsid w:val="00EA5E7C"/>
    <w:rsid w:val="00EB0A61"/>
    <w:rsid w:val="00EB241F"/>
    <w:rsid w:val="00EB2BA2"/>
    <w:rsid w:val="00EB40C9"/>
    <w:rsid w:val="00EB4B8A"/>
    <w:rsid w:val="00EB5473"/>
    <w:rsid w:val="00EB6F26"/>
    <w:rsid w:val="00EB744F"/>
    <w:rsid w:val="00EB775F"/>
    <w:rsid w:val="00EC00CF"/>
    <w:rsid w:val="00EC0A18"/>
    <w:rsid w:val="00EC27FA"/>
    <w:rsid w:val="00EC2C5B"/>
    <w:rsid w:val="00EC3290"/>
    <w:rsid w:val="00EC6701"/>
    <w:rsid w:val="00ED2B34"/>
    <w:rsid w:val="00ED3FFA"/>
    <w:rsid w:val="00ED4AC4"/>
    <w:rsid w:val="00ED54F1"/>
    <w:rsid w:val="00ED557C"/>
    <w:rsid w:val="00ED66EA"/>
    <w:rsid w:val="00ED7AED"/>
    <w:rsid w:val="00EE0BDB"/>
    <w:rsid w:val="00EE1D2C"/>
    <w:rsid w:val="00EE34C6"/>
    <w:rsid w:val="00EE3B5B"/>
    <w:rsid w:val="00EE3EBA"/>
    <w:rsid w:val="00EE45EB"/>
    <w:rsid w:val="00EF02D2"/>
    <w:rsid w:val="00EF135F"/>
    <w:rsid w:val="00EF6494"/>
    <w:rsid w:val="00EF76D1"/>
    <w:rsid w:val="00EF77CB"/>
    <w:rsid w:val="00F01120"/>
    <w:rsid w:val="00F018E6"/>
    <w:rsid w:val="00F025D8"/>
    <w:rsid w:val="00F04FBB"/>
    <w:rsid w:val="00F075CB"/>
    <w:rsid w:val="00F07FEB"/>
    <w:rsid w:val="00F1226E"/>
    <w:rsid w:val="00F12955"/>
    <w:rsid w:val="00F13B11"/>
    <w:rsid w:val="00F13E7B"/>
    <w:rsid w:val="00F15BD4"/>
    <w:rsid w:val="00F16619"/>
    <w:rsid w:val="00F16D17"/>
    <w:rsid w:val="00F24AA8"/>
    <w:rsid w:val="00F24E10"/>
    <w:rsid w:val="00F2694A"/>
    <w:rsid w:val="00F31BD4"/>
    <w:rsid w:val="00F325B4"/>
    <w:rsid w:val="00F3413D"/>
    <w:rsid w:val="00F34E95"/>
    <w:rsid w:val="00F37941"/>
    <w:rsid w:val="00F41902"/>
    <w:rsid w:val="00F43189"/>
    <w:rsid w:val="00F433BC"/>
    <w:rsid w:val="00F435DB"/>
    <w:rsid w:val="00F43A89"/>
    <w:rsid w:val="00F44C57"/>
    <w:rsid w:val="00F46DE9"/>
    <w:rsid w:val="00F508A9"/>
    <w:rsid w:val="00F52A45"/>
    <w:rsid w:val="00F532A8"/>
    <w:rsid w:val="00F561B0"/>
    <w:rsid w:val="00F57EE2"/>
    <w:rsid w:val="00F61126"/>
    <w:rsid w:val="00F63BE4"/>
    <w:rsid w:val="00F64AB3"/>
    <w:rsid w:val="00F64CD4"/>
    <w:rsid w:val="00F6787D"/>
    <w:rsid w:val="00F71AE3"/>
    <w:rsid w:val="00F72F55"/>
    <w:rsid w:val="00F73FD1"/>
    <w:rsid w:val="00F7626D"/>
    <w:rsid w:val="00F83D7B"/>
    <w:rsid w:val="00F8432B"/>
    <w:rsid w:val="00F87A53"/>
    <w:rsid w:val="00F90FB0"/>
    <w:rsid w:val="00F91166"/>
    <w:rsid w:val="00F91D60"/>
    <w:rsid w:val="00F92AF7"/>
    <w:rsid w:val="00F970E1"/>
    <w:rsid w:val="00FA16B0"/>
    <w:rsid w:val="00FA3BFD"/>
    <w:rsid w:val="00FA3C2E"/>
    <w:rsid w:val="00FA3C86"/>
    <w:rsid w:val="00FA6A1C"/>
    <w:rsid w:val="00FA6F38"/>
    <w:rsid w:val="00FB1DC9"/>
    <w:rsid w:val="00FB2748"/>
    <w:rsid w:val="00FB3854"/>
    <w:rsid w:val="00FB5463"/>
    <w:rsid w:val="00FB7D49"/>
    <w:rsid w:val="00FC02C7"/>
    <w:rsid w:val="00FC1078"/>
    <w:rsid w:val="00FC163D"/>
    <w:rsid w:val="00FC182E"/>
    <w:rsid w:val="00FC2846"/>
    <w:rsid w:val="00FC4289"/>
    <w:rsid w:val="00FC5D7F"/>
    <w:rsid w:val="00FC6F90"/>
    <w:rsid w:val="00FD0260"/>
    <w:rsid w:val="00FD7456"/>
    <w:rsid w:val="00FD7F52"/>
    <w:rsid w:val="00FE1AB2"/>
    <w:rsid w:val="00FE2FF4"/>
    <w:rsid w:val="00FE3DBC"/>
    <w:rsid w:val="00FE5F64"/>
    <w:rsid w:val="00FE6952"/>
    <w:rsid w:val="00FF091B"/>
    <w:rsid w:val="00FF11B8"/>
    <w:rsid w:val="00FF1922"/>
    <w:rsid w:val="00FF5445"/>
    <w:rsid w:val="00FF56D8"/>
    <w:rsid w:val="00FF7620"/>
    <w:rsid w:val="2E640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iPriority="99" w:name="footnote text"/>
    <w:lsdException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0"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heme="minorBidi"/>
      <w:kern w:val="2"/>
      <w:sz w:val="21"/>
      <w:szCs w:val="22"/>
      <w:lang w:val="en-US" w:eastAsia="zh-CN" w:bidi="ar-SA"/>
    </w:rPr>
  </w:style>
  <w:style w:type="paragraph" w:styleId="2">
    <w:name w:val="heading 1"/>
    <w:basedOn w:val="1"/>
    <w:next w:val="3"/>
    <w:link w:val="47"/>
    <w:qFormat/>
    <w:uiPriority w:val="9"/>
    <w:pPr>
      <w:keepNext/>
      <w:keepLines/>
      <w:pageBreakBefore/>
      <w:numPr>
        <w:ilvl w:val="0"/>
        <w:numId w:val="1"/>
      </w:numPr>
      <w:spacing w:before="100" w:beforeAutospacing="1" w:after="100" w:afterAutospacing="1"/>
      <w:ind w:left="0" w:firstLine="0"/>
      <w:jc w:val="center"/>
      <w:outlineLvl w:val="0"/>
    </w:pPr>
    <w:rPr>
      <w:b/>
      <w:bCs/>
      <w:kern w:val="44"/>
      <w:sz w:val="30"/>
      <w:szCs w:val="44"/>
    </w:rPr>
  </w:style>
  <w:style w:type="paragraph" w:styleId="3">
    <w:name w:val="heading 2"/>
    <w:basedOn w:val="1"/>
    <w:next w:val="4"/>
    <w:link w:val="48"/>
    <w:unhideWhenUsed/>
    <w:qFormat/>
    <w:uiPriority w:val="9"/>
    <w:pPr>
      <w:keepNext/>
      <w:keepLines/>
      <w:numPr>
        <w:ilvl w:val="1"/>
        <w:numId w:val="1"/>
      </w:numPr>
      <w:spacing w:before="50" w:beforeLines="50" w:after="50" w:afterLines="50"/>
      <w:ind w:left="0" w:firstLine="0"/>
      <w:outlineLvl w:val="1"/>
    </w:pPr>
    <w:rPr>
      <w:rFonts w:cstheme="majorBidi"/>
      <w:b/>
      <w:bCs/>
      <w:sz w:val="24"/>
      <w:szCs w:val="32"/>
    </w:rPr>
  </w:style>
  <w:style w:type="paragraph" w:styleId="4">
    <w:name w:val="heading 3"/>
    <w:basedOn w:val="1"/>
    <w:next w:val="5"/>
    <w:link w:val="49"/>
    <w:unhideWhenUsed/>
    <w:qFormat/>
    <w:uiPriority w:val="9"/>
    <w:pPr>
      <w:keepNext/>
      <w:keepLines/>
      <w:numPr>
        <w:ilvl w:val="2"/>
        <w:numId w:val="1"/>
      </w:numPr>
      <w:spacing w:before="50" w:beforeLines="50" w:after="50" w:afterLines="50"/>
      <w:ind w:left="0" w:firstLine="0"/>
      <w:outlineLvl w:val="2"/>
    </w:pPr>
    <w:rPr>
      <w:b/>
      <w:bCs/>
      <w:sz w:val="24"/>
      <w:szCs w:val="32"/>
    </w:rPr>
  </w:style>
  <w:style w:type="paragraph" w:styleId="6">
    <w:name w:val="heading 4"/>
    <w:basedOn w:val="1"/>
    <w:next w:val="5"/>
    <w:link w:val="50"/>
    <w:unhideWhenUsed/>
    <w:qFormat/>
    <w:uiPriority w:val="9"/>
    <w:pPr>
      <w:keepNext/>
      <w:keepLines/>
      <w:numPr>
        <w:ilvl w:val="3"/>
        <w:numId w:val="1"/>
      </w:numPr>
      <w:spacing w:before="50" w:beforeLines="50" w:after="50" w:afterLines="50"/>
      <w:ind w:left="0" w:firstLine="0"/>
      <w:outlineLvl w:val="3"/>
    </w:pPr>
    <w:rPr>
      <w:rFonts w:cstheme="majorBidi"/>
      <w:bCs/>
      <w:sz w:val="24"/>
      <w:szCs w:val="28"/>
    </w:rPr>
  </w:style>
  <w:style w:type="paragraph" w:styleId="7">
    <w:name w:val="heading 5"/>
    <w:basedOn w:val="1"/>
    <w:next w:val="1"/>
    <w:link w:val="51"/>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52"/>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53"/>
    <w:semiHidden/>
    <w:unhideWhenUsed/>
    <w:qFormat/>
    <w:uiPriority w:val="9"/>
    <w:pPr>
      <w:keepNext/>
      <w:keepLines/>
      <w:spacing w:before="240" w:after="64" w:line="320" w:lineRule="auto"/>
      <w:ind w:left="1296"/>
      <w:outlineLvl w:val="6"/>
    </w:pPr>
    <w:rPr>
      <w:rFonts w:cs="Times New Roman"/>
      <w:b/>
      <w:sz w:val="24"/>
      <w:szCs w:val="24"/>
    </w:rPr>
  </w:style>
  <w:style w:type="paragraph" w:styleId="10">
    <w:name w:val="heading 8"/>
    <w:basedOn w:val="1"/>
    <w:next w:val="1"/>
    <w:link w:val="54"/>
    <w:semiHidden/>
    <w:unhideWhenUsed/>
    <w:qFormat/>
    <w:uiPriority w:val="9"/>
    <w:pPr>
      <w:keepNext/>
      <w:keepLines/>
      <w:spacing w:before="240" w:after="64" w:line="320" w:lineRule="auto"/>
      <w:ind w:left="1440"/>
      <w:outlineLvl w:val="7"/>
    </w:pPr>
    <w:rPr>
      <w:rFonts w:ascii="等线 Light" w:hAnsi="等线 Light" w:eastAsia="等线 Light" w:cs="Times New Roman"/>
      <w:sz w:val="24"/>
      <w:szCs w:val="24"/>
    </w:rPr>
  </w:style>
  <w:style w:type="paragraph" w:styleId="11">
    <w:name w:val="heading 9"/>
    <w:basedOn w:val="1"/>
    <w:next w:val="1"/>
    <w:link w:val="55"/>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Layout w:type="fixed"/>
      <w:tblCellMar>
        <w:top w:w="0" w:type="dxa"/>
        <w:left w:w="108" w:type="dxa"/>
        <w:bottom w:w="0" w:type="dxa"/>
        <w:right w:w="108" w:type="dxa"/>
      </w:tblCellMar>
    </w:tblPr>
  </w:style>
  <w:style w:type="paragraph" w:customStyle="1" w:styleId="5">
    <w:name w:val="内容"/>
    <w:basedOn w:val="1"/>
    <w:link w:val="60"/>
    <w:qFormat/>
    <w:uiPriority w:val="0"/>
    <w:pPr>
      <w:spacing w:line="480" w:lineRule="exact"/>
      <w:ind w:firstLine="200" w:firstLineChars="200"/>
      <w:jc w:val="both"/>
    </w:pPr>
    <w:rPr>
      <w:sz w:val="24"/>
    </w:rPr>
  </w:style>
  <w:style w:type="paragraph" w:styleId="12">
    <w:name w:val="toc 7"/>
    <w:basedOn w:val="1"/>
    <w:next w:val="1"/>
    <w:unhideWhenUsed/>
    <w:uiPriority w:val="39"/>
    <w:pPr>
      <w:ind w:left="1260"/>
    </w:pPr>
    <w:rPr>
      <w:rFonts w:asciiTheme="minorHAnsi" w:hAnsiTheme="minorHAnsi"/>
      <w:sz w:val="18"/>
      <w:szCs w:val="18"/>
    </w:rPr>
  </w:style>
  <w:style w:type="paragraph" w:styleId="13">
    <w:name w:val="Normal Indent"/>
    <w:basedOn w:val="1"/>
    <w:link w:val="75"/>
    <w:uiPriority w:val="0"/>
    <w:pPr>
      <w:widowControl/>
      <w:adjustRightInd w:val="0"/>
      <w:snapToGrid w:val="0"/>
      <w:spacing w:line="360" w:lineRule="auto"/>
      <w:ind w:firstLine="420" w:firstLineChars="200"/>
    </w:pPr>
    <w:rPr>
      <w:rFonts w:ascii="黑体" w:eastAsia="黑体" w:hAnsiTheme="minorHAnsi"/>
      <w:snapToGrid w:val="0"/>
      <w:spacing w:val="10"/>
      <w:kern w:val="21"/>
      <w:sz w:val="24"/>
    </w:rPr>
  </w:style>
  <w:style w:type="paragraph" w:styleId="14">
    <w:name w:val="caption"/>
    <w:basedOn w:val="1"/>
    <w:next w:val="1"/>
    <w:link w:val="125"/>
    <w:unhideWhenUsed/>
    <w:qFormat/>
    <w:uiPriority w:val="35"/>
    <w:pPr>
      <w:spacing w:before="240" w:after="120"/>
      <w:jc w:val="center"/>
    </w:pPr>
    <w:rPr>
      <w:rFonts w:cs="Times New Roman"/>
      <w:b/>
      <w:sz w:val="24"/>
      <w:szCs w:val="20"/>
    </w:rPr>
  </w:style>
  <w:style w:type="paragraph" w:styleId="15">
    <w:name w:val="Document Map"/>
    <w:basedOn w:val="1"/>
    <w:link w:val="106"/>
    <w:semiHidden/>
    <w:unhideWhenUsed/>
    <w:qFormat/>
    <w:uiPriority w:val="0"/>
    <w:pPr>
      <w:spacing w:line="440" w:lineRule="exact"/>
      <w:jc w:val="both"/>
    </w:pPr>
    <w:rPr>
      <w:rFonts w:ascii="宋体" w:cs="Times New Roman"/>
      <w:color w:val="000000"/>
      <w:sz w:val="18"/>
      <w:szCs w:val="18"/>
    </w:rPr>
  </w:style>
  <w:style w:type="paragraph" w:styleId="16">
    <w:name w:val="annotation text"/>
    <w:basedOn w:val="1"/>
    <w:link w:val="57"/>
    <w:unhideWhenUsed/>
    <w:uiPriority w:val="99"/>
    <w:rPr>
      <w:rFonts w:eastAsiaTheme="minorEastAsia"/>
    </w:rPr>
  </w:style>
  <w:style w:type="paragraph" w:styleId="17">
    <w:name w:val="Body Text"/>
    <w:basedOn w:val="1"/>
    <w:link w:val="80"/>
    <w:semiHidden/>
    <w:unhideWhenUsed/>
    <w:uiPriority w:val="99"/>
    <w:pPr>
      <w:spacing w:after="120"/>
    </w:pPr>
  </w:style>
  <w:style w:type="paragraph" w:styleId="18">
    <w:name w:val="Body Text Indent"/>
    <w:basedOn w:val="1"/>
    <w:link w:val="108"/>
    <w:semiHidden/>
    <w:unhideWhenUsed/>
    <w:uiPriority w:val="99"/>
    <w:pPr>
      <w:spacing w:after="120"/>
      <w:ind w:left="420" w:leftChars="200"/>
    </w:pPr>
  </w:style>
  <w:style w:type="paragraph" w:styleId="19">
    <w:name w:val="toc 5"/>
    <w:basedOn w:val="1"/>
    <w:next w:val="1"/>
    <w:unhideWhenUsed/>
    <w:uiPriority w:val="39"/>
    <w:pPr>
      <w:ind w:left="840"/>
    </w:pPr>
    <w:rPr>
      <w:rFonts w:asciiTheme="minorHAnsi" w:hAnsiTheme="minorHAnsi"/>
      <w:sz w:val="18"/>
      <w:szCs w:val="18"/>
    </w:rPr>
  </w:style>
  <w:style w:type="paragraph" w:styleId="20">
    <w:name w:val="toc 3"/>
    <w:basedOn w:val="1"/>
    <w:next w:val="1"/>
    <w:unhideWhenUsed/>
    <w:qFormat/>
    <w:uiPriority w:val="39"/>
    <w:pPr>
      <w:ind w:left="420"/>
    </w:pPr>
    <w:rPr>
      <w:iCs/>
      <w:szCs w:val="20"/>
    </w:rPr>
  </w:style>
  <w:style w:type="paragraph" w:styleId="21">
    <w:name w:val="Plain Text"/>
    <w:basedOn w:val="1"/>
    <w:link w:val="100"/>
    <w:uiPriority w:val="0"/>
    <w:pPr>
      <w:jc w:val="both"/>
    </w:pPr>
    <w:rPr>
      <w:rFonts w:ascii="Verdana" w:hAnsi="仿宋_GB2312" w:eastAsia="Verdana" w:cs="Times New Roman"/>
      <w:szCs w:val="20"/>
    </w:rPr>
  </w:style>
  <w:style w:type="paragraph" w:styleId="22">
    <w:name w:val="toc 8"/>
    <w:basedOn w:val="1"/>
    <w:next w:val="1"/>
    <w:unhideWhenUsed/>
    <w:uiPriority w:val="39"/>
    <w:pPr>
      <w:ind w:left="1470"/>
    </w:pPr>
    <w:rPr>
      <w:rFonts w:asciiTheme="minorHAnsi" w:hAnsiTheme="minorHAnsi"/>
      <w:sz w:val="18"/>
      <w:szCs w:val="18"/>
    </w:rPr>
  </w:style>
  <w:style w:type="paragraph" w:styleId="23">
    <w:name w:val="Balloon Text"/>
    <w:basedOn w:val="1"/>
    <w:link w:val="58"/>
    <w:semiHidden/>
    <w:unhideWhenUsed/>
    <w:qFormat/>
    <w:uiPriority w:val="99"/>
    <w:rPr>
      <w:sz w:val="18"/>
      <w:szCs w:val="18"/>
    </w:rPr>
  </w:style>
  <w:style w:type="paragraph" w:styleId="24">
    <w:name w:val="footer"/>
    <w:basedOn w:val="1"/>
    <w:link w:val="46"/>
    <w:unhideWhenUsed/>
    <w:qFormat/>
    <w:uiPriority w:val="99"/>
    <w:pPr>
      <w:tabs>
        <w:tab w:val="center" w:pos="4153"/>
        <w:tab w:val="right" w:pos="8306"/>
      </w:tabs>
      <w:snapToGrid w:val="0"/>
    </w:pPr>
    <w:rPr>
      <w:sz w:val="18"/>
      <w:szCs w:val="18"/>
    </w:rPr>
  </w:style>
  <w:style w:type="paragraph" w:styleId="25">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spacing w:beforeLines="10" w:afterLines="10"/>
    </w:pPr>
    <w:rPr>
      <w:b/>
      <w:bCs/>
      <w:caps/>
      <w:sz w:val="24"/>
      <w:szCs w:val="20"/>
    </w:rPr>
  </w:style>
  <w:style w:type="paragraph" w:styleId="27">
    <w:name w:val="toc 4"/>
    <w:basedOn w:val="1"/>
    <w:next w:val="1"/>
    <w:unhideWhenUsed/>
    <w:uiPriority w:val="39"/>
    <w:pPr>
      <w:ind w:left="630"/>
    </w:pPr>
    <w:rPr>
      <w:rFonts w:asciiTheme="minorHAnsi" w:hAnsiTheme="minorHAnsi"/>
      <w:sz w:val="18"/>
      <w:szCs w:val="18"/>
    </w:rPr>
  </w:style>
  <w:style w:type="paragraph" w:styleId="28">
    <w:name w:val="toc 6"/>
    <w:basedOn w:val="1"/>
    <w:next w:val="1"/>
    <w:unhideWhenUsed/>
    <w:uiPriority w:val="39"/>
    <w:pPr>
      <w:ind w:left="1050"/>
    </w:pPr>
    <w:rPr>
      <w:rFonts w:asciiTheme="minorHAnsi" w:hAnsiTheme="minorHAnsi"/>
      <w:sz w:val="18"/>
      <w:szCs w:val="18"/>
    </w:rPr>
  </w:style>
  <w:style w:type="paragraph" w:styleId="29">
    <w:name w:val="Body Text Indent 3"/>
    <w:basedOn w:val="1"/>
    <w:link w:val="85"/>
    <w:semiHidden/>
    <w:unhideWhenUsed/>
    <w:uiPriority w:val="99"/>
    <w:pPr>
      <w:spacing w:after="120"/>
      <w:ind w:left="420" w:leftChars="200"/>
    </w:pPr>
    <w:rPr>
      <w:sz w:val="16"/>
      <w:szCs w:val="16"/>
    </w:rPr>
  </w:style>
  <w:style w:type="paragraph" w:styleId="30">
    <w:name w:val="toc 2"/>
    <w:basedOn w:val="1"/>
    <w:next w:val="1"/>
    <w:unhideWhenUsed/>
    <w:qFormat/>
    <w:uiPriority w:val="39"/>
    <w:pPr>
      <w:ind w:left="210"/>
    </w:pPr>
    <w:rPr>
      <w:smallCaps/>
      <w:szCs w:val="20"/>
    </w:rPr>
  </w:style>
  <w:style w:type="paragraph" w:styleId="31">
    <w:name w:val="toc 9"/>
    <w:basedOn w:val="1"/>
    <w:next w:val="1"/>
    <w:unhideWhenUsed/>
    <w:uiPriority w:val="39"/>
    <w:pPr>
      <w:ind w:left="1680"/>
    </w:pPr>
    <w:rPr>
      <w:rFonts w:asciiTheme="minorHAnsi" w:hAnsiTheme="minorHAnsi"/>
      <w:sz w:val="18"/>
      <w:szCs w:val="18"/>
    </w:rPr>
  </w:style>
  <w:style w:type="paragraph" w:styleId="32">
    <w:name w:val="Body Text 2"/>
    <w:basedOn w:val="1"/>
    <w:link w:val="127"/>
    <w:semiHidden/>
    <w:unhideWhenUsed/>
    <w:uiPriority w:val="99"/>
    <w:pPr>
      <w:spacing w:after="120" w:line="480" w:lineRule="auto"/>
    </w:pPr>
  </w:style>
  <w:style w:type="paragraph" w:styleId="33">
    <w:name w:val="Normal (Web)"/>
    <w:basedOn w:val="1"/>
    <w:link w:val="122"/>
    <w:qFormat/>
    <w:uiPriority w:val="99"/>
    <w:pPr>
      <w:widowControl/>
      <w:spacing w:before="100" w:beforeAutospacing="1" w:after="100" w:afterAutospacing="1"/>
    </w:pPr>
    <w:rPr>
      <w:rFonts w:ascii="宋体" w:hAnsi="宋体" w:cs="Times New Roman"/>
      <w:kern w:val="0"/>
      <w:sz w:val="24"/>
      <w:szCs w:val="20"/>
    </w:rPr>
  </w:style>
  <w:style w:type="paragraph" w:styleId="34">
    <w:name w:val="Title"/>
    <w:basedOn w:val="1"/>
    <w:next w:val="1"/>
    <w:link w:val="131"/>
    <w:uiPriority w:val="0"/>
    <w:pPr>
      <w:spacing w:before="240" w:after="60"/>
      <w:jc w:val="center"/>
      <w:outlineLvl w:val="0"/>
    </w:pPr>
    <w:rPr>
      <w:rFonts w:asciiTheme="majorHAnsi" w:hAnsiTheme="majorHAnsi" w:eastAsiaTheme="majorEastAsia" w:cstheme="majorBidi"/>
      <w:b/>
      <w:bCs/>
      <w:sz w:val="32"/>
      <w:szCs w:val="32"/>
    </w:rPr>
  </w:style>
  <w:style w:type="paragraph" w:styleId="35">
    <w:name w:val="annotation subject"/>
    <w:basedOn w:val="16"/>
    <w:next w:val="16"/>
    <w:link w:val="66"/>
    <w:semiHidden/>
    <w:unhideWhenUsed/>
    <w:uiPriority w:val="99"/>
    <w:rPr>
      <w:rFonts w:eastAsia="宋体"/>
      <w:b/>
      <w:bCs/>
    </w:rPr>
  </w:style>
  <w:style w:type="paragraph" w:styleId="36">
    <w:name w:val="Body Text First Indent"/>
    <w:basedOn w:val="17"/>
    <w:link w:val="81"/>
    <w:uiPriority w:val="0"/>
    <w:pPr>
      <w:autoSpaceDE w:val="0"/>
      <w:autoSpaceDN w:val="0"/>
      <w:adjustRightInd w:val="0"/>
      <w:spacing w:line="312" w:lineRule="atLeast"/>
      <w:ind w:firstLine="420" w:firstLineChars="100"/>
      <w:jc w:val="both"/>
      <w:textAlignment w:val="baseline"/>
    </w:pPr>
    <w:rPr>
      <w:rFonts w:cs="Times New Roman"/>
      <w:kern w:val="21"/>
      <w:szCs w:val="20"/>
    </w:rPr>
  </w:style>
  <w:style w:type="paragraph" w:styleId="37">
    <w:name w:val="Body Text First Indent 2"/>
    <w:basedOn w:val="18"/>
    <w:link w:val="158"/>
    <w:semiHidden/>
    <w:unhideWhenUsed/>
    <w:uiPriority w:val="99"/>
    <w:pPr>
      <w:widowControl/>
      <w:ind w:firstLine="420" w:firstLineChars="200"/>
    </w:pPr>
    <w:rPr>
      <w:rFonts w:ascii="宋体" w:hAnsi="宋体" w:cs="宋体"/>
      <w:kern w:val="0"/>
      <w:sz w:val="24"/>
      <w:szCs w:val="24"/>
    </w:rPr>
  </w:style>
  <w:style w:type="table" w:styleId="39">
    <w:name w:val="Table Grid"/>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1">
    <w:name w:val="page number"/>
    <w:uiPriority w:val="0"/>
  </w:style>
  <w:style w:type="character" w:styleId="42">
    <w:name w:val="Emphasis"/>
    <w:basedOn w:val="40"/>
    <w:qFormat/>
    <w:uiPriority w:val="20"/>
    <w:rPr>
      <w:i/>
      <w:iCs/>
    </w:rPr>
  </w:style>
  <w:style w:type="character" w:styleId="43">
    <w:name w:val="Hyperlink"/>
    <w:basedOn w:val="40"/>
    <w:unhideWhenUsed/>
    <w:uiPriority w:val="99"/>
    <w:rPr>
      <w:color w:val="0563C1" w:themeColor="hyperlink"/>
      <w:u w:val="single"/>
      <w14:textFill>
        <w14:solidFill>
          <w14:schemeClr w14:val="hlink"/>
        </w14:solidFill>
      </w14:textFill>
    </w:rPr>
  </w:style>
  <w:style w:type="character" w:styleId="44">
    <w:name w:val="annotation reference"/>
    <w:unhideWhenUsed/>
    <w:uiPriority w:val="0"/>
    <w:rPr>
      <w:sz w:val="21"/>
      <w:szCs w:val="21"/>
    </w:rPr>
  </w:style>
  <w:style w:type="character" w:customStyle="1" w:styleId="45">
    <w:name w:val="页眉 字符"/>
    <w:basedOn w:val="40"/>
    <w:link w:val="25"/>
    <w:qFormat/>
    <w:uiPriority w:val="0"/>
    <w:rPr>
      <w:sz w:val="18"/>
      <w:szCs w:val="18"/>
    </w:rPr>
  </w:style>
  <w:style w:type="character" w:customStyle="1" w:styleId="46">
    <w:name w:val="页脚 字符"/>
    <w:basedOn w:val="40"/>
    <w:link w:val="24"/>
    <w:qFormat/>
    <w:uiPriority w:val="99"/>
    <w:rPr>
      <w:sz w:val="18"/>
      <w:szCs w:val="18"/>
    </w:rPr>
  </w:style>
  <w:style w:type="character" w:customStyle="1" w:styleId="47">
    <w:name w:val="标题 1 字符"/>
    <w:basedOn w:val="40"/>
    <w:link w:val="2"/>
    <w:qFormat/>
    <w:uiPriority w:val="9"/>
    <w:rPr>
      <w:rFonts w:ascii="Times New Roman" w:hAnsi="Times New Roman" w:eastAsia="宋体"/>
      <w:b/>
      <w:bCs/>
      <w:kern w:val="44"/>
      <w:sz w:val="30"/>
      <w:szCs w:val="44"/>
    </w:rPr>
  </w:style>
  <w:style w:type="character" w:customStyle="1" w:styleId="48">
    <w:name w:val="标题 2 字符"/>
    <w:basedOn w:val="40"/>
    <w:link w:val="3"/>
    <w:qFormat/>
    <w:uiPriority w:val="9"/>
    <w:rPr>
      <w:rFonts w:ascii="Times New Roman" w:hAnsi="Times New Roman" w:eastAsia="宋体" w:cstheme="majorBidi"/>
      <w:b/>
      <w:bCs/>
      <w:sz w:val="24"/>
      <w:szCs w:val="32"/>
    </w:rPr>
  </w:style>
  <w:style w:type="character" w:customStyle="1" w:styleId="49">
    <w:name w:val="标题 3 字符"/>
    <w:basedOn w:val="40"/>
    <w:link w:val="4"/>
    <w:qFormat/>
    <w:uiPriority w:val="9"/>
    <w:rPr>
      <w:rFonts w:ascii="Times New Roman" w:hAnsi="Times New Roman" w:eastAsia="宋体"/>
      <w:b/>
      <w:bCs/>
      <w:sz w:val="24"/>
      <w:szCs w:val="32"/>
    </w:rPr>
  </w:style>
  <w:style w:type="character" w:customStyle="1" w:styleId="50">
    <w:name w:val="标题 4 字符"/>
    <w:basedOn w:val="40"/>
    <w:link w:val="6"/>
    <w:qFormat/>
    <w:uiPriority w:val="9"/>
    <w:rPr>
      <w:rFonts w:ascii="Times New Roman" w:hAnsi="Times New Roman" w:eastAsia="宋体" w:cstheme="majorBidi"/>
      <w:bCs/>
      <w:sz w:val="24"/>
      <w:szCs w:val="28"/>
    </w:rPr>
  </w:style>
  <w:style w:type="character" w:customStyle="1" w:styleId="51">
    <w:name w:val="标题 5 字符"/>
    <w:basedOn w:val="40"/>
    <w:link w:val="7"/>
    <w:qFormat/>
    <w:uiPriority w:val="9"/>
    <w:rPr>
      <w:rFonts w:ascii="Times New Roman" w:hAnsi="Times New Roman" w:eastAsia="宋体"/>
      <w:b/>
      <w:bCs/>
      <w:sz w:val="28"/>
      <w:szCs w:val="28"/>
    </w:rPr>
  </w:style>
  <w:style w:type="character" w:customStyle="1" w:styleId="52">
    <w:name w:val="标题 6 字符"/>
    <w:basedOn w:val="40"/>
    <w:link w:val="8"/>
    <w:qFormat/>
    <w:uiPriority w:val="9"/>
    <w:rPr>
      <w:rFonts w:asciiTheme="majorHAnsi" w:hAnsiTheme="majorHAnsi" w:eastAsiaTheme="majorEastAsia" w:cstheme="majorBidi"/>
      <w:b/>
      <w:bCs/>
      <w:sz w:val="24"/>
      <w:szCs w:val="24"/>
    </w:rPr>
  </w:style>
  <w:style w:type="character" w:customStyle="1" w:styleId="53">
    <w:name w:val="标题 7 字符"/>
    <w:basedOn w:val="40"/>
    <w:link w:val="9"/>
    <w:semiHidden/>
    <w:qFormat/>
    <w:uiPriority w:val="9"/>
    <w:rPr>
      <w:rFonts w:ascii="Times New Roman" w:hAnsi="Times New Roman" w:eastAsia="宋体" w:cs="Times New Roman"/>
      <w:b/>
      <w:sz w:val="24"/>
      <w:szCs w:val="24"/>
    </w:rPr>
  </w:style>
  <w:style w:type="character" w:customStyle="1" w:styleId="54">
    <w:name w:val="标题 8 字符"/>
    <w:basedOn w:val="40"/>
    <w:link w:val="10"/>
    <w:semiHidden/>
    <w:qFormat/>
    <w:uiPriority w:val="9"/>
    <w:rPr>
      <w:rFonts w:ascii="等线 Light" w:hAnsi="等线 Light" w:eastAsia="等线 Light" w:cs="Times New Roman"/>
      <w:sz w:val="24"/>
      <w:szCs w:val="24"/>
    </w:rPr>
  </w:style>
  <w:style w:type="character" w:customStyle="1" w:styleId="55">
    <w:name w:val="标题 9 字符"/>
    <w:basedOn w:val="40"/>
    <w:link w:val="11"/>
    <w:semiHidden/>
    <w:qFormat/>
    <w:uiPriority w:val="9"/>
    <w:rPr>
      <w:rFonts w:asciiTheme="majorHAnsi" w:hAnsiTheme="majorHAnsi" w:eastAsiaTheme="majorEastAsia" w:cstheme="majorBidi"/>
      <w:szCs w:val="21"/>
    </w:rPr>
  </w:style>
  <w:style w:type="paragraph" w:styleId="56">
    <w:name w:val="No Spacing"/>
    <w:qFormat/>
    <w:uiPriority w:val="1"/>
    <w:pPr>
      <w:widowControl w:val="0"/>
    </w:pPr>
    <w:rPr>
      <w:rFonts w:ascii="Times New Roman" w:hAnsi="Times New Roman" w:eastAsia="仿宋_GB2312" w:cstheme="minorBidi"/>
      <w:kern w:val="2"/>
      <w:sz w:val="21"/>
      <w:szCs w:val="22"/>
      <w:lang w:val="en-US" w:eastAsia="zh-CN" w:bidi="ar-SA"/>
    </w:rPr>
  </w:style>
  <w:style w:type="character" w:customStyle="1" w:styleId="57">
    <w:name w:val="批注文字 字符"/>
    <w:link w:val="16"/>
    <w:qFormat/>
    <w:uiPriority w:val="99"/>
    <w:rPr>
      <w:rFonts w:ascii="Times New Roman" w:hAnsi="Times New Roman"/>
    </w:rPr>
  </w:style>
  <w:style w:type="character" w:customStyle="1" w:styleId="58">
    <w:name w:val="批注框文本 字符"/>
    <w:basedOn w:val="40"/>
    <w:link w:val="23"/>
    <w:semiHidden/>
    <w:qFormat/>
    <w:uiPriority w:val="99"/>
    <w:rPr>
      <w:rFonts w:ascii="Times New Roman" w:hAnsi="Times New Roman" w:eastAsia="宋体"/>
      <w:sz w:val="18"/>
      <w:szCs w:val="18"/>
    </w:rPr>
  </w:style>
  <w:style w:type="paragraph" w:customStyle="1" w:styleId="59">
    <w:name w:val="TOC Heading"/>
    <w:basedOn w:val="2"/>
    <w:next w:val="1"/>
    <w:unhideWhenUsed/>
    <w:qFormat/>
    <w:uiPriority w:val="39"/>
    <w:pPr>
      <w:widowControl/>
      <w:spacing w:line="276" w:lineRule="auto"/>
      <w:jc w:val="left"/>
      <w:outlineLvl w:val="9"/>
    </w:pPr>
    <w:rPr>
      <w:rFonts w:ascii="Cambria" w:hAnsi="Cambria" w:cs="Times New Roman"/>
      <w:color w:val="365F91"/>
      <w:kern w:val="0"/>
      <w:sz w:val="28"/>
      <w:szCs w:val="28"/>
    </w:rPr>
  </w:style>
  <w:style w:type="character" w:customStyle="1" w:styleId="60">
    <w:name w:val="内容 Char"/>
    <w:link w:val="5"/>
    <w:qFormat/>
    <w:uiPriority w:val="0"/>
    <w:rPr>
      <w:rFonts w:ascii="Times New Roman" w:hAnsi="Times New Roman" w:eastAsia="宋体"/>
      <w:sz w:val="24"/>
    </w:rPr>
  </w:style>
  <w:style w:type="character" w:customStyle="1" w:styleId="61">
    <w:name w:val="批注文字 字符1"/>
    <w:basedOn w:val="40"/>
    <w:semiHidden/>
    <w:uiPriority w:val="99"/>
    <w:rPr>
      <w:rFonts w:ascii="Times New Roman" w:hAnsi="Times New Roman" w:eastAsia="宋体"/>
    </w:rPr>
  </w:style>
  <w:style w:type="character" w:customStyle="1" w:styleId="62">
    <w:name w:val="批注文字 Char1"/>
    <w:basedOn w:val="40"/>
    <w:semiHidden/>
    <w:uiPriority w:val="99"/>
    <w:rPr>
      <w:rFonts w:ascii="Times New Roman" w:hAnsi="Times New Roman" w:eastAsia="仿宋_GB2312"/>
    </w:rPr>
  </w:style>
  <w:style w:type="paragraph" w:customStyle="1" w:styleId="63">
    <w:name w:val="表格字体"/>
    <w:basedOn w:val="1"/>
    <w:link w:val="65"/>
    <w:qFormat/>
    <w:uiPriority w:val="0"/>
    <w:pPr>
      <w:jc w:val="center"/>
    </w:pPr>
  </w:style>
  <w:style w:type="paragraph" w:customStyle="1" w:styleId="64">
    <w:name w:val="表格注释"/>
    <w:basedOn w:val="63"/>
    <w:link w:val="67"/>
    <w:qFormat/>
    <w:uiPriority w:val="0"/>
    <w:pPr>
      <w:jc w:val="left"/>
    </w:pPr>
    <w:rPr>
      <w:rFonts w:cs="Times New Roman"/>
      <w:sz w:val="18"/>
    </w:rPr>
  </w:style>
  <w:style w:type="character" w:customStyle="1" w:styleId="65">
    <w:name w:val="表格字体 Char"/>
    <w:basedOn w:val="40"/>
    <w:link w:val="63"/>
    <w:uiPriority w:val="0"/>
    <w:rPr>
      <w:rFonts w:ascii="Times New Roman" w:hAnsi="Times New Roman" w:eastAsia="宋体"/>
    </w:rPr>
  </w:style>
  <w:style w:type="character" w:customStyle="1" w:styleId="66">
    <w:name w:val="批注主题 字符"/>
    <w:basedOn w:val="61"/>
    <w:link w:val="35"/>
    <w:semiHidden/>
    <w:uiPriority w:val="99"/>
    <w:rPr>
      <w:rFonts w:ascii="Times New Roman" w:hAnsi="Times New Roman" w:eastAsia="宋体"/>
      <w:b/>
      <w:bCs/>
    </w:rPr>
  </w:style>
  <w:style w:type="character" w:customStyle="1" w:styleId="67">
    <w:name w:val="表格注释 Char"/>
    <w:basedOn w:val="65"/>
    <w:link w:val="64"/>
    <w:qFormat/>
    <w:uiPriority w:val="0"/>
    <w:rPr>
      <w:rFonts w:ascii="Times New Roman" w:hAnsi="Times New Roman" w:eastAsia="宋体" w:cs="Times New Roman"/>
      <w:sz w:val="18"/>
    </w:rPr>
  </w:style>
  <w:style w:type="paragraph" w:customStyle="1" w:styleId="68">
    <w:name w:val="h正文表格文字"/>
    <w:basedOn w:val="1"/>
    <w:uiPriority w:val="99"/>
    <w:pPr>
      <w:adjustRightInd w:val="0"/>
      <w:snapToGrid w:val="0"/>
      <w:jc w:val="center"/>
    </w:pPr>
    <w:rPr>
      <w:rFonts w:cs="Times New Roman"/>
      <w:szCs w:val="24"/>
    </w:rPr>
  </w:style>
  <w:style w:type="paragraph" w:customStyle="1" w:styleId="69">
    <w:name w:val="h正文"/>
    <w:basedOn w:val="1"/>
    <w:uiPriority w:val="0"/>
    <w:pPr>
      <w:adjustRightInd w:val="0"/>
      <w:snapToGrid w:val="0"/>
      <w:spacing w:line="360" w:lineRule="auto"/>
      <w:ind w:firstLine="200" w:firstLineChars="200"/>
      <w:jc w:val="both"/>
    </w:pPr>
    <w:rPr>
      <w:rFonts w:cs="Times New Roman"/>
      <w:sz w:val="24"/>
      <w:szCs w:val="24"/>
    </w:rPr>
  </w:style>
  <w:style w:type="paragraph" w:customStyle="1" w:styleId="70">
    <w:name w:val="表头"/>
    <w:basedOn w:val="1"/>
    <w:link w:val="71"/>
    <w:uiPriority w:val="0"/>
    <w:pPr>
      <w:adjustRightInd w:val="0"/>
      <w:snapToGrid w:val="0"/>
      <w:spacing w:line="360" w:lineRule="auto"/>
      <w:jc w:val="center"/>
    </w:pPr>
    <w:rPr>
      <w:rFonts w:cs="Times New Roman"/>
      <w:bCs/>
      <w:snapToGrid w:val="0"/>
      <w:kern w:val="0"/>
      <w:szCs w:val="32"/>
    </w:rPr>
  </w:style>
  <w:style w:type="character" w:customStyle="1" w:styleId="71">
    <w:name w:val="表头 Char"/>
    <w:link w:val="70"/>
    <w:qFormat/>
    <w:uiPriority w:val="0"/>
    <w:rPr>
      <w:rFonts w:ascii="Times New Roman" w:hAnsi="Times New Roman" w:eastAsia="宋体" w:cs="Times New Roman"/>
      <w:bCs/>
      <w:snapToGrid w:val="0"/>
      <w:kern w:val="0"/>
      <w:szCs w:val="32"/>
    </w:rPr>
  </w:style>
  <w:style w:type="paragraph" w:customStyle="1" w:styleId="72">
    <w:name w:val="表格"/>
    <w:basedOn w:val="1"/>
    <w:link w:val="73"/>
    <w:uiPriority w:val="0"/>
    <w:pPr>
      <w:adjustRightInd w:val="0"/>
      <w:snapToGrid w:val="0"/>
      <w:spacing w:line="240" w:lineRule="exact"/>
      <w:jc w:val="center"/>
    </w:pPr>
    <w:rPr>
      <w:rFonts w:cs="Times New Roman"/>
      <w:bCs/>
      <w:snapToGrid w:val="0"/>
      <w:kern w:val="0"/>
      <w:szCs w:val="32"/>
    </w:rPr>
  </w:style>
  <w:style w:type="character" w:customStyle="1" w:styleId="73">
    <w:name w:val="表格 Char"/>
    <w:link w:val="72"/>
    <w:qFormat/>
    <w:uiPriority w:val="0"/>
    <w:rPr>
      <w:rFonts w:ascii="Times New Roman" w:hAnsi="Times New Roman" w:eastAsia="宋体" w:cs="Times New Roman"/>
      <w:bCs/>
      <w:snapToGrid w:val="0"/>
      <w:kern w:val="0"/>
      <w:szCs w:val="32"/>
    </w:rPr>
  </w:style>
  <w:style w:type="paragraph" w:customStyle="1" w:styleId="74">
    <w:name w:val="h正文表头"/>
    <w:basedOn w:val="68"/>
    <w:uiPriority w:val="0"/>
    <w:pPr>
      <w:spacing w:line="360" w:lineRule="auto"/>
    </w:pPr>
  </w:style>
  <w:style w:type="character" w:customStyle="1" w:styleId="75">
    <w:name w:val="正文缩进 字符"/>
    <w:link w:val="13"/>
    <w:uiPriority w:val="0"/>
    <w:rPr>
      <w:rFonts w:ascii="黑体" w:eastAsia="黑体"/>
      <w:snapToGrid w:val="0"/>
      <w:spacing w:val="10"/>
      <w:kern w:val="21"/>
      <w:sz w:val="24"/>
    </w:rPr>
  </w:style>
  <w:style w:type="paragraph" w:customStyle="1" w:styleId="76">
    <w:name w:val="Table Paragraph"/>
    <w:basedOn w:val="1"/>
    <w:uiPriority w:val="1"/>
    <w:rPr>
      <w:rFonts w:ascii="宋体" w:hAnsi="宋体" w:cs="宋体"/>
      <w:kern w:val="0"/>
      <w:sz w:val="22"/>
      <w:lang w:eastAsia="en-US"/>
    </w:rPr>
  </w:style>
  <w:style w:type="paragraph" w:customStyle="1" w:styleId="77">
    <w:name w:val="正文1"/>
    <w:basedOn w:val="1"/>
    <w:uiPriority w:val="0"/>
    <w:pPr>
      <w:snapToGrid w:val="0"/>
      <w:spacing w:line="360" w:lineRule="exact"/>
      <w:jc w:val="center"/>
    </w:pPr>
    <w:rPr>
      <w:rFonts w:cs="Times New Roman"/>
      <w:kern w:val="21"/>
      <w:szCs w:val="20"/>
    </w:rPr>
  </w:style>
  <w:style w:type="paragraph" w:customStyle="1" w:styleId="78">
    <w:name w:val="Char Char1 Char Char Char Char Char Char Char Char Char Char Char Char Char Char"/>
    <w:basedOn w:val="1"/>
    <w:semiHidden/>
    <w:uiPriority w:val="0"/>
    <w:pPr>
      <w:widowControl/>
      <w:spacing w:after="160" w:line="240" w:lineRule="exact"/>
    </w:pPr>
    <w:rPr>
      <w:rFonts w:ascii="Verdana" w:hAnsi="Verdana" w:cs="Times New Roman"/>
      <w:kern w:val="0"/>
      <w:sz w:val="20"/>
      <w:szCs w:val="20"/>
      <w:lang w:eastAsia="en-US"/>
    </w:rPr>
  </w:style>
  <w:style w:type="paragraph" w:styleId="79">
    <w:name w:val="List Paragraph"/>
    <w:basedOn w:val="1"/>
    <w:qFormat/>
    <w:uiPriority w:val="34"/>
    <w:pPr>
      <w:ind w:firstLine="420" w:firstLineChars="200"/>
    </w:pPr>
  </w:style>
  <w:style w:type="character" w:customStyle="1" w:styleId="80">
    <w:name w:val="正文文本 字符"/>
    <w:basedOn w:val="40"/>
    <w:link w:val="17"/>
    <w:semiHidden/>
    <w:uiPriority w:val="99"/>
    <w:rPr>
      <w:rFonts w:ascii="Times New Roman" w:hAnsi="Times New Roman" w:eastAsia="宋体"/>
    </w:rPr>
  </w:style>
  <w:style w:type="character" w:customStyle="1" w:styleId="81">
    <w:name w:val="正文文本首行缩进 字符"/>
    <w:basedOn w:val="80"/>
    <w:link w:val="36"/>
    <w:uiPriority w:val="0"/>
    <w:rPr>
      <w:rFonts w:ascii="Times New Roman" w:hAnsi="Times New Roman" w:eastAsia="宋体" w:cs="Times New Roman"/>
      <w:kern w:val="21"/>
      <w:szCs w:val="20"/>
    </w:rPr>
  </w:style>
  <w:style w:type="character" w:styleId="82">
    <w:name w:val="Placeholder Text"/>
    <w:basedOn w:val="40"/>
    <w:semiHidden/>
    <w:uiPriority w:val="99"/>
    <w:rPr>
      <w:color w:val="808080"/>
    </w:rPr>
  </w:style>
  <w:style w:type="character" w:customStyle="1" w:styleId="83">
    <w:name w:val="zw1"/>
    <w:uiPriority w:val="0"/>
    <w:rPr>
      <w:rFonts w:hint="eastAsia" w:ascii="宋体" w:hAnsi="宋体" w:eastAsia="宋体"/>
      <w:sz w:val="22"/>
      <w:szCs w:val="22"/>
    </w:rPr>
  </w:style>
  <w:style w:type="paragraph" w:customStyle="1" w:styleId="84">
    <w:name w:val="_Style 18"/>
    <w:basedOn w:val="1"/>
    <w:next w:val="29"/>
    <w:uiPriority w:val="0"/>
    <w:pPr>
      <w:spacing w:line="360" w:lineRule="auto"/>
      <w:ind w:firstLine="480"/>
      <w:jc w:val="both"/>
    </w:pPr>
    <w:rPr>
      <w:rFonts w:cs="Times New Roman"/>
      <w:sz w:val="28"/>
      <w:szCs w:val="24"/>
    </w:rPr>
  </w:style>
  <w:style w:type="character" w:customStyle="1" w:styleId="85">
    <w:name w:val="正文文本缩进 3 字符"/>
    <w:basedOn w:val="40"/>
    <w:link w:val="29"/>
    <w:semiHidden/>
    <w:uiPriority w:val="99"/>
    <w:rPr>
      <w:rFonts w:ascii="Times New Roman" w:hAnsi="Times New Roman" w:eastAsia="宋体"/>
      <w:sz w:val="16"/>
      <w:szCs w:val="16"/>
    </w:rPr>
  </w:style>
  <w:style w:type="character" w:customStyle="1" w:styleId="86">
    <w:name w:val="0正文 Char"/>
    <w:link w:val="87"/>
    <w:uiPriority w:val="0"/>
    <w:rPr>
      <w:rFonts w:ascii="Times New Roman" w:hAnsi="Times New Roman"/>
      <w:color w:val="000000"/>
      <w:sz w:val="26"/>
      <w:szCs w:val="26"/>
    </w:rPr>
  </w:style>
  <w:style w:type="paragraph" w:customStyle="1" w:styleId="87">
    <w:name w:val="0正文"/>
    <w:basedOn w:val="1"/>
    <w:link w:val="86"/>
    <w:uiPriority w:val="0"/>
    <w:pPr>
      <w:adjustRightInd w:val="0"/>
      <w:snapToGrid w:val="0"/>
      <w:spacing w:line="480" w:lineRule="exact"/>
      <w:ind w:firstLine="520" w:firstLineChars="200"/>
      <w:jc w:val="both"/>
    </w:pPr>
    <w:rPr>
      <w:rFonts w:eastAsiaTheme="minorEastAsia"/>
      <w:color w:val="000000"/>
      <w:sz w:val="26"/>
      <w:szCs w:val="26"/>
    </w:rPr>
  </w:style>
  <w:style w:type="paragraph" w:customStyle="1" w:styleId="88">
    <w:name w:val="表格内容"/>
    <w:basedOn w:val="1"/>
    <w:link w:val="89"/>
    <w:uiPriority w:val="0"/>
    <w:pPr>
      <w:jc w:val="center"/>
    </w:pPr>
    <w:rPr>
      <w:rFonts w:cs="Times New Roman"/>
      <w:szCs w:val="20"/>
    </w:rPr>
  </w:style>
  <w:style w:type="character" w:customStyle="1" w:styleId="89">
    <w:name w:val="表格内容 Char"/>
    <w:link w:val="88"/>
    <w:qFormat/>
    <w:uiPriority w:val="0"/>
    <w:rPr>
      <w:rFonts w:ascii="Times New Roman" w:hAnsi="Times New Roman" w:eastAsia="宋体" w:cs="Times New Roman"/>
      <w:szCs w:val="20"/>
    </w:rPr>
  </w:style>
  <w:style w:type="paragraph" w:customStyle="1" w:styleId="90">
    <w:name w:val="表格体"/>
    <w:basedOn w:val="1"/>
    <w:link w:val="91"/>
    <w:uiPriority w:val="0"/>
    <w:pPr>
      <w:jc w:val="center"/>
    </w:pPr>
    <w:rPr>
      <w:rFonts w:cs="Times New Roman"/>
      <w:sz w:val="20"/>
      <w:szCs w:val="18"/>
    </w:rPr>
  </w:style>
  <w:style w:type="character" w:customStyle="1" w:styleId="91">
    <w:name w:val="表格体 Char"/>
    <w:link w:val="90"/>
    <w:locked/>
    <w:uiPriority w:val="0"/>
    <w:rPr>
      <w:rFonts w:ascii="Times New Roman" w:hAnsi="Times New Roman" w:eastAsia="宋体" w:cs="Times New Roman"/>
      <w:sz w:val="20"/>
      <w:szCs w:val="18"/>
    </w:rPr>
  </w:style>
  <w:style w:type="paragraph" w:customStyle="1" w:styleId="92">
    <w:name w:val="样式 标题 3 + 段前: 0.5 行"/>
    <w:basedOn w:val="4"/>
    <w:uiPriority w:val="0"/>
    <w:pPr>
      <w:numPr>
        <w:ilvl w:val="0"/>
        <w:numId w:val="0"/>
      </w:numPr>
      <w:spacing w:before="260" w:after="0" w:afterLines="0" w:line="360" w:lineRule="auto"/>
      <w:jc w:val="both"/>
    </w:pPr>
    <w:rPr>
      <w:rFonts w:eastAsia="黑体" w:cs="宋体"/>
      <w:bCs w:val="0"/>
      <w:sz w:val="28"/>
      <w:szCs w:val="20"/>
    </w:rPr>
  </w:style>
  <w:style w:type="paragraph" w:customStyle="1" w:styleId="93">
    <w:name w:val="默认段落字体 Para Char Char Char Char"/>
    <w:basedOn w:val="1"/>
    <w:uiPriority w:val="0"/>
    <w:pPr>
      <w:jc w:val="both"/>
    </w:pPr>
    <w:rPr>
      <w:rFonts w:cs="Times New Roman"/>
      <w:szCs w:val="20"/>
    </w:rPr>
  </w:style>
  <w:style w:type="paragraph" w:customStyle="1" w:styleId="94">
    <w:name w:val="样式333333"/>
    <w:basedOn w:val="1"/>
    <w:link w:val="95"/>
    <w:uiPriority w:val="0"/>
    <w:pPr>
      <w:adjustRightInd w:val="0"/>
      <w:snapToGrid w:val="0"/>
      <w:spacing w:beforeLines="10" w:afterLines="50" w:line="460" w:lineRule="exact"/>
      <w:outlineLvl w:val="2"/>
    </w:pPr>
    <w:rPr>
      <w:rFonts w:cs="Times New Roman"/>
      <w:b/>
      <w:snapToGrid w:val="0"/>
      <w:kern w:val="0"/>
      <w:sz w:val="24"/>
      <w:szCs w:val="26"/>
    </w:rPr>
  </w:style>
  <w:style w:type="character" w:customStyle="1" w:styleId="95">
    <w:name w:val="样式333333 Char"/>
    <w:link w:val="94"/>
    <w:uiPriority w:val="0"/>
    <w:rPr>
      <w:rFonts w:ascii="Times New Roman" w:hAnsi="Times New Roman" w:eastAsia="宋体" w:cs="Times New Roman"/>
      <w:b/>
      <w:snapToGrid w:val="0"/>
      <w:kern w:val="0"/>
      <w:sz w:val="24"/>
      <w:szCs w:val="26"/>
    </w:rPr>
  </w:style>
  <w:style w:type="paragraph" w:customStyle="1" w:styleId="96">
    <w:name w:val="Char4 Char Char Char"/>
    <w:basedOn w:val="1"/>
    <w:semiHidden/>
    <w:uiPriority w:val="0"/>
    <w:pPr>
      <w:adjustRightInd w:val="0"/>
      <w:snapToGrid w:val="0"/>
      <w:spacing w:line="360" w:lineRule="auto"/>
      <w:ind w:firstLine="200" w:firstLineChars="200"/>
      <w:jc w:val="both"/>
    </w:pPr>
    <w:rPr>
      <w:rFonts w:ascii="宋体" w:hAnsi="宋体" w:cs="宋体"/>
      <w:sz w:val="24"/>
      <w:szCs w:val="26"/>
    </w:rPr>
  </w:style>
  <w:style w:type="paragraph" w:customStyle="1" w:styleId="97">
    <w:name w:val="Char"/>
    <w:basedOn w:val="1"/>
    <w:uiPriority w:val="0"/>
    <w:pPr>
      <w:jc w:val="both"/>
    </w:pPr>
    <w:rPr>
      <w:rFonts w:ascii="Tahoma" w:hAnsi="Tahoma" w:cs="Times New Roman"/>
      <w:sz w:val="24"/>
      <w:szCs w:val="20"/>
    </w:rPr>
  </w:style>
  <w:style w:type="paragraph" w:customStyle="1" w:styleId="98">
    <w:name w:val="Default"/>
    <w:uiPriority w:val="0"/>
    <w:pPr>
      <w:widowControl w:val="0"/>
      <w:autoSpaceDE w:val="0"/>
      <w:autoSpaceDN w:val="0"/>
      <w:adjustRightInd w:val="0"/>
    </w:pPr>
    <w:rPr>
      <w:rFonts w:ascii="宋体" w:hAnsi="宋体" w:cs="宋体" w:eastAsiaTheme="minorEastAsia"/>
      <w:color w:val="000000"/>
      <w:kern w:val="0"/>
      <w:sz w:val="24"/>
      <w:szCs w:val="24"/>
      <w:lang w:val="en-US" w:eastAsia="zh-CN" w:bidi="ar-SA"/>
    </w:rPr>
  </w:style>
  <w:style w:type="character" w:customStyle="1" w:styleId="99">
    <w:name w:val="纯文本 Char"/>
    <w:locked/>
    <w:uiPriority w:val="0"/>
    <w:rPr>
      <w:rFonts w:ascii="Verdana" w:hAnsi="仿宋_GB2312" w:eastAsia="Verdana"/>
      <w:kern w:val="2"/>
      <w:sz w:val="21"/>
      <w:lang w:val="en-US" w:eastAsia="zh-CN" w:bidi="ar-SA"/>
    </w:rPr>
  </w:style>
  <w:style w:type="character" w:customStyle="1" w:styleId="100">
    <w:name w:val="纯文本 字符"/>
    <w:basedOn w:val="40"/>
    <w:link w:val="21"/>
    <w:qFormat/>
    <w:uiPriority w:val="0"/>
    <w:rPr>
      <w:rFonts w:ascii="Verdana" w:hAnsi="仿宋_GB2312" w:eastAsia="Verdana" w:cs="Times New Roman"/>
      <w:szCs w:val="20"/>
    </w:rPr>
  </w:style>
  <w:style w:type="paragraph" w:customStyle="1" w:styleId="101">
    <w:name w:val="标准正文格式"/>
    <w:basedOn w:val="1"/>
    <w:link w:val="102"/>
    <w:uiPriority w:val="0"/>
    <w:pPr>
      <w:tabs>
        <w:tab w:val="left" w:pos="6435"/>
      </w:tabs>
      <w:jc w:val="center"/>
    </w:pPr>
    <w:rPr>
      <w:rFonts w:ascii="仿宋_GB2312" w:hAnsi="宋体" w:eastAsia="仿宋_GB2312" w:cs="Times New Roman"/>
      <w:kern w:val="0"/>
      <w:sz w:val="28"/>
      <w:szCs w:val="28"/>
    </w:rPr>
  </w:style>
  <w:style w:type="character" w:customStyle="1" w:styleId="102">
    <w:name w:val="标准正文格式 Char"/>
    <w:link w:val="101"/>
    <w:qFormat/>
    <w:uiPriority w:val="0"/>
    <w:rPr>
      <w:rFonts w:ascii="仿宋_GB2312" w:hAnsi="宋体" w:eastAsia="仿宋_GB2312" w:cs="Times New Roman"/>
      <w:kern w:val="0"/>
      <w:sz w:val="28"/>
      <w:szCs w:val="28"/>
    </w:rPr>
  </w:style>
  <w:style w:type="paragraph" w:customStyle="1" w:styleId="103">
    <w:name w:val="标题4"/>
    <w:basedOn w:val="1"/>
    <w:next w:val="1"/>
    <w:link w:val="120"/>
    <w:uiPriority w:val="0"/>
    <w:pPr>
      <w:spacing w:line="500" w:lineRule="exact"/>
      <w:jc w:val="both"/>
      <w:outlineLvl w:val="3"/>
    </w:pPr>
    <w:rPr>
      <w:rFonts w:hAnsi="宋体" w:cs="Times New Roman"/>
      <w:b/>
      <w:sz w:val="24"/>
      <w:szCs w:val="24"/>
    </w:rPr>
  </w:style>
  <w:style w:type="paragraph" w:customStyle="1" w:styleId="104">
    <w:name w:val="表头图头"/>
    <w:basedOn w:val="1"/>
    <w:link w:val="105"/>
    <w:uiPriority w:val="0"/>
    <w:pPr>
      <w:spacing w:line="440" w:lineRule="exact"/>
      <w:jc w:val="center"/>
    </w:pPr>
    <w:rPr>
      <w:rFonts w:cs="Times New Roman"/>
      <w:b/>
      <w:sz w:val="24"/>
      <w:szCs w:val="24"/>
    </w:rPr>
  </w:style>
  <w:style w:type="character" w:customStyle="1" w:styleId="105">
    <w:name w:val="表头图头 字符"/>
    <w:link w:val="104"/>
    <w:qFormat/>
    <w:uiPriority w:val="0"/>
    <w:rPr>
      <w:rFonts w:ascii="Times New Roman" w:hAnsi="Times New Roman" w:eastAsia="宋体" w:cs="Times New Roman"/>
      <w:b/>
      <w:sz w:val="24"/>
      <w:szCs w:val="24"/>
    </w:rPr>
  </w:style>
  <w:style w:type="character" w:customStyle="1" w:styleId="106">
    <w:name w:val="文档结构图 字符"/>
    <w:basedOn w:val="40"/>
    <w:link w:val="15"/>
    <w:semiHidden/>
    <w:qFormat/>
    <w:uiPriority w:val="0"/>
    <w:rPr>
      <w:rFonts w:ascii="宋体" w:hAnsi="Times New Roman" w:eastAsia="宋体" w:cs="Times New Roman"/>
      <w:color w:val="000000"/>
      <w:sz w:val="18"/>
      <w:szCs w:val="18"/>
    </w:rPr>
  </w:style>
  <w:style w:type="paragraph" w:customStyle="1" w:styleId="107">
    <w:name w:val="表内文字"/>
    <w:basedOn w:val="1"/>
    <w:uiPriority w:val="0"/>
    <w:pPr>
      <w:snapToGrid w:val="0"/>
      <w:spacing w:line="440" w:lineRule="exact"/>
      <w:jc w:val="center"/>
    </w:pPr>
    <w:rPr>
      <w:rFonts w:cs="宋体"/>
      <w:color w:val="000000"/>
      <w:kern w:val="0"/>
      <w:sz w:val="24"/>
      <w:szCs w:val="24"/>
      <w:lang w:val="zh-CN"/>
    </w:rPr>
  </w:style>
  <w:style w:type="character" w:customStyle="1" w:styleId="108">
    <w:name w:val="正文文本缩进 字符"/>
    <w:basedOn w:val="40"/>
    <w:link w:val="18"/>
    <w:semiHidden/>
    <w:qFormat/>
    <w:uiPriority w:val="99"/>
    <w:rPr>
      <w:rFonts w:ascii="Times New Roman" w:hAnsi="Times New Roman" w:eastAsia="宋体"/>
    </w:rPr>
  </w:style>
  <w:style w:type="character" w:customStyle="1" w:styleId="109">
    <w:name w:val="表格 Char Char"/>
    <w:basedOn w:val="40"/>
    <w:uiPriority w:val="0"/>
    <w:rPr>
      <w:rFonts w:ascii="Times New Roman" w:hAnsi="Times New Roman"/>
      <w:bCs/>
      <w:snapToGrid w:val="0"/>
      <w:sz w:val="21"/>
      <w:szCs w:val="32"/>
    </w:rPr>
  </w:style>
  <w:style w:type="paragraph" w:customStyle="1" w:styleId="110">
    <w:name w:val="正 文"/>
    <w:basedOn w:val="1"/>
    <w:link w:val="111"/>
    <w:uiPriority w:val="0"/>
    <w:pPr>
      <w:spacing w:line="440" w:lineRule="exact"/>
      <w:ind w:firstLine="200" w:firstLineChars="200"/>
      <w:jc w:val="both"/>
    </w:pPr>
    <w:rPr>
      <w:rFonts w:hAnsi="宋体" w:cs="Times New Roman"/>
      <w:sz w:val="24"/>
      <w:szCs w:val="24"/>
    </w:rPr>
  </w:style>
  <w:style w:type="character" w:customStyle="1" w:styleId="111">
    <w:name w:val="正 文 Char"/>
    <w:link w:val="110"/>
    <w:uiPriority w:val="0"/>
    <w:rPr>
      <w:rFonts w:ascii="Times New Roman" w:hAnsi="宋体" w:eastAsia="宋体" w:cs="Times New Roman"/>
      <w:sz w:val="24"/>
      <w:szCs w:val="24"/>
    </w:rPr>
  </w:style>
  <w:style w:type="paragraph" w:customStyle="1" w:styleId="112">
    <w:name w:val="文本11"/>
    <w:basedOn w:val="1"/>
    <w:link w:val="113"/>
    <w:uiPriority w:val="0"/>
    <w:pPr>
      <w:spacing w:line="360" w:lineRule="auto"/>
      <w:ind w:firstLine="200" w:firstLineChars="200"/>
      <w:jc w:val="both"/>
    </w:pPr>
    <w:rPr>
      <w:rFonts w:cs="Times New Roman"/>
      <w:color w:val="000000"/>
      <w:sz w:val="24"/>
      <w:szCs w:val="24"/>
    </w:rPr>
  </w:style>
  <w:style w:type="character" w:customStyle="1" w:styleId="113">
    <w:name w:val="文本11 Char"/>
    <w:link w:val="112"/>
    <w:qFormat/>
    <w:uiPriority w:val="0"/>
    <w:rPr>
      <w:rFonts w:ascii="Times New Roman" w:hAnsi="Times New Roman" w:eastAsia="宋体" w:cs="Times New Roman"/>
      <w:color w:val="000000"/>
      <w:sz w:val="24"/>
      <w:szCs w:val="24"/>
    </w:rPr>
  </w:style>
  <w:style w:type="paragraph" w:customStyle="1" w:styleId="114">
    <w:name w:val="表内字体111"/>
    <w:basedOn w:val="1"/>
    <w:link w:val="115"/>
    <w:uiPriority w:val="0"/>
    <w:pPr>
      <w:adjustRightInd w:val="0"/>
      <w:snapToGrid w:val="0"/>
      <w:jc w:val="center"/>
    </w:pPr>
    <w:rPr>
      <w:rFonts w:cs="Times New Roman"/>
      <w:snapToGrid w:val="0"/>
      <w:kern w:val="0"/>
      <w:szCs w:val="21"/>
    </w:rPr>
  </w:style>
  <w:style w:type="character" w:customStyle="1" w:styleId="115">
    <w:name w:val="表内字体111 Char"/>
    <w:link w:val="114"/>
    <w:qFormat/>
    <w:uiPriority w:val="0"/>
    <w:rPr>
      <w:rFonts w:ascii="Times New Roman" w:hAnsi="Times New Roman" w:eastAsia="宋体" w:cs="Times New Roman"/>
      <w:snapToGrid w:val="0"/>
      <w:kern w:val="0"/>
      <w:szCs w:val="21"/>
    </w:rPr>
  </w:style>
  <w:style w:type="paragraph" w:customStyle="1" w:styleId="116">
    <w:name w:val="表头11"/>
    <w:basedOn w:val="1"/>
    <w:link w:val="117"/>
    <w:uiPriority w:val="0"/>
    <w:pPr>
      <w:adjustRightInd w:val="0"/>
      <w:snapToGrid w:val="0"/>
      <w:spacing w:beforeLines="30" w:afterLines="10" w:line="460" w:lineRule="exact"/>
      <w:jc w:val="center"/>
    </w:pPr>
    <w:rPr>
      <w:rFonts w:cs="Times New Roman"/>
      <w:b/>
      <w:snapToGrid w:val="0"/>
      <w:kern w:val="0"/>
      <w:sz w:val="24"/>
      <w:szCs w:val="24"/>
    </w:rPr>
  </w:style>
  <w:style w:type="character" w:customStyle="1" w:styleId="117">
    <w:name w:val="表头11 Char"/>
    <w:link w:val="116"/>
    <w:uiPriority w:val="0"/>
    <w:rPr>
      <w:rFonts w:ascii="Times New Roman" w:hAnsi="Times New Roman" w:eastAsia="宋体" w:cs="Times New Roman"/>
      <w:b/>
      <w:snapToGrid w:val="0"/>
      <w:kern w:val="0"/>
      <w:sz w:val="24"/>
      <w:szCs w:val="24"/>
    </w:rPr>
  </w:style>
  <w:style w:type="paragraph" w:customStyle="1" w:styleId="118">
    <w:name w:val="图头11"/>
    <w:basedOn w:val="1"/>
    <w:link w:val="119"/>
    <w:uiPriority w:val="0"/>
    <w:pPr>
      <w:adjustRightInd w:val="0"/>
      <w:snapToGrid w:val="0"/>
      <w:spacing w:afterLines="100" w:line="0" w:lineRule="atLeast"/>
      <w:jc w:val="center"/>
    </w:pPr>
    <w:rPr>
      <w:rFonts w:cs="Times New Roman"/>
      <w:b/>
      <w:snapToGrid w:val="0"/>
      <w:kern w:val="0"/>
      <w:sz w:val="24"/>
      <w:szCs w:val="24"/>
    </w:rPr>
  </w:style>
  <w:style w:type="character" w:customStyle="1" w:styleId="119">
    <w:name w:val="图头11 Char"/>
    <w:link w:val="118"/>
    <w:uiPriority w:val="0"/>
    <w:rPr>
      <w:rFonts w:ascii="Times New Roman" w:hAnsi="Times New Roman" w:eastAsia="宋体" w:cs="Times New Roman"/>
      <w:b/>
      <w:snapToGrid w:val="0"/>
      <w:kern w:val="0"/>
      <w:sz w:val="24"/>
      <w:szCs w:val="24"/>
    </w:rPr>
  </w:style>
  <w:style w:type="character" w:customStyle="1" w:styleId="120">
    <w:name w:val="标题4 Char"/>
    <w:basedOn w:val="40"/>
    <w:link w:val="103"/>
    <w:uiPriority w:val="0"/>
    <w:rPr>
      <w:rFonts w:ascii="Times New Roman" w:hAnsi="宋体" w:eastAsia="宋体" w:cs="Times New Roman"/>
      <w:b/>
      <w:sz w:val="24"/>
      <w:szCs w:val="24"/>
    </w:rPr>
  </w:style>
  <w:style w:type="character" w:customStyle="1" w:styleId="121">
    <w:name w:val="页脚 字符1"/>
    <w:locked/>
    <w:uiPriority w:val="99"/>
    <w:rPr>
      <w:sz w:val="18"/>
    </w:rPr>
  </w:style>
  <w:style w:type="character" w:customStyle="1" w:styleId="122">
    <w:name w:val="普通(网站) 字符"/>
    <w:link w:val="33"/>
    <w:qFormat/>
    <w:locked/>
    <w:uiPriority w:val="99"/>
    <w:rPr>
      <w:rFonts w:ascii="宋体" w:hAnsi="宋体" w:eastAsia="宋体" w:cs="Times New Roman"/>
      <w:kern w:val="0"/>
      <w:sz w:val="24"/>
      <w:szCs w:val="20"/>
    </w:rPr>
  </w:style>
  <w:style w:type="paragraph" w:customStyle="1" w:styleId="123">
    <w:name w:val="标题2"/>
    <w:basedOn w:val="1"/>
    <w:next w:val="5"/>
    <w:link w:val="124"/>
    <w:uiPriority w:val="0"/>
    <w:pPr>
      <w:spacing w:line="480" w:lineRule="exact"/>
      <w:ind w:firstLine="200" w:firstLineChars="200"/>
    </w:pPr>
    <w:rPr>
      <w:rFonts w:cs="Times New Roman"/>
      <w:b/>
      <w:sz w:val="28"/>
      <w:szCs w:val="24"/>
    </w:rPr>
  </w:style>
  <w:style w:type="character" w:customStyle="1" w:styleId="124">
    <w:name w:val="标题2 字符"/>
    <w:link w:val="123"/>
    <w:uiPriority w:val="0"/>
    <w:rPr>
      <w:rFonts w:ascii="Times New Roman" w:hAnsi="Times New Roman" w:eastAsia="宋体" w:cs="Times New Roman"/>
      <w:b/>
      <w:sz w:val="28"/>
      <w:szCs w:val="24"/>
    </w:rPr>
  </w:style>
  <w:style w:type="character" w:customStyle="1" w:styleId="125">
    <w:name w:val="题注 字符"/>
    <w:link w:val="14"/>
    <w:qFormat/>
    <w:uiPriority w:val="35"/>
    <w:rPr>
      <w:rFonts w:ascii="Times New Roman" w:hAnsi="Times New Roman" w:eastAsia="宋体" w:cs="Times New Roman"/>
      <w:b/>
      <w:sz w:val="24"/>
      <w:szCs w:val="20"/>
    </w:rPr>
  </w:style>
  <w:style w:type="paragraph" w:customStyle="1" w:styleId="126">
    <w:name w:val="表格内居中文字"/>
    <w:basedOn w:val="1"/>
    <w:uiPriority w:val="99"/>
    <w:pPr>
      <w:jc w:val="center"/>
    </w:pPr>
    <w:rPr>
      <w:rFonts w:cs="Times New Roman"/>
      <w:sz w:val="22"/>
      <w:szCs w:val="24"/>
    </w:rPr>
  </w:style>
  <w:style w:type="character" w:customStyle="1" w:styleId="127">
    <w:name w:val="正文文本 2 字符"/>
    <w:basedOn w:val="40"/>
    <w:link w:val="32"/>
    <w:semiHidden/>
    <w:uiPriority w:val="99"/>
    <w:rPr>
      <w:rFonts w:ascii="Times New Roman" w:hAnsi="Times New Roman" w:eastAsia="宋体"/>
    </w:rPr>
  </w:style>
  <w:style w:type="table" w:customStyle="1" w:styleId="128">
    <w:name w:val="Table Normal"/>
    <w:semiHidden/>
    <w:qFormat/>
    <w:uiPriority w:val="2"/>
    <w:pPr>
      <w:widowControl w:val="0"/>
      <w:autoSpaceDE w:val="0"/>
      <w:autoSpaceDN w:val="0"/>
    </w:pPr>
    <w:rPr>
      <w:rFonts w:eastAsia="Times New Roman"/>
      <w:kern w:val="0"/>
      <w:sz w:val="22"/>
      <w:lang w:eastAsia="en-US"/>
    </w:rPr>
    <w:tblPr>
      <w:tblLayout w:type="fixed"/>
      <w:tblCellMar>
        <w:top w:w="0" w:type="dxa"/>
        <w:left w:w="0" w:type="dxa"/>
        <w:bottom w:w="0" w:type="dxa"/>
        <w:right w:w="0" w:type="dxa"/>
      </w:tblCellMar>
    </w:tblPr>
  </w:style>
  <w:style w:type="character" w:customStyle="1" w:styleId="129">
    <w:name w:val="fontstyle01"/>
    <w:uiPriority w:val="0"/>
    <w:rPr>
      <w:rFonts w:hint="eastAsia" w:ascii="宋体" w:hAnsi="宋体" w:eastAsia="宋体"/>
      <w:color w:val="000000"/>
      <w:sz w:val="22"/>
      <w:szCs w:val="22"/>
    </w:rPr>
  </w:style>
  <w:style w:type="character" w:customStyle="1" w:styleId="130">
    <w:name w:val="表头 字符"/>
    <w:uiPriority w:val="0"/>
    <w:rPr>
      <w:rFonts w:ascii="Calibri" w:hAnsi="Calibri" w:eastAsia="仿宋" w:cs="Times New Roman"/>
      <w:b/>
      <w:kern w:val="2"/>
      <w:sz w:val="24"/>
      <w:szCs w:val="24"/>
      <w:lang w:bidi="en-US"/>
    </w:rPr>
  </w:style>
  <w:style w:type="character" w:customStyle="1" w:styleId="131">
    <w:name w:val="标题 字符"/>
    <w:basedOn w:val="40"/>
    <w:link w:val="34"/>
    <w:uiPriority w:val="10"/>
    <w:rPr>
      <w:rFonts w:asciiTheme="majorHAnsi" w:hAnsiTheme="majorHAnsi" w:eastAsiaTheme="majorEastAsia" w:cstheme="majorBidi"/>
      <w:b/>
      <w:bCs/>
      <w:sz w:val="32"/>
      <w:szCs w:val="32"/>
    </w:rPr>
  </w:style>
  <w:style w:type="paragraph" w:customStyle="1" w:styleId="132">
    <w:name w:val="样式4"/>
    <w:basedOn w:val="1"/>
    <w:uiPriority w:val="0"/>
    <w:pPr>
      <w:spacing w:line="360" w:lineRule="auto"/>
      <w:ind w:firstLine="200" w:firstLineChars="200"/>
      <w:jc w:val="both"/>
    </w:pPr>
    <w:rPr>
      <w:rFonts w:cs="Times New Roman"/>
      <w:sz w:val="24"/>
      <w:szCs w:val="20"/>
    </w:rPr>
  </w:style>
  <w:style w:type="paragraph" w:customStyle="1" w:styleId="133">
    <w:name w:val="表格填充1"/>
    <w:basedOn w:val="1"/>
    <w:uiPriority w:val="0"/>
    <w:pPr>
      <w:adjustRightInd w:val="0"/>
      <w:snapToGrid w:val="0"/>
      <w:spacing w:line="400" w:lineRule="exact"/>
      <w:jc w:val="center"/>
    </w:pPr>
    <w:rPr>
      <w:rFonts w:cs="Times New Roman"/>
      <w:kern w:val="0"/>
      <w:szCs w:val="18"/>
    </w:rPr>
  </w:style>
  <w:style w:type="character" w:customStyle="1" w:styleId="134">
    <w:name w:val="表头 Char1"/>
    <w:uiPriority w:val="0"/>
    <w:rPr>
      <w:b/>
      <w:kern w:val="2"/>
      <w:sz w:val="24"/>
      <w:szCs w:val="24"/>
    </w:rPr>
  </w:style>
  <w:style w:type="paragraph" w:customStyle="1" w:styleId="135">
    <w:name w:val="xl31"/>
    <w:basedOn w:val="1"/>
    <w:uiPriority w:val="0"/>
    <w:pPr>
      <w:widowControl/>
      <w:spacing w:before="100" w:beforeAutospacing="1" w:after="100" w:afterAutospacing="1"/>
      <w:jc w:val="center"/>
    </w:pPr>
    <w:rPr>
      <w:rFonts w:ascii="宋体" w:hAnsi="宋体" w:cs="Dutch801 Rm BT"/>
      <w:kern w:val="0"/>
      <w:sz w:val="24"/>
      <w:szCs w:val="24"/>
    </w:rPr>
  </w:style>
  <w:style w:type="paragraph" w:customStyle="1" w:styleId="136">
    <w:name w:val="图表文字"/>
    <w:basedOn w:val="1"/>
    <w:uiPriority w:val="0"/>
    <w:pPr>
      <w:adjustRightInd w:val="0"/>
      <w:snapToGrid w:val="0"/>
      <w:jc w:val="center"/>
    </w:pPr>
    <w:rPr>
      <w:rFonts w:cs="Times New Roman"/>
      <w:szCs w:val="24"/>
    </w:rPr>
  </w:style>
  <w:style w:type="paragraph" w:customStyle="1" w:styleId="137">
    <w:name w:val="1正文-L"/>
    <w:basedOn w:val="1"/>
    <w:link w:val="138"/>
    <w:uiPriority w:val="0"/>
    <w:pPr>
      <w:adjustRightInd w:val="0"/>
      <w:snapToGrid w:val="0"/>
      <w:spacing w:line="440" w:lineRule="exact"/>
      <w:ind w:firstLine="480" w:firstLineChars="200"/>
      <w:jc w:val="both"/>
    </w:pPr>
    <w:rPr>
      <w:sz w:val="24"/>
      <w:szCs w:val="21"/>
    </w:rPr>
  </w:style>
  <w:style w:type="character" w:customStyle="1" w:styleId="138">
    <w:name w:val="1正文-L 字符"/>
    <w:basedOn w:val="40"/>
    <w:link w:val="137"/>
    <w:qFormat/>
    <w:uiPriority w:val="0"/>
    <w:rPr>
      <w:rFonts w:ascii="Times New Roman" w:hAnsi="Times New Roman" w:eastAsia="宋体"/>
      <w:sz w:val="24"/>
      <w:szCs w:val="21"/>
    </w:rPr>
  </w:style>
  <w:style w:type="paragraph" w:customStyle="1" w:styleId="139">
    <w:name w:val="表内容-L"/>
    <w:basedOn w:val="1"/>
    <w:link w:val="141"/>
    <w:uiPriority w:val="0"/>
    <w:pPr>
      <w:adjustRightInd w:val="0"/>
      <w:snapToGrid w:val="0"/>
      <w:jc w:val="center"/>
    </w:pPr>
    <w:rPr>
      <w:rFonts w:cs="等线"/>
      <w:kern w:val="0"/>
      <w:szCs w:val="21"/>
    </w:rPr>
  </w:style>
  <w:style w:type="paragraph" w:customStyle="1" w:styleId="140">
    <w:name w:val="表图头-L"/>
    <w:basedOn w:val="1"/>
    <w:link w:val="142"/>
    <w:uiPriority w:val="0"/>
    <w:pPr>
      <w:adjustRightInd w:val="0"/>
      <w:snapToGrid w:val="0"/>
      <w:jc w:val="center"/>
    </w:pPr>
    <w:rPr>
      <w:rFonts w:cs="等线"/>
      <w:b/>
      <w:bCs/>
      <w:kern w:val="0"/>
      <w:szCs w:val="20"/>
    </w:rPr>
  </w:style>
  <w:style w:type="character" w:customStyle="1" w:styleId="141">
    <w:name w:val="表内容-L 字符"/>
    <w:basedOn w:val="40"/>
    <w:link w:val="139"/>
    <w:qFormat/>
    <w:uiPriority w:val="0"/>
    <w:rPr>
      <w:rFonts w:ascii="Times New Roman" w:hAnsi="Times New Roman" w:eastAsia="宋体" w:cs="等线"/>
      <w:kern w:val="0"/>
      <w:szCs w:val="21"/>
    </w:rPr>
  </w:style>
  <w:style w:type="character" w:customStyle="1" w:styleId="142">
    <w:name w:val="表图头-L 字符"/>
    <w:basedOn w:val="40"/>
    <w:link w:val="140"/>
    <w:qFormat/>
    <w:uiPriority w:val="0"/>
    <w:rPr>
      <w:rFonts w:ascii="Times New Roman" w:hAnsi="Times New Roman" w:eastAsia="宋体" w:cs="等线"/>
      <w:b/>
      <w:bCs/>
      <w:kern w:val="0"/>
      <w:szCs w:val="20"/>
    </w:rPr>
  </w:style>
  <w:style w:type="paragraph" w:customStyle="1" w:styleId="143">
    <w:name w:val="0730-表内文字"/>
    <w:basedOn w:val="1"/>
    <w:next w:val="1"/>
    <w:uiPriority w:val="0"/>
    <w:pPr>
      <w:jc w:val="center"/>
    </w:pPr>
    <w:rPr>
      <w:rFonts w:cs="Times New Roman"/>
      <w:szCs w:val="24"/>
    </w:rPr>
  </w:style>
  <w:style w:type="character" w:customStyle="1" w:styleId="144">
    <w:name w:val="无间隔 Char"/>
    <w:uiPriority w:val="19"/>
    <w:rPr>
      <w:rFonts w:ascii="Times New Roman" w:hAnsi="Times New Roman" w:cs="宋体"/>
      <w:b/>
      <w:color w:val="000000"/>
      <w:sz w:val="24"/>
    </w:rPr>
  </w:style>
  <w:style w:type="paragraph" w:customStyle="1" w:styleId="145">
    <w:name w:val="正文 A"/>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46">
    <w:name w:val="本文格式"/>
    <w:uiPriority w:val="0"/>
    <w:pPr>
      <w:widowControl w:val="0"/>
      <w:spacing w:line="360" w:lineRule="exact"/>
      <w:ind w:firstLine="476"/>
      <w:jc w:val="both"/>
    </w:pPr>
    <w:rPr>
      <w:rFonts w:ascii="Arial Unicode MS" w:hAnsi="Arial Unicode MS" w:eastAsia="Arial Unicode MS" w:cs="Arial Unicode MS"/>
      <w:color w:val="000000"/>
      <w:kern w:val="0"/>
      <w:sz w:val="24"/>
      <w:szCs w:val="24"/>
      <w:u w:color="000000"/>
      <w:lang w:val="en-US" w:eastAsia="zh-CN" w:bidi="ar-SA"/>
    </w:rPr>
  </w:style>
  <w:style w:type="paragraph" w:customStyle="1" w:styleId="147">
    <w:name w:val="默认 A"/>
    <w:uiPriority w:val="0"/>
    <w:rPr>
      <w:rFonts w:ascii="Helvetica" w:hAnsi="Helvetica" w:eastAsia="Arial Unicode MS" w:cs="Arial Unicode MS"/>
      <w:color w:val="000000"/>
      <w:kern w:val="0"/>
      <w:sz w:val="22"/>
      <w:szCs w:val="22"/>
      <w:u w:color="000000"/>
      <w:lang w:val="en-US" w:eastAsia="zh-CN" w:bidi="ar-SA"/>
    </w:rPr>
  </w:style>
  <w:style w:type="character" w:customStyle="1" w:styleId="148">
    <w:name w:val="注 字符"/>
    <w:link w:val="149"/>
    <w:uiPriority w:val="0"/>
    <w:rPr>
      <w:rFonts w:ascii="Times New Roman" w:hAnsi="Times New Roman" w:eastAsia="黑体"/>
    </w:rPr>
  </w:style>
  <w:style w:type="paragraph" w:customStyle="1" w:styleId="149">
    <w:name w:val="注"/>
    <w:basedOn w:val="14"/>
    <w:link w:val="148"/>
    <w:uiPriority w:val="0"/>
    <w:pPr>
      <w:spacing w:before="0" w:after="0"/>
      <w:ind w:firstLine="200" w:firstLineChars="200"/>
      <w:jc w:val="both"/>
    </w:pPr>
    <w:rPr>
      <w:rFonts w:eastAsia="黑体" w:cstheme="minorBidi"/>
      <w:b w:val="0"/>
      <w:sz w:val="21"/>
      <w:szCs w:val="22"/>
    </w:rPr>
  </w:style>
  <w:style w:type="paragraph" w:customStyle="1" w:styleId="150">
    <w:name w:val="表名"/>
    <w:basedOn w:val="1"/>
    <w:link w:val="151"/>
    <w:uiPriority w:val="0"/>
    <w:pPr>
      <w:overflowPunct w:val="0"/>
      <w:spacing w:line="460" w:lineRule="exact"/>
      <w:jc w:val="center"/>
      <w:textAlignment w:val="baseline"/>
      <w:outlineLvl w:val="4"/>
    </w:pPr>
    <w:rPr>
      <w:rFonts w:ascii="黑体" w:hAnsi="Arial" w:eastAsia="黑体" w:cs="Times New Roman"/>
      <w:kern w:val="0"/>
      <w:szCs w:val="20"/>
    </w:rPr>
  </w:style>
  <w:style w:type="character" w:customStyle="1" w:styleId="151">
    <w:name w:val="表名 字符"/>
    <w:link w:val="150"/>
    <w:uiPriority w:val="0"/>
    <w:rPr>
      <w:rFonts w:ascii="黑体" w:hAnsi="Arial" w:eastAsia="黑体" w:cs="Times New Roman"/>
      <w:kern w:val="0"/>
      <w:szCs w:val="20"/>
    </w:rPr>
  </w:style>
  <w:style w:type="character" w:customStyle="1" w:styleId="152">
    <w:name w:val="表格 字符"/>
    <w:uiPriority w:val="0"/>
    <w:rPr>
      <w:rFonts w:ascii="Times New Roman" w:hAnsi="Times New Roman"/>
      <w:sz w:val="21"/>
    </w:rPr>
  </w:style>
  <w:style w:type="table" w:customStyle="1" w:styleId="153">
    <w:name w:val="Grid Table 1 Light"/>
    <w:basedOn w:val="38"/>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54">
    <w:name w:val="题注 字符1"/>
    <w:qFormat/>
    <w:uiPriority w:val="35"/>
    <w:rPr>
      <w:rFonts w:cs="宋体"/>
      <w:b/>
      <w:color w:val="000000"/>
      <w:sz w:val="24"/>
    </w:rPr>
  </w:style>
  <w:style w:type="character" w:customStyle="1" w:styleId="155">
    <w:name w:val="标题 字符1"/>
    <w:uiPriority w:val="0"/>
    <w:rPr>
      <w:rFonts w:ascii="Times New Roman" w:hAnsi="Times New Roman" w:eastAsia="宋体"/>
      <w:b/>
      <w:snapToGrid/>
      <w:color w:val="000000"/>
      <w:sz w:val="24"/>
      <w:szCs w:val="21"/>
    </w:rPr>
  </w:style>
  <w:style w:type="character" w:customStyle="1" w:styleId="156">
    <w:name w:val="表格文字 Char"/>
    <w:link w:val="157"/>
    <w:uiPriority w:val="0"/>
    <w:rPr>
      <w:rFonts w:ascii="仿宋_GB2312" w:hAnsi="宋体" w:eastAsia="仿宋_GB2312"/>
      <w:color w:val="17365D"/>
      <w:szCs w:val="28"/>
    </w:rPr>
  </w:style>
  <w:style w:type="paragraph" w:customStyle="1" w:styleId="157">
    <w:name w:val="表格文字"/>
    <w:basedOn w:val="13"/>
    <w:next w:val="37"/>
    <w:link w:val="156"/>
    <w:uiPriority w:val="0"/>
    <w:pPr>
      <w:widowControl w:val="0"/>
      <w:adjustRightInd/>
      <w:spacing w:line="240" w:lineRule="auto"/>
      <w:ind w:firstLine="0" w:firstLineChars="0"/>
      <w:jc w:val="center"/>
    </w:pPr>
    <w:rPr>
      <w:rFonts w:ascii="仿宋_GB2312" w:hAnsi="宋体" w:eastAsia="仿宋_GB2312"/>
      <w:snapToGrid/>
      <w:color w:val="17365D"/>
      <w:spacing w:val="0"/>
      <w:kern w:val="2"/>
      <w:sz w:val="21"/>
      <w:szCs w:val="28"/>
    </w:rPr>
  </w:style>
  <w:style w:type="character" w:customStyle="1" w:styleId="158">
    <w:name w:val="正文文本首行缩进 2 字符"/>
    <w:basedOn w:val="108"/>
    <w:link w:val="37"/>
    <w:semiHidden/>
    <w:uiPriority w:val="99"/>
    <w:rPr>
      <w:rFonts w:ascii="宋体" w:hAnsi="宋体" w:eastAsia="宋体" w:cs="宋体"/>
      <w:kern w:val="0"/>
      <w:sz w:val="24"/>
      <w:szCs w:val="24"/>
    </w:rPr>
  </w:style>
  <w:style w:type="paragraph" w:customStyle="1" w:styleId="159">
    <w:name w:val="图片-L"/>
    <w:basedOn w:val="1"/>
    <w:link w:val="160"/>
    <w:uiPriority w:val="0"/>
    <w:pPr>
      <w:adjustRightInd w:val="0"/>
      <w:snapToGrid w:val="0"/>
      <w:ind w:firstLine="420"/>
      <w:jc w:val="center"/>
    </w:pPr>
    <w:rPr>
      <w:rFonts w:cs="Times New Roman"/>
      <w:b/>
      <w:bCs/>
      <w:color w:val="0000FF"/>
      <w:szCs w:val="21"/>
      <w:lang w:val="en-GB" w:bidi="en-US"/>
    </w:rPr>
  </w:style>
  <w:style w:type="character" w:customStyle="1" w:styleId="160">
    <w:name w:val="图片-L 字符"/>
    <w:link w:val="159"/>
    <w:uiPriority w:val="0"/>
    <w:rPr>
      <w:rFonts w:ascii="Times New Roman" w:hAnsi="Times New Roman" w:eastAsia="宋体" w:cs="Times New Roman"/>
      <w:b/>
      <w:bCs/>
      <w:color w:val="0000FF"/>
      <w:szCs w:val="21"/>
      <w:lang w:val="en-GB" w:bidi="en-US"/>
    </w:rPr>
  </w:style>
  <w:style w:type="paragraph" w:customStyle="1" w:styleId="161">
    <w:name w:val="样式7"/>
    <w:basedOn w:val="1"/>
    <w:link w:val="162"/>
    <w:uiPriority w:val="0"/>
    <w:pPr>
      <w:widowControl/>
      <w:spacing w:line="480" w:lineRule="exact"/>
      <w:ind w:firstLine="200" w:firstLineChars="200"/>
      <w:jc w:val="center"/>
    </w:pPr>
    <w:rPr>
      <w:rFonts w:cs="宋体"/>
      <w:kern w:val="0"/>
      <w:sz w:val="26"/>
      <w:szCs w:val="26"/>
    </w:rPr>
  </w:style>
  <w:style w:type="character" w:customStyle="1" w:styleId="162">
    <w:name w:val="样式7 Char"/>
    <w:link w:val="161"/>
    <w:qFormat/>
    <w:uiPriority w:val="0"/>
    <w:rPr>
      <w:rFonts w:ascii="Times New Roman" w:hAnsi="Times New Roman" w:eastAsia="宋体" w:cs="宋体"/>
      <w:kern w:val="0"/>
      <w:sz w:val="26"/>
      <w:szCs w:val="26"/>
    </w:rPr>
  </w:style>
  <w:style w:type="character" w:customStyle="1" w:styleId="163">
    <w:name w:val="Unresolved Mention"/>
    <w:basedOn w:val="4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3.wmf"/><Relationship Id="rId50" Type="http://schemas.openxmlformats.org/officeDocument/2006/relationships/oleObject" Target="embeddings/oleObject7.bin"/><Relationship Id="rId5" Type="http://schemas.openxmlformats.org/officeDocument/2006/relationships/footer" Target="foot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jpeg"/><Relationship Id="rId40" Type="http://schemas.openxmlformats.org/officeDocument/2006/relationships/image" Target="media/image23.emf"/><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wmf"/><Relationship Id="rId36" Type="http://schemas.openxmlformats.org/officeDocument/2006/relationships/oleObject" Target="embeddings/oleObject6.bin"/><Relationship Id="rId35" Type="http://schemas.openxmlformats.org/officeDocument/2006/relationships/image" Target="media/image19.wmf"/><Relationship Id="rId34" Type="http://schemas.openxmlformats.org/officeDocument/2006/relationships/oleObject" Target="embeddings/oleObject5.bin"/><Relationship Id="rId33" Type="http://schemas.openxmlformats.org/officeDocument/2006/relationships/image" Target="media/image18.wmf"/><Relationship Id="rId32" Type="http://schemas.openxmlformats.org/officeDocument/2006/relationships/oleObject" Target="embeddings/oleObject4.bin"/><Relationship Id="rId31" Type="http://schemas.openxmlformats.org/officeDocument/2006/relationships/image" Target="media/image17.w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2.bin"/><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oleObject" Target="embeddings/oleObject1.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file:///C:\Users\Connie\AppData\Local\Temp\ksohtml4912\wps2.png"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http://www.kepu.com.cn/gb/lives/fish/small/200210240026_6851.gif" TargetMode="Externa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939B32-BC79-4D20-8788-BEFA58B46BC1}">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186</Pages>
  <Words>23459</Words>
  <Characters>133719</Characters>
  <Lines>1114</Lines>
  <Paragraphs>313</Paragraphs>
  <TotalTime>678</TotalTime>
  <ScaleCrop>false</ScaleCrop>
  <LinksUpToDate>false</LinksUpToDate>
  <CharactersWithSpaces>156865</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2024-08-26T06:57:00Z</dcterms:created>
  <dc:creator>xl yang</dc:creator>
  <cp:lastModifiedBy>Administrator</cp:lastModifiedBy>
  <cp:lastPrinted>2024-10-24T07:30:00Z</cp:lastPrinted>
  <dcterms:modified xsi:type="dcterms:W3CDTF">2024-11-06T09:13:55Z</dcterms:modified>
  <cp:revision>359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