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2A95D">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lang w:eastAsia="zh-CN"/>
        </w:rPr>
      </w:pPr>
    </w:p>
    <w:p w14:paraId="452EBCFE">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小标宋_GBK" w:cs="Times New Roman"/>
          <w:sz w:val="44"/>
          <w:szCs w:val="44"/>
          <w:lang w:eastAsia="zh-CN"/>
        </w:rPr>
      </w:pPr>
    </w:p>
    <w:p w14:paraId="5FDD43D7">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奉节县生态环境局</w:t>
      </w:r>
    </w:p>
    <w:p w14:paraId="78A9DE54">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奉节县噪声敏感建筑物</w:t>
      </w:r>
    </w:p>
    <w:p w14:paraId="60915EE5">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default" w:ascii="Times New Roman" w:hAnsi="Times New Roman" w:eastAsia="方正仿宋_GBK" w:cs="Times New Roman"/>
          <w:b w:val="0"/>
          <w:bCs/>
          <w:sz w:val="44"/>
          <w:szCs w:val="44"/>
          <w:lang w:val="en-US" w:eastAsia="zh-CN"/>
        </w:rPr>
      </w:pPr>
      <w:r>
        <w:rPr>
          <w:rFonts w:hint="default" w:ascii="Times New Roman" w:hAnsi="Times New Roman" w:eastAsia="方正小标宋_GBK" w:cs="Times New Roman"/>
          <w:sz w:val="44"/>
          <w:szCs w:val="44"/>
        </w:rPr>
        <w:t>集中区域划分</w:t>
      </w:r>
      <w:r>
        <w:rPr>
          <w:rFonts w:hint="default" w:ascii="Times New Roman" w:hAnsi="Times New Roman" w:eastAsia="方正小标宋_GBK" w:cs="Times New Roman"/>
          <w:sz w:val="44"/>
          <w:szCs w:val="44"/>
          <w:lang w:eastAsia="zh-CN"/>
        </w:rPr>
        <w:t>方案</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eastAsia="zh-CN"/>
        </w:rPr>
        <w:t>的通知</w:t>
      </w:r>
    </w:p>
    <w:p w14:paraId="051A1531">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rPr>
        <w:t>奉节</w:t>
      </w:r>
      <w:r>
        <w:rPr>
          <w:rFonts w:hint="default" w:ascii="Times New Roman" w:hAnsi="Times New Roman" w:eastAsia="方正仿宋_GBK" w:cs="Times New Roman"/>
          <w:sz w:val="32"/>
          <w:szCs w:val="32"/>
          <w:lang w:eastAsia="zh-CN"/>
        </w:rPr>
        <w:t>环</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号</w:t>
      </w:r>
    </w:p>
    <w:p w14:paraId="16DAA614">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方正楷体_GBK" w:cs="Times New Roman"/>
          <w:b w:val="0"/>
          <w:bCs/>
          <w:sz w:val="32"/>
          <w:szCs w:val="32"/>
          <w:lang w:val="en-US" w:eastAsia="zh-CN"/>
        </w:rPr>
      </w:pPr>
    </w:p>
    <w:p w14:paraId="77A3186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0"/>
        <w:rPr>
          <w:rFonts w:hint="eastAsia" w:ascii="方正仿宋_GBK" w:hAnsi="方正仿宋_GBK" w:eastAsia="方正仿宋_GBK" w:cs="方正仿宋_GBK"/>
          <w:sz w:val="32"/>
          <w:szCs w:val="32"/>
        </w:rPr>
      </w:pPr>
      <w:bookmarkStart w:id="0" w:name="zsdw"/>
      <w:r>
        <w:rPr>
          <w:rFonts w:hint="eastAsia" w:ascii="方正仿宋_GBK" w:hAnsi="方正仿宋_GBK" w:eastAsia="方正仿宋_GBK" w:cs="方正仿宋_GBK"/>
          <w:sz w:val="32"/>
          <w:szCs w:val="32"/>
        </w:rPr>
        <w:t>各乡镇人民政府</w:t>
      </w:r>
      <w:bookmarkEnd w:id="0"/>
      <w:r>
        <w:rPr>
          <w:rFonts w:hint="eastAsia" w:ascii="方正仿宋_GBK" w:hAnsi="方正仿宋_GBK" w:eastAsia="方正仿宋_GBK" w:cs="方正仿宋_GBK"/>
          <w:sz w:val="32"/>
          <w:szCs w:val="32"/>
        </w:rPr>
        <w:t>、街道办事处，县政府有关部门，有关单位：</w:t>
      </w:r>
    </w:p>
    <w:p w14:paraId="3B30EBC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val="0"/>
          <w:bCs/>
          <w:sz w:val="32"/>
          <w:szCs w:val="32"/>
          <w:lang w:eastAsia="zh-CN"/>
        </w:rPr>
        <w:t>奉节县噪声敏感建筑物集中区域划分方案</w:t>
      </w:r>
      <w:r>
        <w:rPr>
          <w:rFonts w:hint="eastAsia" w:ascii="方正仿宋_GBK" w:hAnsi="方正仿宋_GBK" w:eastAsia="方正仿宋_GBK" w:cs="方正仿宋_GBK"/>
          <w:sz w:val="32"/>
          <w:szCs w:val="32"/>
        </w:rPr>
        <w:t>》已经县政府同意，现印发给你们，请认真贯彻执行。</w:t>
      </w:r>
    </w:p>
    <w:p w14:paraId="673E7A4B">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方正仿宋_GBK" w:hAnsi="方正仿宋_GBK" w:eastAsia="方正仿宋_GBK" w:cs="方正仿宋_GBK"/>
          <w:sz w:val="32"/>
          <w:szCs w:val="32"/>
        </w:rPr>
      </w:pPr>
    </w:p>
    <w:p w14:paraId="11011D5A">
      <w:pPr>
        <w:keepNext w:val="0"/>
        <w:keepLines w:val="0"/>
        <w:pageBreakBefore w:val="0"/>
        <w:widowControl w:val="0"/>
        <w:tabs>
          <w:tab w:val="left" w:pos="7680"/>
        </w:tabs>
        <w:kinsoku/>
        <w:wordWrap/>
        <w:overflowPunct/>
        <w:topLinePunct w:val="0"/>
        <w:autoSpaceDE/>
        <w:autoSpaceDN/>
        <w:bidi w:val="0"/>
        <w:adjustRightInd/>
        <w:snapToGrid/>
        <w:spacing w:line="600" w:lineRule="exact"/>
        <w:ind w:left="0" w:leftChars="0"/>
        <w:jc w:val="right"/>
        <w:textAlignment w:val="auto"/>
        <w:rPr>
          <w:rFonts w:hint="eastAsia" w:ascii="方正仿宋_GBK" w:hAnsi="方正仿宋_GBK" w:eastAsia="方正仿宋_GBK" w:cs="方正仿宋_GBK"/>
          <w:sz w:val="32"/>
          <w:szCs w:val="32"/>
        </w:rPr>
      </w:pPr>
    </w:p>
    <w:p w14:paraId="65C8B2DA">
      <w:pPr>
        <w:keepNext w:val="0"/>
        <w:keepLines w:val="0"/>
        <w:pageBreakBefore w:val="0"/>
        <w:widowControl w:val="0"/>
        <w:tabs>
          <w:tab w:val="left" w:pos="7680"/>
        </w:tabs>
        <w:kinsoku/>
        <w:wordWrap/>
        <w:overflowPunct/>
        <w:topLinePunct w:val="0"/>
        <w:autoSpaceDE/>
        <w:autoSpaceDN/>
        <w:bidi w:val="0"/>
        <w:adjustRightInd/>
        <w:snapToGrid/>
        <w:spacing w:line="600" w:lineRule="exact"/>
        <w:ind w:left="0" w:leftChars="0" w:right="1165" w:rightChars="364"/>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奉节县</w:t>
      </w:r>
      <w:r>
        <w:rPr>
          <w:rFonts w:hint="eastAsia" w:ascii="方正仿宋_GBK" w:hAnsi="方正仿宋_GBK" w:eastAsia="方正仿宋_GBK" w:cs="方正仿宋_GBK"/>
          <w:sz w:val="32"/>
          <w:szCs w:val="32"/>
          <w:lang w:eastAsia="zh-CN"/>
        </w:rPr>
        <w:t>生态环境局</w:t>
      </w:r>
    </w:p>
    <w:p w14:paraId="10968626">
      <w:pPr>
        <w:keepNext w:val="0"/>
        <w:keepLines w:val="0"/>
        <w:pageBreakBefore w:val="0"/>
        <w:widowControl w:val="0"/>
        <w:kinsoku/>
        <w:wordWrap/>
        <w:overflowPunct/>
        <w:topLinePunct w:val="0"/>
        <w:autoSpaceDE/>
        <w:autoSpaceDN/>
        <w:bidi w:val="0"/>
        <w:adjustRightInd/>
        <w:snapToGrid/>
        <w:spacing w:line="600" w:lineRule="exact"/>
        <w:ind w:left="0" w:leftChars="0" w:right="1165" w:rightChars="364"/>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日</w:t>
      </w:r>
    </w:p>
    <w:p w14:paraId="793386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6D7C392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20ACBE2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5763E0C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1E1DA29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2B89540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32FC0AA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6BA2B0B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奉节县噪声敏感建筑物集中区域划分方案</w:t>
      </w:r>
    </w:p>
    <w:p w14:paraId="0C1D24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rPr>
      </w:pPr>
    </w:p>
    <w:p w14:paraId="68BFF8F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为贯彻落实《中华人民共和国噪声污染防治法》</w:t>
      </w:r>
      <w:bookmarkStart w:id="1" w:name="_Hlk176792237"/>
      <w:r>
        <w:rPr>
          <w:rFonts w:hint="default" w:ascii="Times New Roman" w:hAnsi="Times New Roman" w:eastAsia="方正仿宋_GBK" w:cs="Times New Roman"/>
          <w:color w:val="000000"/>
          <w:sz w:val="32"/>
          <w:szCs w:val="32"/>
        </w:rPr>
        <w:t>《</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rPr>
        <w:t>噪声污染防治行动计划》</w:t>
      </w:r>
      <w:r>
        <w:rPr>
          <w:rFonts w:hint="default" w:ascii="Times New Roman" w:hAnsi="Times New Roman" w:eastAsia="方正仿宋_GBK" w:cs="Times New Roman"/>
          <w:sz w:val="32"/>
        </w:rPr>
        <w:t>《重庆市噪声污染防治办法》</w:t>
      </w:r>
      <w:bookmarkEnd w:id="1"/>
      <w:r>
        <w:rPr>
          <w:rFonts w:hint="default" w:ascii="Times New Roman" w:hAnsi="Times New Roman" w:eastAsia="方正仿宋_GBK" w:cs="Times New Roman"/>
          <w:color w:val="000000"/>
          <w:sz w:val="32"/>
          <w:szCs w:val="32"/>
        </w:rPr>
        <w:t>，提高噪声污染防治措施的可操作性，改善城市声环境质量，进一步保障居民生活、学习和工作等场所的安静，根据</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声环境管理工作实际，制定本方案。</w:t>
      </w:r>
    </w:p>
    <w:p w14:paraId="05D6117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bookmarkStart w:id="2" w:name="_Toc1515"/>
      <w:r>
        <w:rPr>
          <w:rFonts w:hint="default" w:ascii="Times New Roman" w:hAnsi="Times New Roman" w:eastAsia="方正黑体_GBK" w:cs="Times New Roman"/>
          <w:color w:val="000000"/>
          <w:sz w:val="32"/>
          <w:szCs w:val="32"/>
        </w:rPr>
        <w:t>一、</w:t>
      </w:r>
      <w:bookmarkEnd w:id="2"/>
      <w:r>
        <w:rPr>
          <w:rFonts w:hint="default" w:ascii="Times New Roman" w:hAnsi="Times New Roman" w:eastAsia="方正黑体_GBK" w:cs="Times New Roman"/>
          <w:color w:val="000000"/>
          <w:sz w:val="32"/>
          <w:szCs w:val="32"/>
        </w:rPr>
        <w:t>总则</w:t>
      </w:r>
    </w:p>
    <w:p w14:paraId="06953B2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bookmarkStart w:id="3" w:name="_Toc7364"/>
      <w:r>
        <w:rPr>
          <w:rFonts w:hint="default" w:ascii="Times New Roman" w:hAnsi="Times New Roman" w:eastAsia="方正楷体_GBK" w:cs="Times New Roman"/>
          <w:color w:val="000000"/>
          <w:sz w:val="32"/>
          <w:szCs w:val="32"/>
        </w:rPr>
        <w:t>（一）</w:t>
      </w:r>
      <w:bookmarkEnd w:id="3"/>
      <w:r>
        <w:rPr>
          <w:rFonts w:hint="default" w:ascii="Times New Roman" w:hAnsi="Times New Roman" w:eastAsia="方正楷体_GBK" w:cs="Times New Roman"/>
          <w:color w:val="000000"/>
          <w:sz w:val="32"/>
          <w:szCs w:val="32"/>
        </w:rPr>
        <w:t>指导思想</w:t>
      </w:r>
    </w:p>
    <w:p w14:paraId="49A8DCA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全面贯彻党的二十大精神，深入贯彻习近平生态文明思想，坚持以人民为中心的发展思想，立足新发展阶段，完整、准确、全面贯彻新发展理念，构建新发展格局，突出精准治污、科学治污、依法治污，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打好技术基础、补齐领域短板、强化机制弱项、紧抓责任落实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为着力点，加快解决人民群众关心的噪声污染问题，持续推进声环境质量改善，努力建设宁静舒适的城市环境，不断提升人民群众生态环境获得感、幸福感、安全感。</w:t>
      </w:r>
    </w:p>
    <w:p w14:paraId="22374BE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bookmarkStart w:id="4" w:name="_Toc29559"/>
      <w:bookmarkStart w:id="5" w:name="_Toc8288"/>
      <w:r>
        <w:rPr>
          <w:rFonts w:hint="default" w:ascii="Times New Roman" w:hAnsi="Times New Roman" w:eastAsia="方正楷体_GBK" w:cs="Times New Roman"/>
          <w:color w:val="000000"/>
          <w:sz w:val="32"/>
          <w:szCs w:val="32"/>
        </w:rPr>
        <w:t>（二）</w:t>
      </w:r>
      <w:bookmarkEnd w:id="4"/>
      <w:r>
        <w:rPr>
          <w:rFonts w:hint="default" w:ascii="Times New Roman" w:hAnsi="Times New Roman" w:eastAsia="方正楷体_GBK" w:cs="Times New Roman"/>
          <w:color w:val="000000"/>
          <w:sz w:val="32"/>
          <w:szCs w:val="32"/>
        </w:rPr>
        <w:t>基本原则</w:t>
      </w:r>
      <w:bookmarkEnd w:id="5"/>
    </w:p>
    <w:p w14:paraId="5C637E1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bookmarkStart w:id="6" w:name="_Toc22110"/>
      <w:bookmarkStart w:id="7" w:name="_Toc23169"/>
      <w:bookmarkStart w:id="8" w:name="_Toc30158"/>
      <w:r>
        <w:rPr>
          <w:rFonts w:hint="eastAsia" w:ascii="方正仿宋_GBK" w:hAnsi="方正仿宋_GBK" w:eastAsia="方正仿宋_GBK" w:cs="方正仿宋_GBK"/>
          <w:color w:val="000000"/>
          <w:sz w:val="32"/>
          <w:szCs w:val="32"/>
        </w:rPr>
        <w:t>坚持依法划分。</w:t>
      </w:r>
      <w:r>
        <w:rPr>
          <w:rFonts w:hint="default" w:ascii="Times New Roman" w:hAnsi="Times New Roman" w:eastAsia="方正仿宋_GBK" w:cs="Times New Roman"/>
          <w:color w:val="000000"/>
          <w:sz w:val="32"/>
          <w:szCs w:val="32"/>
        </w:rPr>
        <w:t>根据国家和重庆市相关法律法规、规章、技术标准科学划分噪声敏感建筑物集中区域，以城市实际建设情况为基础，结合国土空间规划和实际土地利用类型进行划定，切实维护噪声敏感建筑物集中区域划分的严肃性。</w:t>
      </w:r>
    </w:p>
    <w:p w14:paraId="27E622F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坚持以人为本。</w:t>
      </w:r>
      <w:r>
        <w:rPr>
          <w:rFonts w:hint="default" w:ascii="Times New Roman" w:hAnsi="Times New Roman" w:eastAsia="方正仿宋_GBK" w:cs="Times New Roman"/>
          <w:color w:val="000000"/>
          <w:sz w:val="32"/>
          <w:szCs w:val="32"/>
        </w:rPr>
        <w:t>顺应人民群众对宁静宜居生活的向往，加强对噪声敏感人群和以居民住宅、医疗卫生、文化教育、科研设计、行政办公为主要功能的噪声敏感建筑物及其集中区域的保护，提高城市宜居生活水平。</w:t>
      </w:r>
    </w:p>
    <w:p w14:paraId="4795E42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坚持统筹兼顾。</w:t>
      </w:r>
      <w:r>
        <w:rPr>
          <w:rFonts w:hint="default" w:ascii="Times New Roman" w:hAnsi="Times New Roman" w:eastAsia="方正仿宋_GBK" w:cs="Times New Roman"/>
          <w:color w:val="000000"/>
          <w:sz w:val="32"/>
          <w:szCs w:val="32"/>
        </w:rPr>
        <w:t>以《奉节县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声环境功能区划分调整方案》为基础，充分衔接奉节县国土空间规划，综合考虑噪声敏感建筑物占地面积、噪声污染影响范围和程度、周边噪声敏感建筑物对声环境质量的改善需求，因地制宜、统筹兼顾，合理划定噪声敏感建筑物集中区域。</w:t>
      </w:r>
    </w:p>
    <w:p w14:paraId="122AA57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eastAsia" w:ascii="方正仿宋_GBK" w:hAnsi="方正仿宋_GBK" w:eastAsia="方正仿宋_GBK" w:cs="方正仿宋_GBK"/>
          <w:color w:val="000000"/>
          <w:spacing w:val="0"/>
          <w:sz w:val="32"/>
          <w:szCs w:val="32"/>
        </w:rPr>
        <w:t>坚持务实管用。</w:t>
      </w:r>
      <w:r>
        <w:rPr>
          <w:rFonts w:hint="default" w:ascii="Times New Roman" w:hAnsi="Times New Roman" w:eastAsia="方正仿宋_GBK" w:cs="Times New Roman"/>
          <w:color w:val="000000"/>
          <w:spacing w:val="0"/>
          <w:sz w:val="32"/>
          <w:szCs w:val="32"/>
        </w:rPr>
        <w:t>明确噪声敏感建筑物集中区域地理边界、坐标，将噪声敏感建筑物集中区域落地、上图、入库，力求</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划得实，管得住</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，使噪声敏感建筑物集中区域划分成为环境噪声监管、噪声污染防治的重要参考，切实增强保护实效。</w:t>
      </w:r>
    </w:p>
    <w:p w14:paraId="47E0B78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（三）划分依据</w:t>
      </w:r>
      <w:bookmarkEnd w:id="6"/>
      <w:bookmarkEnd w:id="7"/>
      <w:bookmarkEnd w:id="8"/>
    </w:p>
    <w:p w14:paraId="0B2851B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bookmarkStart w:id="9" w:name="_Toc17645"/>
      <w:r>
        <w:rPr>
          <w:rFonts w:hint="default" w:ascii="Times New Roman" w:hAnsi="Times New Roman" w:eastAsia="方正仿宋_GBK" w:cs="Times New Roman"/>
          <w:b w:val="0"/>
          <w:bCs w:val="0"/>
          <w:color w:val="000000"/>
          <w:sz w:val="32"/>
          <w:szCs w:val="32"/>
        </w:rPr>
        <w:t>1.法律法规</w:t>
      </w:r>
      <w:r>
        <w:rPr>
          <w:rFonts w:hint="default" w:ascii="Times New Roman" w:hAnsi="Times New Roman" w:eastAsia="方正仿宋_GBK" w:cs="Times New Roman"/>
          <w:b w:val="0"/>
          <w:bCs w:val="0"/>
          <w:color w:val="000000"/>
          <w:sz w:val="32"/>
          <w:szCs w:val="32"/>
          <w:lang w:eastAsia="zh-CN"/>
        </w:rPr>
        <w:t>。</w:t>
      </w:r>
    </w:p>
    <w:p w14:paraId="7963B93B">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（1）《中华人民共和国环境保护法》（2015年1月1日起施行）；</w:t>
      </w:r>
    </w:p>
    <w:p w14:paraId="3B38615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（2）《中华人民共和国噪声污染防治法》（2022年6月</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日起施行）；</w:t>
      </w:r>
    </w:p>
    <w:p w14:paraId="7A805BF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（3）《重庆市环境保护条例》（2022年9月28日修</w:t>
      </w:r>
      <w:r>
        <w:rPr>
          <w:rFonts w:hint="default" w:ascii="Times New Roman" w:hAnsi="Times New Roman" w:eastAsia="方正仿宋_GBK" w:cs="Times New Roman"/>
          <w:color w:val="000000"/>
          <w:sz w:val="32"/>
          <w:szCs w:val="32"/>
          <w:lang w:eastAsia="zh-CN"/>
        </w:rPr>
        <w:t>订</w:t>
      </w:r>
      <w:r>
        <w:rPr>
          <w:rFonts w:hint="default" w:ascii="Times New Roman" w:hAnsi="Times New Roman" w:eastAsia="方正仿宋_GBK" w:cs="Times New Roman"/>
          <w:color w:val="000000"/>
          <w:sz w:val="32"/>
          <w:szCs w:val="32"/>
        </w:rPr>
        <w:t>）；</w:t>
      </w:r>
    </w:p>
    <w:p w14:paraId="53929717">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lang w:eastAsia="zh-CN"/>
        </w:rPr>
        <w:t>（</w:t>
      </w:r>
      <w:r>
        <w:rPr>
          <w:rFonts w:hint="default" w:ascii="Times New Roman" w:hAnsi="Times New Roman" w:eastAsia="方正仿宋_GBK" w:cs="Times New Roman"/>
          <w:color w:val="000000"/>
          <w:spacing w:val="-11"/>
          <w:sz w:val="32"/>
          <w:szCs w:val="32"/>
          <w:lang w:val="en-US" w:eastAsia="zh-CN"/>
        </w:rPr>
        <w:t>4</w:t>
      </w:r>
      <w:r>
        <w:rPr>
          <w:rFonts w:hint="default" w:ascii="Times New Roman" w:hAnsi="Times New Roman" w:eastAsia="方正仿宋_GBK" w:cs="Times New Roman"/>
          <w:color w:val="000000"/>
          <w:spacing w:val="-11"/>
          <w:sz w:val="32"/>
          <w:szCs w:val="32"/>
          <w:lang w:eastAsia="zh-CN"/>
        </w:rPr>
        <w:t>）《</w:t>
      </w:r>
      <w:r>
        <w:rPr>
          <w:rFonts w:hint="default" w:ascii="Times New Roman" w:hAnsi="Times New Roman" w:eastAsia="方正仿宋_GBK" w:cs="Times New Roman"/>
          <w:color w:val="000000"/>
          <w:spacing w:val="-11"/>
          <w:sz w:val="32"/>
          <w:szCs w:val="32"/>
        </w:rPr>
        <w:t>重庆市噪声污染防治办法</w:t>
      </w:r>
      <w:r>
        <w:rPr>
          <w:rFonts w:hint="default" w:ascii="Times New Roman" w:hAnsi="Times New Roman" w:eastAsia="方正仿宋_GBK" w:cs="Times New Roman"/>
          <w:color w:val="000000"/>
          <w:spacing w:val="-11"/>
          <w:sz w:val="32"/>
          <w:szCs w:val="32"/>
          <w:lang w:eastAsia="zh-CN"/>
        </w:rPr>
        <w:t>》</w:t>
      </w:r>
      <w:r>
        <w:rPr>
          <w:rFonts w:hint="default" w:ascii="Times New Roman" w:hAnsi="Times New Roman" w:eastAsia="方正仿宋_GBK" w:cs="Times New Roman"/>
          <w:color w:val="000000"/>
          <w:spacing w:val="-11"/>
          <w:sz w:val="32"/>
          <w:szCs w:val="32"/>
        </w:rPr>
        <w:t>（2024年2月1日起施行）。</w:t>
      </w:r>
    </w:p>
    <w:p w14:paraId="3AFD933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2.相关标准</w:t>
      </w:r>
      <w:r>
        <w:rPr>
          <w:rFonts w:hint="default" w:ascii="Times New Roman" w:hAnsi="Times New Roman" w:eastAsia="方正仿宋_GBK" w:cs="Times New Roman"/>
          <w:b w:val="0"/>
          <w:bCs w:val="0"/>
          <w:color w:val="000000"/>
          <w:sz w:val="32"/>
          <w:szCs w:val="32"/>
          <w:lang w:eastAsia="zh-CN"/>
        </w:rPr>
        <w:t>。</w:t>
      </w:r>
    </w:p>
    <w:p w14:paraId="5F0B48A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（1）《声环境质量标准》（GB3096-2008）；</w:t>
      </w:r>
    </w:p>
    <w:p w14:paraId="6141040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（2）《声环境功能区划分技术规范》（GB/T15190-2014）；</w:t>
      </w:r>
    </w:p>
    <w:p w14:paraId="4479653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（3）《社会生活环境噪声排放标准》（GB22337-2008）；</w:t>
      </w:r>
    </w:p>
    <w:p w14:paraId="73FAFE88">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left"/>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（4）《建筑施工场界环境噪声排放标准》(GB12523-2011)；</w:t>
      </w:r>
    </w:p>
    <w:p w14:paraId="773B1573">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（5）《工业企业厂界环境噪声排放标准》（GB 12348</w:t>
      </w:r>
      <w:r>
        <w:rPr>
          <w:rFonts w:hint="default" w:ascii="Times New Roman" w:hAnsi="Times New Roman" w:eastAsia="方正仿宋_GBK" w:cs="Times New Roman"/>
          <w:color w:val="000000"/>
          <w:spacing w:val="-11"/>
          <w:sz w:val="32"/>
          <w:szCs w:val="32"/>
          <w:lang w:val="en-US" w:eastAsia="zh-CN"/>
        </w:rPr>
        <w:t>-</w:t>
      </w:r>
      <w:r>
        <w:rPr>
          <w:rFonts w:hint="default" w:ascii="Times New Roman" w:hAnsi="Times New Roman" w:eastAsia="方正仿宋_GBK" w:cs="Times New Roman"/>
          <w:color w:val="000000"/>
          <w:spacing w:val="-11"/>
          <w:sz w:val="32"/>
          <w:szCs w:val="32"/>
        </w:rPr>
        <w:t>2008）；</w:t>
      </w:r>
    </w:p>
    <w:p w14:paraId="4FEBE65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（6）《环境噪声监测技术规范-城市声环境常规监测》（HJ640-2012）；</w:t>
      </w:r>
    </w:p>
    <w:p w14:paraId="330AB01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（7）《环境影响评价技术导则声环境》（HJ2.4-2021）；</w:t>
      </w:r>
    </w:p>
    <w:p w14:paraId="1661A37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（8）《重庆市声环境功能区划分技术规范实施细则（试行）》（渝环﹝2015﹞429号）；</w:t>
      </w:r>
    </w:p>
    <w:p w14:paraId="4BC709F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（9）《重庆市噪声敏感建筑物集中区域划分技术规范实施细则（试行）》（渝环〔2023〕106号）；</w:t>
      </w:r>
    </w:p>
    <w:p w14:paraId="6E792BB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（10）《自然资源部关于印发〈国土空间调查、规划、用途管制用地用海分类指南〉的通知》（自然资发〔2023〕234号）。</w:t>
      </w:r>
    </w:p>
    <w:p w14:paraId="43513E1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3.其他政策文件及</w:t>
      </w:r>
      <w:r>
        <w:rPr>
          <w:rFonts w:hint="default" w:ascii="Times New Roman" w:hAnsi="Times New Roman" w:eastAsia="方正仿宋_GBK" w:cs="Times New Roman"/>
          <w:b w:val="0"/>
          <w:bCs w:val="0"/>
          <w:color w:val="000000"/>
          <w:sz w:val="32"/>
          <w:szCs w:val="32"/>
          <w:lang w:eastAsia="zh-CN"/>
        </w:rPr>
        <w:t>资料。</w:t>
      </w:r>
    </w:p>
    <w:p w14:paraId="0A32F4BD">
      <w:pPr>
        <w:keepNext w:val="0"/>
        <w:keepLines w:val="0"/>
        <w:pageBreakBefore w:val="0"/>
        <w:widowControl w:val="0"/>
        <w:kinsoku/>
        <w:wordWrap/>
        <w:overflowPunct/>
        <w:topLinePunct w:val="0"/>
        <w:autoSpaceDE/>
        <w:autoSpaceDN/>
        <w:bidi w:val="0"/>
        <w:adjustRightInd/>
        <w:snapToGrid/>
        <w:spacing w:line="600" w:lineRule="exact"/>
        <w:ind w:right="0" w:rightChars="0" w:firstLine="572" w:firstLineChars="200"/>
        <w:jc w:val="both"/>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（1）《</w:t>
      </w:r>
      <w:r>
        <w:rPr>
          <w:rFonts w:hint="eastAsia" w:ascii="Times New Roman" w:hAnsi="Times New Roman" w:eastAsia="方正仿宋_GBK" w:cs="Times New Roman"/>
          <w:color w:val="000000"/>
          <w:spacing w:val="-17"/>
          <w:sz w:val="32"/>
          <w:szCs w:val="32"/>
          <w:lang w:eastAsia="zh-CN"/>
        </w:rPr>
        <w:t>“</w:t>
      </w:r>
      <w:r>
        <w:rPr>
          <w:rFonts w:hint="default" w:ascii="Times New Roman" w:hAnsi="Times New Roman" w:eastAsia="方正仿宋_GBK" w:cs="Times New Roman"/>
          <w:color w:val="000000"/>
          <w:spacing w:val="-17"/>
          <w:sz w:val="32"/>
          <w:szCs w:val="32"/>
        </w:rPr>
        <w:t>十四五</w:t>
      </w:r>
      <w:r>
        <w:rPr>
          <w:rFonts w:hint="eastAsia" w:ascii="Times New Roman" w:hAnsi="Times New Roman" w:eastAsia="方正仿宋_GBK" w:cs="Times New Roman"/>
          <w:color w:val="000000"/>
          <w:spacing w:val="-17"/>
          <w:sz w:val="32"/>
          <w:szCs w:val="32"/>
          <w:lang w:eastAsia="zh-CN"/>
        </w:rPr>
        <w:t>”</w:t>
      </w:r>
      <w:r>
        <w:rPr>
          <w:rFonts w:hint="default" w:ascii="Times New Roman" w:hAnsi="Times New Roman" w:eastAsia="方正仿宋_GBK" w:cs="Times New Roman"/>
          <w:color w:val="000000"/>
          <w:spacing w:val="-17"/>
          <w:sz w:val="32"/>
          <w:szCs w:val="32"/>
        </w:rPr>
        <w:t>噪声污染防治行动计划》（环大气〔2023〕1号）；</w:t>
      </w:r>
    </w:p>
    <w:p w14:paraId="0FC6888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（2）《重庆市生态环境保护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规划（2021—2025年）》（渝府发〔2022〕11号）；</w:t>
      </w:r>
    </w:p>
    <w:p w14:paraId="48A8B3F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（3）《重庆市噪声污染防治实施方案（2024—2025年）》（渝环〔2024〕24号）</w:t>
      </w:r>
      <w:r>
        <w:rPr>
          <w:rFonts w:hint="default" w:ascii="Times New Roman" w:hAnsi="Times New Roman" w:eastAsia="方正仿宋_GBK" w:cs="Times New Roman"/>
          <w:color w:val="000000"/>
          <w:sz w:val="32"/>
          <w:szCs w:val="32"/>
          <w:lang w:eastAsia="zh-CN"/>
        </w:rPr>
        <w:t>。</w:t>
      </w:r>
    </w:p>
    <w:p w14:paraId="7D20418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（四）适用范围</w:t>
      </w:r>
      <w:bookmarkEnd w:id="9"/>
    </w:p>
    <w:p w14:paraId="2196821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bookmarkStart w:id="10" w:name="_Hlk176536170"/>
      <w:r>
        <w:rPr>
          <w:rFonts w:hint="default" w:ascii="Times New Roman" w:hAnsi="Times New Roman" w:eastAsia="方正仿宋_GBK" w:cs="Times New Roman"/>
          <w:color w:val="000000"/>
          <w:sz w:val="32"/>
          <w:szCs w:val="32"/>
        </w:rPr>
        <w:t>适用范围：</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建成区范围，主要涉及永安街道、鱼复街道、夔门街道、夔州街道和朱衣镇、白帝镇、草堂镇、永乐镇、康乐镇等9个</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rPr>
        <w:t>街道。</w:t>
      </w:r>
      <w:bookmarkEnd w:id="10"/>
    </w:p>
    <w:p w14:paraId="7A1F6B9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bookmarkStart w:id="11" w:name="_Toc17456"/>
      <w:r>
        <w:rPr>
          <w:rFonts w:hint="default" w:ascii="Times New Roman" w:hAnsi="Times New Roman" w:eastAsia="方正黑体_GBK" w:cs="Times New Roman"/>
          <w:color w:val="000000"/>
          <w:sz w:val="32"/>
          <w:szCs w:val="32"/>
        </w:rPr>
        <w:t>二、</w:t>
      </w:r>
      <w:bookmarkEnd w:id="11"/>
      <w:r>
        <w:rPr>
          <w:rFonts w:hint="default" w:ascii="Times New Roman" w:hAnsi="Times New Roman" w:eastAsia="方正黑体_GBK" w:cs="Times New Roman"/>
          <w:color w:val="000000"/>
          <w:sz w:val="32"/>
          <w:szCs w:val="32"/>
        </w:rPr>
        <w:t>划分方法</w:t>
      </w:r>
    </w:p>
    <w:p w14:paraId="5832BDF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bookmarkStart w:id="12" w:name="_Toc12287"/>
      <w:bookmarkStart w:id="13" w:name="_Toc25283"/>
      <w:r>
        <w:rPr>
          <w:rFonts w:hint="default" w:ascii="Times New Roman" w:hAnsi="Times New Roman" w:eastAsia="方正楷体_GBK" w:cs="Times New Roman"/>
          <w:color w:val="000000"/>
          <w:sz w:val="32"/>
          <w:szCs w:val="32"/>
        </w:rPr>
        <w:t>（一）</w:t>
      </w:r>
      <w:bookmarkEnd w:id="12"/>
      <w:bookmarkEnd w:id="13"/>
      <w:r>
        <w:rPr>
          <w:rFonts w:hint="default" w:ascii="Times New Roman" w:hAnsi="Times New Roman" w:eastAsia="方正楷体_GBK" w:cs="Times New Roman"/>
          <w:color w:val="000000"/>
          <w:sz w:val="32"/>
          <w:szCs w:val="32"/>
        </w:rPr>
        <w:t>基本术语</w:t>
      </w:r>
    </w:p>
    <w:p w14:paraId="5E1152D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（1）噪声敏感建筑物：指用于居住、科学研究、医疗卫生、文化教育、机关团体办公、社会福利等需要保持安静的建筑物。</w:t>
      </w:r>
    </w:p>
    <w:p w14:paraId="067ACC3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（2）噪声敏感建筑物集中区域：以用于居住、科学研究、医疗卫生、文化教育、机关团体办公、社会福利等需要保持安静的建筑物为主的区域。</w:t>
      </w:r>
    </w:p>
    <w:p w14:paraId="2416A21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根据管理需要，可以将受建筑施工噪声影响较大的噪声敏感建筑物集中区域边界线外一定距离内的区域划定为噪声敏感建筑物临时扩展区，按照噪声敏感建筑物集中区域管理。</w:t>
      </w:r>
    </w:p>
    <w:p w14:paraId="291E33D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（二）划分步骤</w:t>
      </w:r>
    </w:p>
    <w:p w14:paraId="16D15F2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（1）资料收集。收集</w:t>
      </w:r>
      <w:r>
        <w:rPr>
          <w:rFonts w:hint="default" w:ascii="Times New Roman" w:hAnsi="Times New Roman" w:eastAsia="方正仿宋_GBK" w:cs="Times New Roman"/>
          <w:sz w:val="32"/>
        </w:rPr>
        <w:t>城市区域用地现状统计资料、城市区域用地现状图、</w:t>
      </w:r>
      <w:r>
        <w:rPr>
          <w:rFonts w:hint="default" w:ascii="Times New Roman" w:hAnsi="Times New Roman" w:eastAsia="方正仿宋_GBK" w:cs="Times New Roman"/>
          <w:color w:val="000000"/>
          <w:sz w:val="32"/>
          <w:szCs w:val="32"/>
        </w:rPr>
        <w:t>国土空间规划、城市总体规划、现行声环境功能区划分成果、声环境监测、噪声环境投诉等相关基础资料。</w:t>
      </w:r>
    </w:p>
    <w:p w14:paraId="1BACCE3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资料分析。对基础资料进行整理和分析，以城市实际建成情况现状为基础，结合国土空间规划土地利用类型，结合现行声环境功能区划分成果、噪声环境投诉情况和环境噪声管理要求，初步识别噪声敏感建筑物集中区域，初步建立</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噪声敏感建筑物集中区域空间数据库，绘制噪声敏感建筑物集中区域划分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一张图</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14:paraId="6F7B2A3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（3）方案编制。</w:t>
      </w:r>
      <w:r>
        <w:rPr>
          <w:rFonts w:hint="default" w:ascii="Times New Roman" w:hAnsi="Times New Roman" w:eastAsia="方正仿宋_GBK" w:cs="Times New Roman"/>
          <w:sz w:val="32"/>
        </w:rPr>
        <w:t>综合考虑噪声敏感建筑物占地面积、噪声污染影响范围和程度、周边噪声敏感建筑物对声环境质量的改善需求等因素，因地制宜划定。</w:t>
      </w:r>
      <w:r>
        <w:rPr>
          <w:rFonts w:hint="default" w:ascii="Times New Roman" w:hAnsi="Times New Roman" w:eastAsia="方正仿宋_GBK" w:cs="Times New Roman"/>
          <w:color w:val="000000"/>
          <w:sz w:val="32"/>
          <w:szCs w:val="32"/>
        </w:rPr>
        <w:t>依据技术规范，结合噪声敏感建筑物集中区域空间数据库，编制</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噪声敏感建筑物集中区域划分方案。</w:t>
      </w:r>
    </w:p>
    <w:p w14:paraId="44B94C7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（4）修改完善。修改完善噪声敏感建筑物集中区域划分方案，编制噪声敏感建筑物集中区域划分技术报告，并广泛征求部门、镇街、</w:t>
      </w:r>
      <w:r>
        <w:rPr>
          <w:rFonts w:hint="default" w:ascii="Times New Roman" w:hAnsi="Times New Roman" w:eastAsia="方正仿宋_GBK" w:cs="Times New Roman"/>
          <w:color w:val="000000"/>
          <w:sz w:val="32"/>
          <w:szCs w:val="32"/>
          <w:lang w:eastAsia="zh-CN"/>
        </w:rPr>
        <w:t>社会</w:t>
      </w:r>
      <w:r>
        <w:rPr>
          <w:rFonts w:hint="default" w:ascii="Times New Roman" w:hAnsi="Times New Roman" w:eastAsia="方正仿宋_GBK" w:cs="Times New Roman"/>
          <w:color w:val="000000"/>
          <w:sz w:val="32"/>
          <w:szCs w:val="32"/>
        </w:rPr>
        <w:t>公众的意见，依据其反馈意见进一步完善划分成果，形成专家评审稿。</w:t>
      </w:r>
    </w:p>
    <w:p w14:paraId="404F246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（5）方案审议与备案。按照市生态环境局相关要求，提交</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噪声敏感建筑物集中区域划分方案、矢量成果数据、相关附件。由</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生态环境局组织专家评审，报</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人民政府审批、公布实施，并送市生态环境局备案。</w:t>
      </w:r>
    </w:p>
    <w:p w14:paraId="610E559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bookmarkStart w:id="14" w:name="_Toc55"/>
      <w:bookmarkStart w:id="15" w:name="_Toc26813"/>
      <w:r>
        <w:rPr>
          <w:rFonts w:hint="default" w:ascii="Times New Roman" w:hAnsi="Times New Roman" w:eastAsia="方正楷体_GBK" w:cs="Times New Roman"/>
          <w:color w:val="000000"/>
          <w:sz w:val="32"/>
          <w:szCs w:val="32"/>
        </w:rPr>
        <w:t>（三）</w:t>
      </w:r>
      <w:bookmarkEnd w:id="14"/>
      <w:bookmarkEnd w:id="15"/>
      <w:r>
        <w:rPr>
          <w:rFonts w:hint="default" w:ascii="Times New Roman" w:hAnsi="Times New Roman" w:eastAsia="方正楷体_GBK" w:cs="Times New Roman"/>
          <w:color w:val="000000"/>
          <w:sz w:val="32"/>
          <w:szCs w:val="32"/>
        </w:rPr>
        <w:t>划分原则</w:t>
      </w:r>
    </w:p>
    <w:p w14:paraId="5880031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1.与声环境功能区有效衔接</w:t>
      </w:r>
      <w:r>
        <w:rPr>
          <w:rFonts w:hint="default" w:ascii="Times New Roman" w:hAnsi="Times New Roman" w:eastAsia="方正仿宋_GBK" w:cs="Times New Roman"/>
          <w:color w:val="000000"/>
          <w:sz w:val="32"/>
          <w:szCs w:val="32"/>
          <w:lang w:eastAsia="zh-CN"/>
        </w:rPr>
        <w:t>。</w:t>
      </w:r>
    </w:p>
    <w:p w14:paraId="2ABFE39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0类和1类声环境功能区范围整体划定为噪声敏感建筑物集中区域。</w:t>
      </w:r>
    </w:p>
    <w:p w14:paraId="215C606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2.以城市建设现状为基础</w:t>
      </w:r>
      <w:r>
        <w:rPr>
          <w:rFonts w:hint="default" w:ascii="Times New Roman" w:hAnsi="Times New Roman" w:eastAsia="方正仿宋_GBK" w:cs="Times New Roman"/>
          <w:color w:val="000000"/>
          <w:sz w:val="32"/>
          <w:szCs w:val="32"/>
          <w:lang w:eastAsia="zh-CN"/>
        </w:rPr>
        <w:t>。</w:t>
      </w:r>
    </w:p>
    <w:p w14:paraId="0A44564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以城市实际建成情况现状为基础，结合国土空间规划土地利用类型进行划定。</w:t>
      </w:r>
    </w:p>
    <w:p w14:paraId="032AB47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3.以适应改善声环境质量的需求为主要依据</w:t>
      </w:r>
      <w:r>
        <w:rPr>
          <w:rFonts w:hint="default" w:ascii="Times New Roman" w:hAnsi="Times New Roman" w:eastAsia="方正仿宋_GBK" w:cs="Times New Roman"/>
          <w:color w:val="000000"/>
          <w:sz w:val="32"/>
          <w:szCs w:val="32"/>
          <w:lang w:eastAsia="zh-CN"/>
        </w:rPr>
        <w:t>。</w:t>
      </w:r>
    </w:p>
    <w:p w14:paraId="1875C68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综合考虑噪声敏感建筑物占地面积、噪声污染影响范围和程度、周边噪声敏感建筑物对声环境质量的改善需求等因素，因地制宜划定。</w:t>
      </w:r>
    </w:p>
    <w:p w14:paraId="44F1E1D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（四）划分技术要求</w:t>
      </w:r>
    </w:p>
    <w:p w14:paraId="494578E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1.噪声敏感建筑物集中区域划定</w:t>
      </w:r>
      <w:r>
        <w:rPr>
          <w:rFonts w:hint="default" w:ascii="Times New Roman" w:hAnsi="Times New Roman" w:eastAsia="方正仿宋_GBK" w:cs="Times New Roman"/>
          <w:color w:val="000000"/>
          <w:sz w:val="32"/>
          <w:szCs w:val="32"/>
          <w:lang w:eastAsia="zh-CN"/>
        </w:rPr>
        <w:t>。</w:t>
      </w:r>
    </w:p>
    <w:p w14:paraId="143ADEAE">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原则上，噪声敏感建筑物集中区域划定时应同时满足以下要求：</w:t>
      </w:r>
    </w:p>
    <w:p w14:paraId="23BE3F9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于2类、3类、4类声环境功能区和机场周围区域范围内用地，剔除商业金融、集市贸易、工业生产、仓储物流、公用设施、交通设施等用地，以及一定规模的湖库、公园、绿地、空地等以外的其余区域划定为噪声敏感建筑物集中区域。</w:t>
      </w:r>
    </w:p>
    <w:p w14:paraId="0D943C4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把多个类型相同且相邻的区域划定为一个噪声敏感建筑物集中区域。充分利用行政边界、交通干线（次干线及以上级别）、公园绿地、河流湖泊、自然地形等作为边界。</w:t>
      </w:r>
    </w:p>
    <w:p w14:paraId="4395D13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单块噪声敏感建筑物集中区域面积原则上不小于0.1平方公里，实际划分中可根据实际地形特征或人口密度确定适宜的区域面积。</w:t>
      </w:r>
    </w:p>
    <w:p w14:paraId="1A5F890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2.噪声敏感建筑物临时扩展区的划定</w:t>
      </w:r>
      <w:r>
        <w:rPr>
          <w:rFonts w:hint="default" w:ascii="Times New Roman" w:hAnsi="Times New Roman" w:eastAsia="方正仿宋_GBK" w:cs="Times New Roman"/>
          <w:color w:val="000000"/>
          <w:sz w:val="32"/>
          <w:szCs w:val="32"/>
          <w:lang w:eastAsia="zh-CN"/>
        </w:rPr>
        <w:t>。</w:t>
      </w:r>
    </w:p>
    <w:p w14:paraId="698348F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噪声敏感建筑物集中区域周边直线200米范围内，或根据实际情况进行优化确定的范围内，如存在一定规模的建筑施工工地，则该范围自动划为噪声敏感建筑物临时扩展区，并按照噪声敏感建筑物集中区有关要求进行管理。若建筑施工工地采用有效降低噪声的施工工艺、设备等措施，或建筑施工工地完成施工，噪声敏感建筑物不再受建筑施工噪声影响，噪声敏感建筑物临时扩展区自动取消。</w:t>
      </w:r>
    </w:p>
    <w:p w14:paraId="36493F6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bookmarkStart w:id="16" w:name="_Toc32352"/>
      <w:r>
        <w:rPr>
          <w:rFonts w:hint="default" w:ascii="Times New Roman" w:hAnsi="Times New Roman" w:eastAsia="方正黑体_GBK" w:cs="Times New Roman"/>
          <w:color w:val="000000"/>
          <w:sz w:val="32"/>
          <w:szCs w:val="32"/>
        </w:rPr>
        <w:t>三、</w:t>
      </w:r>
      <w:bookmarkEnd w:id="16"/>
      <w:r>
        <w:rPr>
          <w:rFonts w:hint="default" w:ascii="Times New Roman" w:hAnsi="Times New Roman" w:eastAsia="方正黑体_GBK" w:cs="Times New Roman"/>
          <w:color w:val="000000"/>
          <w:sz w:val="32"/>
          <w:szCs w:val="32"/>
        </w:rPr>
        <w:t>划分结果</w:t>
      </w:r>
    </w:p>
    <w:p w14:paraId="616BC3C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（一）噪声敏感建筑物集中区域</w:t>
      </w:r>
    </w:p>
    <w:p w14:paraId="5A4D39D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本次噪声敏感建筑物集中区域划分范围为</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建成区，包含主要涉及永安街道、鱼复街道、夔门街道、夔州街道和朱衣镇、白帝镇、草堂镇、永乐镇、康乐镇等9个</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rPr>
        <w:t>街道。本次</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共划定噪声敏感建筑物集中区域21个，面积共计7.02km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，占奉节县声环境功能区划定面积的23.84%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详见附</w:t>
      </w:r>
      <w:r>
        <w:rPr>
          <w:rFonts w:hint="default" w:ascii="Times New Roman" w:hAnsi="Times New Roman" w:eastAsia="方正仿宋_GBK" w:cs="Times New Roman"/>
          <w:color w:val="000000"/>
          <w:sz w:val="32"/>
          <w:szCs w:val="32"/>
          <w:lang w:eastAsia="zh-CN"/>
        </w:rPr>
        <w:t>件</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与附</w:t>
      </w:r>
      <w:r>
        <w:rPr>
          <w:rFonts w:hint="default" w:ascii="Times New Roman" w:hAnsi="Times New Roman" w:eastAsia="方正仿宋_GBK" w:cs="Times New Roman"/>
          <w:color w:val="000000"/>
          <w:sz w:val="32"/>
          <w:szCs w:val="32"/>
          <w:lang w:eastAsia="zh-CN"/>
        </w:rPr>
        <w:t>件</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14:paraId="79E37D7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（二）噪声敏感建筑物临时拓展区</w:t>
      </w:r>
    </w:p>
    <w:p w14:paraId="129FA79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重庆市噪声敏感建筑物集中区域划分技术规范实施细则（试行）》，噪声敏感建筑物集中区域周边直线200米范围内，或根据实际情况进行优化确定的范围内，如存在一定规模的建筑施工工地，则该范围自动划为噪声敏感建筑物临时扩展区。根据各</w:t>
      </w:r>
      <w:r>
        <w:rPr>
          <w:rFonts w:hint="default" w:ascii="Times New Roman" w:hAnsi="Times New Roman" w:eastAsia="方正仿宋_GBK" w:cs="Times New Roman"/>
          <w:color w:val="000000"/>
          <w:sz w:val="32"/>
          <w:szCs w:val="32"/>
          <w:lang w:val="en-US" w:eastAsia="zh-CN"/>
        </w:rPr>
        <w:t>部门街道</w:t>
      </w:r>
      <w:r>
        <w:rPr>
          <w:rFonts w:hint="default" w:ascii="Times New Roman" w:hAnsi="Times New Roman" w:eastAsia="方正仿宋_GBK" w:cs="Times New Roman"/>
          <w:color w:val="000000"/>
          <w:sz w:val="32"/>
          <w:szCs w:val="32"/>
        </w:rPr>
        <w:t>提供数据，确定噪声敏感建筑物临时扩展区清单，共计</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个噪声敏感建筑物临时扩展区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详见附</w:t>
      </w:r>
      <w:r>
        <w:rPr>
          <w:rFonts w:hint="default" w:ascii="Times New Roman" w:hAnsi="Times New Roman" w:eastAsia="方正仿宋_GBK" w:cs="Times New Roman"/>
          <w:color w:val="000000"/>
          <w:sz w:val="32"/>
          <w:szCs w:val="32"/>
          <w:lang w:eastAsia="zh-CN"/>
        </w:rPr>
        <w:t>件</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14:paraId="3894A92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bookmarkStart w:id="17" w:name="_Toc23298"/>
      <w:r>
        <w:rPr>
          <w:rFonts w:hint="default" w:ascii="Times New Roman" w:hAnsi="Times New Roman" w:eastAsia="方正黑体_GBK" w:cs="Times New Roman"/>
          <w:color w:val="000000"/>
          <w:sz w:val="32"/>
          <w:szCs w:val="32"/>
        </w:rPr>
        <w:t>四、实施、监督和管理</w:t>
      </w:r>
      <w:bookmarkEnd w:id="17"/>
    </w:p>
    <w:p w14:paraId="1739794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（一）管理规定</w:t>
      </w:r>
    </w:p>
    <w:p w14:paraId="07C312E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噪声敏感建筑物集中区域的管理按照《中华人民共和国噪声污染防治法》第十四条、第三十五条、第四十一条、第四十二条、第四十三条、第四十五条、第四十六条、第六十四条、第七十条、第七十四条、第七十七条、第七十八条、第八十二条、第八十八条的规定执行。</w:t>
      </w:r>
    </w:p>
    <w:p w14:paraId="1719BEB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2.严格修改程序，确因建筑物属性、用地性质发生实际变化，可实施动态修编，原则上不超过5年调整一次。</w:t>
      </w:r>
    </w:p>
    <w:p w14:paraId="0CEC542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（二）管理措施</w:t>
      </w:r>
    </w:p>
    <w:p w14:paraId="2163374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明确声环境保护工作职责分工，</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生态环境主管部门对全</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环境噪声污染防治实施统一监督管理，发展改革、经济信息、公安、城市管理、交通、住房城乡建设、规划和自然资源、文化旅游等管理部门在各自职责范围内对环境噪声污染防治实施监督管理。</w:t>
      </w:r>
    </w:p>
    <w:p w14:paraId="3394174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（三）加强宣传教育</w:t>
      </w:r>
    </w:p>
    <w:p w14:paraId="09D4E65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促进公众参与，加强噪声敏感建筑物集中区域噪声污染防治宣教工作。依法保障人民群众享有获取声环境信息、参与和监督噪声污染防治的权利。建立环境信息通报制度，加大噪声违法的舆论监督和曝光力度。借助新媒体、电视、电台、报刊等多种形式，持续开展噪声敏感建筑物集中区域落地应用宣传工作。不断增强公众保护声环境的意识，鼓励公众积极参与举报涉及噪声敏感建筑物集中区域声环境污染的违法事件，提高贯彻执行国家有关声环境保护法的自觉性。积极倡导推动公众和社会组织参与开展噪声污染防治相关活动，合力推动形成人人有责、人人参与、人人受益的社会共管共治氛围。</w:t>
      </w:r>
    </w:p>
    <w:p w14:paraId="2B1AC17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五、附则</w:t>
      </w:r>
    </w:p>
    <w:p w14:paraId="027DC20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（一）本方案由</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人民政府批准实施，原则上5年调整一次；严格修改程序，确因建筑物属性、用地性质发生实际变化，可实施动态修编。</w:t>
      </w:r>
    </w:p>
    <w:p w14:paraId="0588CBC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（二）本方案未尽事宜，根据有关法律法规和规章等相关规定执行。</w:t>
      </w:r>
    </w:p>
    <w:p w14:paraId="62412A7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（三）本方案自印发之日起施行。</w:t>
      </w:r>
    </w:p>
    <w:p w14:paraId="4ACD88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000000"/>
          <w:sz w:val="32"/>
          <w:szCs w:val="32"/>
        </w:rPr>
      </w:pPr>
    </w:p>
    <w:p w14:paraId="4633D6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w:t>
      </w:r>
      <w:r>
        <w:rPr>
          <w:rFonts w:hint="default" w:ascii="Times New Roman" w:hAnsi="Times New Roman" w:eastAsia="方正仿宋_GBK" w:cs="Times New Roman"/>
          <w:color w:val="000000"/>
          <w:sz w:val="32"/>
          <w:szCs w:val="32"/>
          <w:lang w:eastAsia="zh-CN"/>
        </w:rPr>
        <w:t>件：</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噪声敏感建筑物集中区域分布图</w:t>
      </w:r>
    </w:p>
    <w:p w14:paraId="215F0BBB">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噪声敏感建筑物集中区域划分结果清单</w:t>
      </w:r>
    </w:p>
    <w:p w14:paraId="400FB1AC">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噪声敏感建筑物临时扩展区结果清单</w:t>
      </w:r>
    </w:p>
    <w:p w14:paraId="268456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br w:type="page"/>
      </w:r>
    </w:p>
    <w:p w14:paraId="5995F1E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3E6E6B2C">
      <w:pPr>
        <w:keepNext w:val="0"/>
        <w:keepLines w:val="0"/>
        <w:pageBreakBefore w:val="0"/>
        <w:widowControl w:val="0"/>
        <w:kinsoku/>
        <w:wordWrap/>
        <w:overflowPunct/>
        <w:topLinePunct w:val="0"/>
        <w:autoSpaceDE/>
        <w:autoSpaceDN/>
        <w:bidi w:val="0"/>
        <w:adjustRightInd/>
        <w:snapToGrid/>
        <w:spacing w:line="576" w:lineRule="exact"/>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w:t>
      </w:r>
      <w:r>
        <w:rPr>
          <w:rFonts w:hint="default" w:ascii="Times New Roman" w:hAnsi="Times New Roman" w:eastAsia="方正黑体_GBK" w:cs="Times New Roman"/>
          <w:color w:val="000000"/>
          <w:sz w:val="32"/>
          <w:szCs w:val="32"/>
          <w:lang w:eastAsia="zh-CN"/>
        </w:rPr>
        <w:t>件</w:t>
      </w:r>
      <w:r>
        <w:rPr>
          <w:rFonts w:hint="default" w:ascii="Times New Roman" w:hAnsi="Times New Roman" w:eastAsia="方正黑体_GBK" w:cs="Times New Roman"/>
          <w:color w:val="000000"/>
          <w:sz w:val="32"/>
          <w:szCs w:val="32"/>
        </w:rPr>
        <w:t>1</w:t>
      </w:r>
    </w:p>
    <w:p w14:paraId="73F68369">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rPr>
      </w:pPr>
    </w:p>
    <w:p w14:paraId="6C4B9CEF">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噪声敏感建筑物集中区域分布图</w:t>
      </w:r>
    </w:p>
    <w:p w14:paraId="3FC97A5B">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r>
        <w:rPr>
          <w:rFonts w:hint="default" w:ascii="Times New Roman" w:hAnsi="Times New Roman" w:eastAsia="方正楷体_GBK" w:cs="Times New Roman"/>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38735</wp:posOffset>
            </wp:positionH>
            <wp:positionV relativeFrom="page">
              <wp:posOffset>2614295</wp:posOffset>
            </wp:positionV>
            <wp:extent cx="8674100" cy="3197860"/>
            <wp:effectExtent l="0" t="0" r="12700" b="2540"/>
            <wp:wrapNone/>
            <wp:docPr id="3" name="图片 58" descr="集中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8" descr="集中区"/>
                    <pic:cNvPicPr>
                      <a:picLocks noChangeAspect="1"/>
                    </pic:cNvPicPr>
                  </pic:nvPicPr>
                  <pic:blipFill>
                    <a:blip r:embed="rId10"/>
                    <a:stretch>
                      <a:fillRect/>
                    </a:stretch>
                  </pic:blipFill>
                  <pic:spPr>
                    <a:xfrm>
                      <a:off x="0" y="0"/>
                      <a:ext cx="8674100" cy="3197860"/>
                    </a:xfrm>
                    <a:prstGeom prst="rect">
                      <a:avLst/>
                    </a:prstGeom>
                    <a:noFill/>
                    <a:ln>
                      <a:noFill/>
                    </a:ln>
                  </pic:spPr>
                </pic:pic>
              </a:graphicData>
            </a:graphic>
          </wp:anchor>
        </w:drawing>
      </w:r>
    </w:p>
    <w:p w14:paraId="6120DE63">
      <w:pPr>
        <w:pStyle w:val="2"/>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cs="Times New Roman"/>
        </w:rPr>
      </w:pPr>
    </w:p>
    <w:p w14:paraId="67015E22">
      <w:pPr>
        <w:pStyle w:val="2"/>
        <w:rPr>
          <w:rFonts w:hint="default" w:ascii="Times New Roman" w:hAnsi="Times New Roman" w:cs="Times New Roman"/>
        </w:rPr>
      </w:pPr>
    </w:p>
    <w:p w14:paraId="7579775A">
      <w:pPr>
        <w:keepNext w:val="0"/>
        <w:keepLines w:val="0"/>
        <w:pageBreakBefore w:val="0"/>
        <w:kinsoku/>
        <w:wordWrap/>
        <w:overflowPunct/>
        <w:topLinePunct w:val="0"/>
        <w:bidi w:val="0"/>
        <w:adjustRightInd/>
        <w:snapToGrid/>
        <w:spacing w:line="576" w:lineRule="exact"/>
        <w:rPr>
          <w:rFonts w:hint="default" w:ascii="Times New Roman" w:hAnsi="Times New Roman" w:eastAsia="方正楷体_GBK" w:cs="Times New Roman"/>
          <w:color w:val="auto"/>
          <w:sz w:val="32"/>
          <w:szCs w:val="32"/>
          <w:highlight w:val="none"/>
          <w:lang w:eastAsia="zh-CN"/>
        </w:rPr>
        <w:sectPr>
          <w:headerReference r:id="rId5" w:type="default"/>
          <w:footerReference r:id="rId6" w:type="default"/>
          <w:pgSz w:w="16838" w:h="11906" w:orient="landscape"/>
          <w:pgMar w:top="2098" w:right="1474" w:bottom="1984" w:left="1587" w:header="851" w:footer="992" w:gutter="0"/>
          <w:pgNumType w:fmt="numberInDash" w:start="12"/>
          <w:cols w:space="720" w:num="1"/>
          <w:docGrid w:type="lines" w:linePitch="312" w:charSpace="0"/>
        </w:sectPr>
      </w:pPr>
    </w:p>
    <w:p w14:paraId="306C94D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附</w:t>
      </w:r>
      <w:r>
        <w:rPr>
          <w:rFonts w:hint="default" w:ascii="Times New Roman" w:hAnsi="Times New Roman" w:eastAsia="方正黑体_GBK" w:cs="Times New Roman"/>
          <w:color w:val="000000"/>
          <w:sz w:val="32"/>
          <w:szCs w:val="32"/>
          <w:lang w:eastAsia="zh-CN"/>
        </w:rPr>
        <w:t>件</w:t>
      </w:r>
      <w:r>
        <w:rPr>
          <w:rFonts w:hint="default" w:ascii="Times New Roman" w:hAnsi="Times New Roman" w:eastAsia="方正黑体_GBK" w:cs="Times New Roman"/>
          <w:color w:val="000000"/>
          <w:sz w:val="32"/>
          <w:szCs w:val="32"/>
          <w:lang w:val="en-US" w:eastAsia="zh-CN"/>
        </w:rPr>
        <w:t>2</w:t>
      </w:r>
    </w:p>
    <w:p w14:paraId="09717566">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14:paraId="2AC98484">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奉节县</w:t>
      </w:r>
      <w:r>
        <w:rPr>
          <w:rFonts w:hint="default" w:ascii="Times New Roman" w:hAnsi="Times New Roman" w:eastAsia="方正小标宋_GBK" w:cs="Times New Roman"/>
          <w:color w:val="000000"/>
          <w:sz w:val="44"/>
          <w:szCs w:val="44"/>
        </w:rPr>
        <w:t>噪声敏感建筑物集中区域划分结果清单</w:t>
      </w:r>
    </w:p>
    <w:p w14:paraId="12C86719">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984"/>
        <w:gridCol w:w="10125"/>
        <w:gridCol w:w="1100"/>
      </w:tblGrid>
      <w:tr w14:paraId="0D7B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blHeader/>
        </w:trPr>
        <w:tc>
          <w:tcPr>
            <w:tcW w:w="783" w:type="dxa"/>
            <w:tcBorders>
              <w:top w:val="single" w:color="000000" w:sz="8" w:space="0"/>
              <w:left w:val="single" w:color="000000" w:sz="8" w:space="0"/>
              <w:bottom w:val="single" w:color="000000" w:sz="8" w:space="0"/>
              <w:right w:val="single" w:color="000000" w:sz="8" w:space="0"/>
            </w:tcBorders>
            <w:noWrap w:val="0"/>
            <w:vAlign w:val="center"/>
          </w:tcPr>
          <w:p w14:paraId="6A587A17">
            <w:pPr>
              <w:keepNext w:val="0"/>
              <w:keepLines w:val="0"/>
              <w:pageBreakBefore w:val="0"/>
              <w:widowControl/>
              <w:suppressLineNumbers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序号</w:t>
            </w:r>
          </w:p>
        </w:tc>
        <w:tc>
          <w:tcPr>
            <w:tcW w:w="1984" w:type="dxa"/>
            <w:tcBorders>
              <w:top w:val="single" w:color="000000" w:sz="8" w:space="0"/>
              <w:left w:val="nil"/>
              <w:bottom w:val="single" w:color="000000" w:sz="8" w:space="0"/>
              <w:right w:val="single" w:color="000000" w:sz="8" w:space="0"/>
            </w:tcBorders>
            <w:noWrap w:val="0"/>
            <w:vAlign w:val="center"/>
          </w:tcPr>
          <w:p w14:paraId="043B58AE">
            <w:pPr>
              <w:keepNext w:val="0"/>
              <w:keepLines w:val="0"/>
              <w:pageBreakBefore w:val="0"/>
              <w:widowControl/>
              <w:suppressLineNumbers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编号</w:t>
            </w:r>
          </w:p>
        </w:tc>
        <w:tc>
          <w:tcPr>
            <w:tcW w:w="10125" w:type="dxa"/>
            <w:tcBorders>
              <w:top w:val="single" w:color="000000" w:sz="8" w:space="0"/>
              <w:left w:val="nil"/>
              <w:bottom w:val="single" w:color="000000" w:sz="8" w:space="0"/>
              <w:right w:val="single" w:color="000000" w:sz="8" w:space="0"/>
            </w:tcBorders>
            <w:noWrap w:val="0"/>
            <w:vAlign w:val="center"/>
          </w:tcPr>
          <w:p w14:paraId="20A9C38F">
            <w:pPr>
              <w:keepNext w:val="0"/>
              <w:keepLines w:val="0"/>
              <w:pageBreakBefore w:val="0"/>
              <w:widowControl/>
              <w:suppressLineNumbers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重点噪声敏感建筑物</w:t>
            </w:r>
          </w:p>
        </w:tc>
        <w:tc>
          <w:tcPr>
            <w:tcW w:w="1100" w:type="dxa"/>
            <w:tcBorders>
              <w:top w:val="single" w:color="000000" w:sz="8" w:space="0"/>
              <w:left w:val="nil"/>
              <w:bottom w:val="single" w:color="000000" w:sz="8" w:space="0"/>
              <w:right w:val="single" w:color="000000" w:sz="8" w:space="0"/>
            </w:tcBorders>
            <w:noWrap w:val="0"/>
            <w:vAlign w:val="center"/>
          </w:tcPr>
          <w:p w14:paraId="40D9E9E7">
            <w:pPr>
              <w:keepNext w:val="0"/>
              <w:keepLines w:val="0"/>
              <w:pageBreakBefore w:val="0"/>
              <w:widowControl/>
              <w:suppressLineNumbers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面积（ha）</w:t>
            </w:r>
          </w:p>
        </w:tc>
      </w:tr>
      <w:tr w14:paraId="109E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48CBE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D614F6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JZQ1L01-01</w:t>
            </w:r>
          </w:p>
        </w:tc>
        <w:tc>
          <w:tcPr>
            <w:tcW w:w="10125" w:type="dxa"/>
            <w:tcBorders>
              <w:top w:val="single" w:color="000000" w:sz="8" w:space="0"/>
              <w:left w:val="single" w:color="000000" w:sz="8" w:space="0"/>
              <w:bottom w:val="single" w:color="000000" w:sz="8" w:space="0"/>
              <w:right w:val="single" w:color="000000" w:sz="8" w:space="0"/>
            </w:tcBorders>
            <w:noWrap w:val="0"/>
            <w:vAlign w:val="center"/>
          </w:tcPr>
          <w:p w14:paraId="6AEFABD6">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奉节中学</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7FF82466">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22.56</w:t>
            </w:r>
          </w:p>
        </w:tc>
      </w:tr>
      <w:tr w14:paraId="31B4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09A6DF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93EFC4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JZQ1L02-01</w:t>
            </w:r>
          </w:p>
        </w:tc>
        <w:tc>
          <w:tcPr>
            <w:tcW w:w="10125" w:type="dxa"/>
            <w:tcBorders>
              <w:top w:val="nil"/>
              <w:left w:val="single" w:color="000000" w:sz="8" w:space="0"/>
              <w:bottom w:val="single" w:color="000000" w:sz="8" w:space="0"/>
              <w:right w:val="single" w:color="000000" w:sz="8" w:space="0"/>
            </w:tcBorders>
            <w:noWrap w:val="0"/>
            <w:vAlign w:val="center"/>
          </w:tcPr>
          <w:p w14:paraId="010C7F86">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奉节职业教育中心、县教委、朱衣廉租房等</w:t>
            </w:r>
          </w:p>
        </w:tc>
        <w:tc>
          <w:tcPr>
            <w:tcW w:w="1100" w:type="dxa"/>
            <w:tcBorders>
              <w:top w:val="nil"/>
              <w:left w:val="single" w:color="000000" w:sz="8" w:space="0"/>
              <w:bottom w:val="single" w:color="000000" w:sz="8" w:space="0"/>
              <w:right w:val="single" w:color="000000" w:sz="8" w:space="0"/>
            </w:tcBorders>
            <w:noWrap w:val="0"/>
            <w:vAlign w:val="center"/>
          </w:tcPr>
          <w:p w14:paraId="5B84E28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15.66</w:t>
            </w:r>
          </w:p>
        </w:tc>
      </w:tr>
      <w:tr w14:paraId="6FEA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ADD91E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3C3ADC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JZQ2L01-01</w:t>
            </w:r>
          </w:p>
        </w:tc>
        <w:tc>
          <w:tcPr>
            <w:tcW w:w="10125" w:type="dxa"/>
            <w:tcBorders>
              <w:top w:val="nil"/>
              <w:left w:val="single" w:color="000000" w:sz="8" w:space="0"/>
              <w:bottom w:val="single" w:color="000000" w:sz="8" w:space="0"/>
              <w:right w:val="single" w:color="000000" w:sz="8" w:space="0"/>
            </w:tcBorders>
            <w:noWrap w:val="0"/>
            <w:vAlign w:val="center"/>
          </w:tcPr>
          <w:p w14:paraId="7657EE2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石马初级中学、草堂小学、草堂移民生态产业园安置房、太白苑、珠海爱心医院、草堂镇人民政府等</w:t>
            </w:r>
          </w:p>
        </w:tc>
        <w:tc>
          <w:tcPr>
            <w:tcW w:w="1100" w:type="dxa"/>
            <w:tcBorders>
              <w:top w:val="nil"/>
              <w:left w:val="single" w:color="000000" w:sz="8" w:space="0"/>
              <w:bottom w:val="single" w:color="000000" w:sz="8" w:space="0"/>
              <w:right w:val="single" w:color="000000" w:sz="8" w:space="0"/>
            </w:tcBorders>
            <w:noWrap w:val="0"/>
            <w:vAlign w:val="center"/>
          </w:tcPr>
          <w:p w14:paraId="61589B2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11.45</w:t>
            </w:r>
          </w:p>
        </w:tc>
      </w:tr>
      <w:tr w14:paraId="33AF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1DD0002">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5BA2E30">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JZQ2L02-01</w:t>
            </w:r>
          </w:p>
        </w:tc>
        <w:tc>
          <w:tcPr>
            <w:tcW w:w="10125" w:type="dxa"/>
            <w:tcBorders>
              <w:top w:val="nil"/>
              <w:left w:val="single" w:color="000000" w:sz="8" w:space="0"/>
              <w:bottom w:val="single" w:color="000000" w:sz="8" w:space="0"/>
              <w:right w:val="single" w:color="000000" w:sz="8" w:space="0"/>
            </w:tcBorders>
            <w:noWrap w:val="0"/>
            <w:vAlign w:val="center"/>
          </w:tcPr>
          <w:p w14:paraId="28B5974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康乐镇希望小学、郭家沟场镇居民等</w:t>
            </w:r>
          </w:p>
        </w:tc>
        <w:tc>
          <w:tcPr>
            <w:tcW w:w="1100" w:type="dxa"/>
            <w:tcBorders>
              <w:top w:val="nil"/>
              <w:left w:val="single" w:color="000000" w:sz="8" w:space="0"/>
              <w:bottom w:val="single" w:color="000000" w:sz="8" w:space="0"/>
              <w:right w:val="single" w:color="000000" w:sz="8" w:space="0"/>
            </w:tcBorders>
            <w:noWrap w:val="0"/>
            <w:vAlign w:val="center"/>
          </w:tcPr>
          <w:p w14:paraId="343B518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26.47</w:t>
            </w:r>
          </w:p>
        </w:tc>
      </w:tr>
      <w:tr w14:paraId="7A5A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5596C3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5</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52536E0">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JZQ2L03-01</w:t>
            </w:r>
          </w:p>
        </w:tc>
        <w:tc>
          <w:tcPr>
            <w:tcW w:w="10125" w:type="dxa"/>
            <w:tcBorders>
              <w:top w:val="nil"/>
              <w:left w:val="single" w:color="000000" w:sz="8" w:space="0"/>
              <w:bottom w:val="single" w:color="000000" w:sz="8" w:space="0"/>
              <w:right w:val="single" w:color="000000" w:sz="8" w:space="0"/>
            </w:tcBorders>
            <w:noWrap w:val="0"/>
            <w:vAlign w:val="center"/>
          </w:tcPr>
          <w:p w14:paraId="6E3C0EBA">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康乐镇平皋中学、康乐小学、康乐镇人民政府、横路场镇居民等</w:t>
            </w:r>
          </w:p>
        </w:tc>
        <w:tc>
          <w:tcPr>
            <w:tcW w:w="1100" w:type="dxa"/>
            <w:tcBorders>
              <w:top w:val="nil"/>
              <w:left w:val="single" w:color="000000" w:sz="8" w:space="0"/>
              <w:bottom w:val="single" w:color="000000" w:sz="8" w:space="0"/>
              <w:right w:val="single" w:color="000000" w:sz="8" w:space="0"/>
            </w:tcBorders>
            <w:noWrap w:val="0"/>
            <w:vAlign w:val="center"/>
          </w:tcPr>
          <w:p w14:paraId="230D8CC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11.59</w:t>
            </w:r>
          </w:p>
        </w:tc>
      </w:tr>
      <w:tr w14:paraId="464B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FFB32A">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6</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23CB4C5">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JZQ2L04-01</w:t>
            </w:r>
          </w:p>
        </w:tc>
        <w:tc>
          <w:tcPr>
            <w:tcW w:w="10125" w:type="dxa"/>
            <w:tcBorders>
              <w:top w:val="nil"/>
              <w:left w:val="single" w:color="000000" w:sz="8" w:space="0"/>
              <w:bottom w:val="single" w:color="000000" w:sz="8" w:space="0"/>
              <w:right w:val="single" w:color="000000" w:sz="8" w:space="0"/>
            </w:tcBorders>
            <w:noWrap w:val="0"/>
            <w:vAlign w:val="center"/>
          </w:tcPr>
          <w:p w14:paraId="6A38A48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永安中学高中部、永乐镇酒溜小学</w:t>
            </w:r>
          </w:p>
        </w:tc>
        <w:tc>
          <w:tcPr>
            <w:tcW w:w="1100" w:type="dxa"/>
            <w:tcBorders>
              <w:top w:val="nil"/>
              <w:left w:val="single" w:color="000000" w:sz="8" w:space="0"/>
              <w:bottom w:val="single" w:color="000000" w:sz="8" w:space="0"/>
              <w:right w:val="single" w:color="000000" w:sz="8" w:space="0"/>
            </w:tcBorders>
            <w:noWrap w:val="0"/>
            <w:vAlign w:val="center"/>
          </w:tcPr>
          <w:p w14:paraId="20764BBE">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11.34</w:t>
            </w:r>
          </w:p>
        </w:tc>
      </w:tr>
      <w:tr w14:paraId="36B9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EB79782">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7</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0507810">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JZQ2L05-01</w:t>
            </w:r>
          </w:p>
        </w:tc>
        <w:tc>
          <w:tcPr>
            <w:tcW w:w="10125" w:type="dxa"/>
            <w:tcBorders>
              <w:top w:val="nil"/>
              <w:left w:val="single" w:color="000000" w:sz="8" w:space="0"/>
              <w:bottom w:val="single" w:color="000000" w:sz="8" w:space="0"/>
              <w:right w:val="single" w:color="000000" w:sz="8" w:space="0"/>
            </w:tcBorders>
            <w:noWrap w:val="0"/>
            <w:vAlign w:val="center"/>
          </w:tcPr>
          <w:p w14:paraId="00C6D437">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夔门初级中学、永乐小学、永乐镇人民政府、永乐精神病医院</w:t>
            </w:r>
          </w:p>
        </w:tc>
        <w:tc>
          <w:tcPr>
            <w:tcW w:w="1100" w:type="dxa"/>
            <w:tcBorders>
              <w:top w:val="nil"/>
              <w:left w:val="single" w:color="000000" w:sz="8" w:space="0"/>
              <w:bottom w:val="single" w:color="000000" w:sz="8" w:space="0"/>
              <w:right w:val="single" w:color="000000" w:sz="8" w:space="0"/>
            </w:tcBorders>
            <w:noWrap w:val="0"/>
            <w:vAlign w:val="center"/>
          </w:tcPr>
          <w:p w14:paraId="4BF90F6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3.35</w:t>
            </w:r>
          </w:p>
        </w:tc>
      </w:tr>
      <w:tr w14:paraId="5586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5EBB42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8</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DE7FA37">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JZQ2L06-01</w:t>
            </w:r>
          </w:p>
        </w:tc>
        <w:tc>
          <w:tcPr>
            <w:tcW w:w="10125" w:type="dxa"/>
            <w:tcBorders>
              <w:top w:val="nil"/>
              <w:left w:val="single" w:color="000000" w:sz="8" w:space="0"/>
              <w:bottom w:val="single" w:color="000000" w:sz="8" w:space="0"/>
              <w:right w:val="single" w:color="000000" w:sz="8" w:space="0"/>
            </w:tcBorders>
            <w:noWrap w:val="0"/>
            <w:vAlign w:val="center"/>
          </w:tcPr>
          <w:p w14:paraId="01B6B18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夔门高级中学、广厦希望小学、夔州博物馆、彭咏梧烈士陵园、夔州街道社区卫生服务中心、夔州街道办事处、移民统建房等</w:t>
            </w:r>
          </w:p>
        </w:tc>
        <w:tc>
          <w:tcPr>
            <w:tcW w:w="1100" w:type="dxa"/>
            <w:tcBorders>
              <w:top w:val="nil"/>
              <w:left w:val="single" w:color="000000" w:sz="8" w:space="0"/>
              <w:bottom w:val="single" w:color="000000" w:sz="8" w:space="0"/>
              <w:right w:val="single" w:color="000000" w:sz="8" w:space="0"/>
            </w:tcBorders>
            <w:noWrap w:val="0"/>
            <w:vAlign w:val="center"/>
          </w:tcPr>
          <w:p w14:paraId="6CC7608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30.19</w:t>
            </w:r>
          </w:p>
        </w:tc>
      </w:tr>
      <w:tr w14:paraId="000D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5AA046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9</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08D404A">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JZQ2L07-01</w:t>
            </w:r>
          </w:p>
        </w:tc>
        <w:tc>
          <w:tcPr>
            <w:tcW w:w="10125" w:type="dxa"/>
            <w:tcBorders>
              <w:top w:val="nil"/>
              <w:left w:val="single" w:color="000000" w:sz="8" w:space="0"/>
              <w:bottom w:val="single" w:color="000000" w:sz="8" w:space="0"/>
              <w:right w:val="single" w:color="000000" w:sz="8" w:space="0"/>
            </w:tcBorders>
            <w:noWrap w:val="0"/>
            <w:vAlign w:val="center"/>
          </w:tcPr>
          <w:p w14:paraId="22F3D9A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双碾村新农村</w:t>
            </w:r>
          </w:p>
        </w:tc>
        <w:tc>
          <w:tcPr>
            <w:tcW w:w="1100" w:type="dxa"/>
            <w:tcBorders>
              <w:top w:val="nil"/>
              <w:left w:val="single" w:color="000000" w:sz="8" w:space="0"/>
              <w:bottom w:val="single" w:color="000000" w:sz="8" w:space="0"/>
              <w:right w:val="single" w:color="000000" w:sz="8" w:space="0"/>
            </w:tcBorders>
            <w:noWrap w:val="0"/>
            <w:vAlign w:val="center"/>
          </w:tcPr>
          <w:p w14:paraId="66F1210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1.72</w:t>
            </w:r>
          </w:p>
        </w:tc>
      </w:tr>
      <w:tr w14:paraId="2206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77E03E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6EB08715">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JZQ2L08-01</w:t>
            </w:r>
          </w:p>
        </w:tc>
        <w:tc>
          <w:tcPr>
            <w:tcW w:w="10125" w:type="dxa"/>
            <w:tcBorders>
              <w:top w:val="nil"/>
              <w:left w:val="single" w:color="000000" w:sz="8" w:space="0"/>
              <w:bottom w:val="single" w:color="000000" w:sz="8" w:space="0"/>
              <w:right w:val="single" w:color="000000" w:sz="8" w:space="0"/>
            </w:tcBorders>
            <w:noWrap w:val="0"/>
            <w:vAlign w:val="center"/>
          </w:tcPr>
          <w:p w14:paraId="115CDB1C">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奉节中学初中部（一分校）、奉师附小（一分校）、高铁时代小区、汀澜小区、天澜府小区等</w:t>
            </w:r>
          </w:p>
        </w:tc>
        <w:tc>
          <w:tcPr>
            <w:tcW w:w="1100" w:type="dxa"/>
            <w:tcBorders>
              <w:top w:val="nil"/>
              <w:left w:val="single" w:color="000000" w:sz="8" w:space="0"/>
              <w:bottom w:val="single" w:color="000000" w:sz="8" w:space="0"/>
              <w:right w:val="single" w:color="000000" w:sz="8" w:space="0"/>
            </w:tcBorders>
            <w:noWrap w:val="0"/>
            <w:vAlign w:val="center"/>
          </w:tcPr>
          <w:p w14:paraId="2805936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28.48</w:t>
            </w:r>
          </w:p>
        </w:tc>
      </w:tr>
      <w:tr w14:paraId="7660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9"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1F84A25">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E0F853C">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JZQ2L09-01</w:t>
            </w:r>
          </w:p>
        </w:tc>
        <w:tc>
          <w:tcPr>
            <w:tcW w:w="10125" w:type="dxa"/>
            <w:tcBorders>
              <w:top w:val="nil"/>
              <w:left w:val="single" w:color="000000" w:sz="8" w:space="0"/>
              <w:bottom w:val="single" w:color="000000" w:sz="8" w:space="0"/>
              <w:right w:val="single" w:color="000000" w:sz="8" w:space="0"/>
            </w:tcBorders>
            <w:noWrap w:val="0"/>
            <w:vAlign w:val="center"/>
          </w:tcPr>
          <w:p w14:paraId="71C07392">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三江初级中学、西部新区第一小学、重庆渝东医院、朱衣镇中心卫生院、县人民政府、行政次中心、夔州街道办事处、县文化旅游委、澳海澜庭小区、阳光佳苑小区、彩云间小区、瞿塘晓月小区、公园城小区、胡家社区居民房小区等</w:t>
            </w:r>
          </w:p>
        </w:tc>
        <w:tc>
          <w:tcPr>
            <w:tcW w:w="1100" w:type="dxa"/>
            <w:tcBorders>
              <w:top w:val="nil"/>
              <w:left w:val="single" w:color="000000" w:sz="8" w:space="0"/>
              <w:bottom w:val="single" w:color="000000" w:sz="8" w:space="0"/>
              <w:right w:val="single" w:color="000000" w:sz="8" w:space="0"/>
            </w:tcBorders>
            <w:noWrap w:val="0"/>
            <w:vAlign w:val="center"/>
          </w:tcPr>
          <w:p w14:paraId="1C8044A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93.45</w:t>
            </w:r>
          </w:p>
        </w:tc>
      </w:tr>
      <w:tr w14:paraId="2F8D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F4DABEC">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7E1ED05">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JZQ2L10-01</w:t>
            </w:r>
          </w:p>
        </w:tc>
        <w:tc>
          <w:tcPr>
            <w:tcW w:w="10125" w:type="dxa"/>
            <w:tcBorders>
              <w:top w:val="nil"/>
              <w:left w:val="single" w:color="000000" w:sz="8" w:space="0"/>
              <w:bottom w:val="single" w:color="000000" w:sz="8" w:space="0"/>
              <w:right w:val="single" w:color="000000" w:sz="8" w:space="0"/>
            </w:tcBorders>
            <w:noWrap w:val="0"/>
            <w:vAlign w:val="center"/>
          </w:tcPr>
          <w:p w14:paraId="1E491BA1">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夔州小学、县中医院、天悦珑廷小区、滨湖上院小区、星光美岸小区、湖光美地小区、世纪城小区、西宸悦府小区、西宸御府小区、阅云台小区、真武丽苑小区等</w:t>
            </w:r>
          </w:p>
        </w:tc>
        <w:tc>
          <w:tcPr>
            <w:tcW w:w="1100" w:type="dxa"/>
            <w:tcBorders>
              <w:top w:val="nil"/>
              <w:left w:val="single" w:color="000000" w:sz="8" w:space="0"/>
              <w:bottom w:val="single" w:color="000000" w:sz="8" w:space="0"/>
              <w:right w:val="single" w:color="000000" w:sz="8" w:space="0"/>
            </w:tcBorders>
            <w:noWrap w:val="0"/>
            <w:vAlign w:val="center"/>
          </w:tcPr>
          <w:p w14:paraId="3A70DF4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88.20</w:t>
            </w:r>
          </w:p>
        </w:tc>
      </w:tr>
      <w:tr w14:paraId="320A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5464FC2">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13</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1C951E2">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JZQ2L11-01</w:t>
            </w:r>
          </w:p>
        </w:tc>
        <w:tc>
          <w:tcPr>
            <w:tcW w:w="10125" w:type="dxa"/>
            <w:tcBorders>
              <w:top w:val="nil"/>
              <w:left w:val="single" w:color="000000" w:sz="8" w:space="0"/>
              <w:bottom w:val="single" w:color="000000" w:sz="8" w:space="0"/>
              <w:right w:val="single" w:color="000000" w:sz="8" w:space="0"/>
            </w:tcBorders>
            <w:noWrap w:val="0"/>
            <w:vAlign w:val="center"/>
          </w:tcPr>
          <w:p w14:paraId="1E4F4BC2">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县公安局、县人民检察院、县人民法院、县司法局、集美江畔小区、云山万景小区、梦享江城小区、江山赋小区、印江府小区、奉中花园小区、学府星城小区、奉节县图书馆等</w:t>
            </w:r>
          </w:p>
        </w:tc>
        <w:tc>
          <w:tcPr>
            <w:tcW w:w="1100" w:type="dxa"/>
            <w:tcBorders>
              <w:top w:val="nil"/>
              <w:left w:val="single" w:color="000000" w:sz="8" w:space="0"/>
              <w:bottom w:val="single" w:color="000000" w:sz="8" w:space="0"/>
              <w:right w:val="single" w:color="000000" w:sz="8" w:space="0"/>
            </w:tcBorders>
            <w:noWrap w:val="0"/>
            <w:vAlign w:val="center"/>
          </w:tcPr>
          <w:p w14:paraId="65827973">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67.13</w:t>
            </w:r>
          </w:p>
        </w:tc>
      </w:tr>
      <w:tr w14:paraId="3CDE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6F9B6A8">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2F5BA41">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JZQ2L12-01</w:t>
            </w:r>
          </w:p>
        </w:tc>
        <w:tc>
          <w:tcPr>
            <w:tcW w:w="10125" w:type="dxa"/>
            <w:tcBorders>
              <w:top w:val="nil"/>
              <w:left w:val="single" w:color="000000" w:sz="8" w:space="0"/>
              <w:bottom w:val="single" w:color="000000" w:sz="8" w:space="0"/>
              <w:right w:val="single" w:color="000000" w:sz="8" w:space="0"/>
            </w:tcBorders>
            <w:noWrap w:val="0"/>
            <w:vAlign w:val="center"/>
          </w:tcPr>
          <w:p w14:paraId="6FC5C18C">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香山小学、三台小学、巴蜀渝东中学、永安街道社区卫生服务中心、县林业局、县医保局、县文化馆、飞洋华郡小区、凤凰名都小区、香山廉租房小区、人和家园小区、清河水岸小区、三合园小区、电力小区、香山花苑小区、锦绣苑、民丰小区、巴蜀花园小区、刘家湾小区、西江山庄小区等</w:t>
            </w:r>
          </w:p>
        </w:tc>
        <w:tc>
          <w:tcPr>
            <w:tcW w:w="1100" w:type="dxa"/>
            <w:tcBorders>
              <w:top w:val="nil"/>
              <w:left w:val="single" w:color="000000" w:sz="8" w:space="0"/>
              <w:bottom w:val="single" w:color="000000" w:sz="8" w:space="0"/>
              <w:right w:val="single" w:color="000000" w:sz="8" w:space="0"/>
            </w:tcBorders>
            <w:noWrap w:val="0"/>
            <w:vAlign w:val="center"/>
          </w:tcPr>
          <w:p w14:paraId="61031551">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74.08</w:t>
            </w:r>
          </w:p>
        </w:tc>
      </w:tr>
      <w:tr w14:paraId="13BB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3A3FFDD">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15</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BC1C1A7">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JZQ2L12-02</w:t>
            </w:r>
          </w:p>
        </w:tc>
        <w:tc>
          <w:tcPr>
            <w:tcW w:w="10125" w:type="dxa"/>
            <w:tcBorders>
              <w:top w:val="nil"/>
              <w:left w:val="single" w:color="000000" w:sz="8" w:space="0"/>
              <w:bottom w:val="single" w:color="000000" w:sz="8" w:space="0"/>
              <w:right w:val="single" w:color="000000" w:sz="8" w:space="0"/>
            </w:tcBorders>
            <w:noWrap w:val="0"/>
            <w:vAlign w:val="center"/>
          </w:tcPr>
          <w:p w14:paraId="06D03A08">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报国路小学、永安中学（初中部）、特殊教育学校、三峡卫生学校、县委党校、县人民医院、诗仙花园小区、金苑花园小区、槐花树小区、天帝山庄小区、阳光里小区、林业局宿舍、月康老年公寓等</w:t>
            </w:r>
          </w:p>
        </w:tc>
        <w:tc>
          <w:tcPr>
            <w:tcW w:w="1100" w:type="dxa"/>
            <w:tcBorders>
              <w:top w:val="nil"/>
              <w:left w:val="single" w:color="000000" w:sz="8" w:space="0"/>
              <w:bottom w:val="single" w:color="000000" w:sz="8" w:space="0"/>
              <w:right w:val="single" w:color="000000" w:sz="8" w:space="0"/>
            </w:tcBorders>
            <w:noWrap w:val="0"/>
            <w:vAlign w:val="center"/>
          </w:tcPr>
          <w:p w14:paraId="6B73129E">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40.23</w:t>
            </w:r>
          </w:p>
        </w:tc>
      </w:tr>
      <w:tr w14:paraId="455C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CCF0BB">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16</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8F56BED">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JZQ2L13-01</w:t>
            </w:r>
          </w:p>
        </w:tc>
        <w:tc>
          <w:tcPr>
            <w:tcW w:w="10125" w:type="dxa"/>
            <w:tcBorders>
              <w:top w:val="nil"/>
              <w:left w:val="single" w:color="000000" w:sz="8" w:space="0"/>
              <w:bottom w:val="single" w:color="000000" w:sz="8" w:space="0"/>
              <w:right w:val="single" w:color="000000" w:sz="8" w:space="0"/>
            </w:tcBorders>
            <w:noWrap w:val="0"/>
            <w:vAlign w:val="center"/>
          </w:tcPr>
          <w:p w14:paraId="265F2760">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师范附属小学、永安小学、万胜小学、实验初级中学、永安幼儿园、县人大常委会、县政协、永安街道办事处、县民政局、县财政局、县人力社保局、县交通运输委、县农业农村委、县卫生健康委、县退役军人事务局、县应急管理局、清水湾小区、环彬江城小区、邵家包居民小区、滨江新城小区、青河苑小区、泓海御江小区、枫情水岸小区、滨江郦城小区（C、D区）、新民巷小区、刘家包小区、古坟包小区等</w:t>
            </w:r>
          </w:p>
        </w:tc>
        <w:tc>
          <w:tcPr>
            <w:tcW w:w="1100" w:type="dxa"/>
            <w:tcBorders>
              <w:top w:val="nil"/>
              <w:left w:val="single" w:color="000000" w:sz="8" w:space="0"/>
              <w:bottom w:val="single" w:color="000000" w:sz="8" w:space="0"/>
              <w:right w:val="single" w:color="000000" w:sz="8" w:space="0"/>
            </w:tcBorders>
            <w:noWrap w:val="0"/>
            <w:vAlign w:val="center"/>
          </w:tcPr>
          <w:p w14:paraId="2789E65A">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107.81</w:t>
            </w:r>
          </w:p>
        </w:tc>
      </w:tr>
      <w:tr w14:paraId="439A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F0EEBD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17</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0B8883C">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JZQ2L13-02</w:t>
            </w:r>
          </w:p>
        </w:tc>
        <w:tc>
          <w:tcPr>
            <w:tcW w:w="10125" w:type="dxa"/>
            <w:tcBorders>
              <w:top w:val="nil"/>
              <w:left w:val="single" w:color="000000" w:sz="8" w:space="0"/>
              <w:bottom w:val="single" w:color="000000" w:sz="8" w:space="0"/>
              <w:right w:val="single" w:color="000000" w:sz="8" w:space="0"/>
            </w:tcBorders>
            <w:noWrap w:val="0"/>
            <w:vAlign w:val="center"/>
          </w:tcPr>
          <w:p w14:paraId="474BA44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辽宁小学、诗城路小学、海成小学、奉节县妇幼保健院、鱼复街道社区卫生服务中心、鱼复街道办事处、县市场监管局、滨江郦城小区（A、B区）、黑寒包小区、红砖厂小区、三峡风小区、夔门之都小区、金宇广场小区、富力江城小区等</w:t>
            </w:r>
          </w:p>
        </w:tc>
        <w:tc>
          <w:tcPr>
            <w:tcW w:w="1100" w:type="dxa"/>
            <w:tcBorders>
              <w:top w:val="nil"/>
              <w:left w:val="single" w:color="000000" w:sz="8" w:space="0"/>
              <w:bottom w:val="single" w:color="000000" w:sz="8" w:space="0"/>
              <w:right w:val="single" w:color="000000" w:sz="8" w:space="0"/>
            </w:tcBorders>
            <w:noWrap w:val="0"/>
            <w:vAlign w:val="center"/>
          </w:tcPr>
          <w:p w14:paraId="39DD151B">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51.58</w:t>
            </w:r>
          </w:p>
        </w:tc>
      </w:tr>
      <w:tr w14:paraId="6A5A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AF559D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18</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5E2D44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JZQ2L14-01</w:t>
            </w:r>
          </w:p>
        </w:tc>
        <w:tc>
          <w:tcPr>
            <w:tcW w:w="10125" w:type="dxa"/>
            <w:tcBorders>
              <w:top w:val="nil"/>
              <w:left w:val="single" w:color="000000" w:sz="8" w:space="0"/>
              <w:bottom w:val="single" w:color="000000" w:sz="8" w:space="0"/>
              <w:right w:val="single" w:color="000000" w:sz="8" w:space="0"/>
            </w:tcBorders>
            <w:noWrap w:val="0"/>
            <w:vAlign w:val="center"/>
          </w:tcPr>
          <w:p w14:paraId="7D111DC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夔门高中卧龙岗校区、滨江路沿线居民（高层且集中区域）</w:t>
            </w:r>
          </w:p>
        </w:tc>
        <w:tc>
          <w:tcPr>
            <w:tcW w:w="1100" w:type="dxa"/>
            <w:tcBorders>
              <w:top w:val="nil"/>
              <w:left w:val="single" w:color="000000" w:sz="8" w:space="0"/>
              <w:bottom w:val="single" w:color="000000" w:sz="8" w:space="0"/>
              <w:right w:val="single" w:color="000000" w:sz="8" w:space="0"/>
            </w:tcBorders>
            <w:noWrap w:val="0"/>
            <w:vAlign w:val="center"/>
          </w:tcPr>
          <w:p w14:paraId="2065AF4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10.16</w:t>
            </w:r>
          </w:p>
        </w:tc>
      </w:tr>
      <w:tr w14:paraId="54CE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4025E2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19</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7B90927">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JZQ3L01-01</w:t>
            </w:r>
          </w:p>
        </w:tc>
        <w:tc>
          <w:tcPr>
            <w:tcW w:w="10125" w:type="dxa"/>
            <w:tcBorders>
              <w:top w:val="nil"/>
              <w:left w:val="single" w:color="000000" w:sz="8" w:space="0"/>
              <w:bottom w:val="single" w:color="000000" w:sz="8" w:space="0"/>
              <w:right w:val="single" w:color="000000" w:sz="8" w:space="0"/>
            </w:tcBorders>
            <w:noWrap w:val="0"/>
            <w:vAlign w:val="center"/>
          </w:tcPr>
          <w:p w14:paraId="4124F87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生态工业园区管委会、草堂廉租房</w:t>
            </w:r>
          </w:p>
        </w:tc>
        <w:tc>
          <w:tcPr>
            <w:tcW w:w="1100" w:type="dxa"/>
            <w:tcBorders>
              <w:top w:val="nil"/>
              <w:left w:val="single" w:color="000000" w:sz="8" w:space="0"/>
              <w:bottom w:val="single" w:color="000000" w:sz="8" w:space="0"/>
              <w:right w:val="single" w:color="000000" w:sz="8" w:space="0"/>
            </w:tcBorders>
            <w:noWrap w:val="0"/>
            <w:vAlign w:val="center"/>
          </w:tcPr>
          <w:p w14:paraId="653AC750">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2.97</w:t>
            </w:r>
          </w:p>
        </w:tc>
      </w:tr>
      <w:tr w14:paraId="6E16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A411AC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35AC10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JZQ3L03-01</w:t>
            </w:r>
          </w:p>
        </w:tc>
        <w:tc>
          <w:tcPr>
            <w:tcW w:w="10125" w:type="dxa"/>
            <w:tcBorders>
              <w:top w:val="nil"/>
              <w:left w:val="single" w:color="000000" w:sz="8" w:space="0"/>
              <w:bottom w:val="single" w:color="000000" w:sz="8" w:space="0"/>
              <w:right w:val="single" w:color="000000" w:sz="8" w:space="0"/>
            </w:tcBorders>
            <w:noWrap w:val="0"/>
            <w:vAlign w:val="center"/>
          </w:tcPr>
          <w:p w14:paraId="1AD9E1E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民兵训练基地</w:t>
            </w:r>
          </w:p>
        </w:tc>
        <w:tc>
          <w:tcPr>
            <w:tcW w:w="1100" w:type="dxa"/>
            <w:tcBorders>
              <w:top w:val="nil"/>
              <w:left w:val="single" w:color="000000" w:sz="8" w:space="0"/>
              <w:bottom w:val="single" w:color="000000" w:sz="8" w:space="0"/>
              <w:right w:val="single" w:color="000000" w:sz="8" w:space="0"/>
            </w:tcBorders>
            <w:noWrap w:val="0"/>
            <w:vAlign w:val="center"/>
          </w:tcPr>
          <w:p w14:paraId="243D9D4B">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2.44</w:t>
            </w:r>
          </w:p>
        </w:tc>
      </w:tr>
      <w:tr w14:paraId="742A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8B6F5C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6A8800B">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JZQ3L05-01</w:t>
            </w:r>
          </w:p>
        </w:tc>
        <w:tc>
          <w:tcPr>
            <w:tcW w:w="10125" w:type="dxa"/>
            <w:tcBorders>
              <w:top w:val="nil"/>
              <w:left w:val="single" w:color="000000" w:sz="8" w:space="0"/>
              <w:bottom w:val="single" w:color="000000" w:sz="8" w:space="0"/>
              <w:right w:val="single" w:color="000000" w:sz="8" w:space="0"/>
            </w:tcBorders>
            <w:noWrap w:val="0"/>
            <w:vAlign w:val="center"/>
          </w:tcPr>
          <w:p w14:paraId="5EE98DEB">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金盆移民小区</w:t>
            </w:r>
          </w:p>
        </w:tc>
        <w:tc>
          <w:tcPr>
            <w:tcW w:w="1100" w:type="dxa"/>
            <w:tcBorders>
              <w:top w:val="nil"/>
              <w:left w:val="single" w:color="000000" w:sz="8" w:space="0"/>
              <w:bottom w:val="single" w:color="000000" w:sz="8" w:space="0"/>
              <w:right w:val="single" w:color="000000" w:sz="8" w:space="0"/>
            </w:tcBorders>
            <w:noWrap w:val="0"/>
            <w:vAlign w:val="center"/>
          </w:tcPr>
          <w:p w14:paraId="2AD13512">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0.78</w:t>
            </w:r>
          </w:p>
        </w:tc>
      </w:tr>
    </w:tbl>
    <w:p w14:paraId="71EE9D7F">
      <w:pPr>
        <w:rPr>
          <w:rFonts w:hint="default"/>
        </w:rPr>
        <w:sectPr>
          <w:pgSz w:w="16838" w:h="11906" w:orient="landscape"/>
          <w:pgMar w:top="2098" w:right="1531" w:bottom="1985" w:left="1531" w:header="851" w:footer="1474" w:gutter="0"/>
          <w:pgNumType w:fmt="numberInDash"/>
          <w:cols w:space="720" w:num="1"/>
          <w:docGrid w:type="lines" w:linePitch="312" w:charSpace="0"/>
        </w:sectPr>
      </w:pPr>
      <w:r>
        <w:rPr>
          <w:rFonts w:hint="default" w:ascii="Times New Roman" w:hAnsi="Times New Roman" w:cs="Times New Roman"/>
        </w:rPr>
        <w:br w:type="page"/>
      </w:r>
    </w:p>
    <w:p w14:paraId="23CCEBCC">
      <w:pPr>
        <w:keepNext w:val="0"/>
        <w:keepLines w:val="0"/>
        <w:pageBreakBefore w:val="0"/>
        <w:widowControl w:val="0"/>
        <w:kinsoku/>
        <w:wordWrap/>
        <w:overflowPunct/>
        <w:topLinePunct w:val="0"/>
        <w:autoSpaceDE/>
        <w:autoSpaceDN/>
        <w:bidi w:val="0"/>
        <w:adjustRightInd/>
        <w:snapToGrid/>
        <w:spacing w:line="576" w:lineRule="exact"/>
        <w:textAlignment w:val="auto"/>
        <w:outlineLvl w:val="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附</w:t>
      </w:r>
      <w:r>
        <w:rPr>
          <w:rFonts w:hint="default" w:ascii="Times New Roman" w:hAnsi="Times New Roman" w:eastAsia="方正黑体_GBK" w:cs="Times New Roman"/>
          <w:color w:val="000000"/>
          <w:sz w:val="32"/>
          <w:szCs w:val="32"/>
          <w:lang w:eastAsia="zh-CN"/>
        </w:rPr>
        <w:t>件</w:t>
      </w:r>
      <w:r>
        <w:rPr>
          <w:rFonts w:hint="default" w:ascii="Times New Roman" w:hAnsi="Times New Roman" w:eastAsia="方正黑体_GBK" w:cs="Times New Roman"/>
          <w:color w:val="000000"/>
          <w:sz w:val="32"/>
          <w:szCs w:val="32"/>
          <w:lang w:val="en-US" w:eastAsia="zh-CN"/>
        </w:rPr>
        <w:t>3</w:t>
      </w:r>
    </w:p>
    <w:p w14:paraId="462DADD6">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lang w:val="en-US" w:eastAsia="zh-CN"/>
        </w:rPr>
      </w:pPr>
    </w:p>
    <w:p w14:paraId="7142CF51">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cs="Times New Roman"/>
        </w:rPr>
      </w:pPr>
      <w:r>
        <w:rPr>
          <w:rFonts w:hint="default" w:ascii="Times New Roman" w:hAnsi="Times New Roman" w:eastAsia="方正小标宋_GBK" w:cs="Times New Roman"/>
          <w:color w:val="000000"/>
          <w:sz w:val="44"/>
          <w:szCs w:val="44"/>
          <w:lang w:eastAsia="zh-CN"/>
        </w:rPr>
        <w:t>奉节县</w:t>
      </w:r>
      <w:r>
        <w:rPr>
          <w:rFonts w:hint="default" w:ascii="Times New Roman" w:hAnsi="Times New Roman" w:eastAsia="方正小标宋_GBK" w:cs="Times New Roman"/>
          <w:color w:val="000000"/>
          <w:sz w:val="44"/>
          <w:szCs w:val="44"/>
        </w:rPr>
        <w:t>噪声敏感建筑物临时扩展区结果清单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452"/>
        <w:gridCol w:w="2377"/>
        <w:gridCol w:w="1642"/>
      </w:tblGrid>
      <w:tr w14:paraId="1F89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85" w:type="dxa"/>
            <w:tcBorders>
              <w:top w:val="single" w:color="000000" w:sz="8" w:space="0"/>
              <w:left w:val="single" w:color="000000" w:sz="8" w:space="0"/>
              <w:bottom w:val="single" w:color="000000" w:sz="8" w:space="0"/>
              <w:right w:val="single" w:color="000000" w:sz="8" w:space="0"/>
            </w:tcBorders>
            <w:noWrap w:val="0"/>
            <w:vAlign w:val="center"/>
          </w:tcPr>
          <w:p w14:paraId="2037AE7B">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序号</w:t>
            </w:r>
          </w:p>
        </w:tc>
        <w:tc>
          <w:tcPr>
            <w:tcW w:w="4452" w:type="dxa"/>
            <w:tcBorders>
              <w:top w:val="single" w:color="000000" w:sz="8" w:space="0"/>
              <w:left w:val="nil"/>
              <w:bottom w:val="single" w:color="000000" w:sz="8" w:space="0"/>
              <w:right w:val="single" w:color="000000" w:sz="8" w:space="0"/>
            </w:tcBorders>
            <w:noWrap w:val="0"/>
            <w:vAlign w:val="center"/>
          </w:tcPr>
          <w:p w14:paraId="7B8C9E41">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名称</w:t>
            </w:r>
          </w:p>
        </w:tc>
        <w:tc>
          <w:tcPr>
            <w:tcW w:w="2377" w:type="dxa"/>
            <w:tcBorders>
              <w:top w:val="single" w:color="000000" w:sz="8" w:space="0"/>
              <w:left w:val="nil"/>
              <w:bottom w:val="single" w:color="000000" w:sz="8" w:space="0"/>
              <w:right w:val="single" w:color="000000" w:sz="8" w:space="0"/>
            </w:tcBorders>
            <w:noWrap w:val="0"/>
            <w:vAlign w:val="center"/>
          </w:tcPr>
          <w:p w14:paraId="5693A246">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详细地址</w:t>
            </w:r>
          </w:p>
        </w:tc>
        <w:tc>
          <w:tcPr>
            <w:tcW w:w="1642" w:type="dxa"/>
            <w:tcBorders>
              <w:top w:val="single" w:color="000000" w:sz="8" w:space="0"/>
              <w:left w:val="nil"/>
              <w:bottom w:val="single" w:color="000000" w:sz="8" w:space="0"/>
              <w:right w:val="single" w:color="000000" w:sz="8" w:space="0"/>
            </w:tcBorders>
            <w:noWrap w:val="0"/>
            <w:vAlign w:val="center"/>
          </w:tcPr>
          <w:p w14:paraId="26A801DF">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占地面积（m</w:t>
            </w:r>
            <w:r>
              <w:rPr>
                <w:rFonts w:hint="default" w:ascii="Times New Roman" w:hAnsi="Times New Roman" w:eastAsia="方正黑体_GBK" w:cs="Times New Roman"/>
                <w:i w:val="0"/>
                <w:iCs w:val="0"/>
                <w:snapToGrid w:val="0"/>
                <w:color w:val="auto"/>
                <w:kern w:val="0"/>
                <w:sz w:val="24"/>
                <w:szCs w:val="24"/>
                <w:highlight w:val="none"/>
                <w:u w:val="none"/>
                <w:vertAlign w:val="superscript"/>
                <w:lang w:val="en-US" w:eastAsia="zh-CN" w:bidi="ar"/>
              </w:rPr>
              <w:t>2</w:t>
            </w: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w:t>
            </w:r>
          </w:p>
        </w:tc>
      </w:tr>
      <w:tr w14:paraId="416F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4FDDFF1D">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w:t>
            </w:r>
          </w:p>
        </w:tc>
        <w:tc>
          <w:tcPr>
            <w:tcW w:w="4452" w:type="dxa"/>
            <w:tcBorders>
              <w:top w:val="nil"/>
              <w:left w:val="nil"/>
              <w:bottom w:val="single" w:color="000000" w:sz="8" w:space="0"/>
              <w:right w:val="single" w:color="000000" w:sz="8" w:space="0"/>
            </w:tcBorders>
            <w:noWrap w:val="0"/>
            <w:vAlign w:val="center"/>
          </w:tcPr>
          <w:p w14:paraId="14434C03">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中国网重庆奉节供电公司生产运检综合用房</w:t>
            </w:r>
          </w:p>
        </w:tc>
        <w:tc>
          <w:tcPr>
            <w:tcW w:w="2377" w:type="dxa"/>
            <w:tcBorders>
              <w:top w:val="nil"/>
              <w:left w:val="nil"/>
              <w:bottom w:val="single" w:color="000000" w:sz="8" w:space="0"/>
              <w:right w:val="single" w:color="000000" w:sz="8" w:space="0"/>
            </w:tcBorders>
            <w:noWrap w:val="0"/>
            <w:vAlign w:val="center"/>
          </w:tcPr>
          <w:p w14:paraId="63CC810F">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奉节县夔州街道胡家社区</w:t>
            </w:r>
          </w:p>
        </w:tc>
        <w:tc>
          <w:tcPr>
            <w:tcW w:w="1642" w:type="dxa"/>
            <w:tcBorders>
              <w:top w:val="nil"/>
              <w:left w:val="nil"/>
              <w:bottom w:val="single" w:color="000000" w:sz="8" w:space="0"/>
              <w:right w:val="single" w:color="000000" w:sz="8" w:space="0"/>
            </w:tcBorders>
            <w:noWrap w:val="0"/>
            <w:vAlign w:val="center"/>
          </w:tcPr>
          <w:p w14:paraId="1EB7E3B0">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16146</w:t>
            </w:r>
          </w:p>
        </w:tc>
      </w:tr>
      <w:tr w14:paraId="77CF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56AFAD95">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w:t>
            </w:r>
          </w:p>
        </w:tc>
        <w:tc>
          <w:tcPr>
            <w:tcW w:w="4452" w:type="dxa"/>
            <w:tcBorders>
              <w:top w:val="nil"/>
              <w:left w:val="nil"/>
              <w:bottom w:val="single" w:color="000000" w:sz="8" w:space="0"/>
              <w:right w:val="single" w:color="000000" w:sz="8" w:space="0"/>
            </w:tcBorders>
            <w:noWrap w:val="0"/>
            <w:vAlign w:val="center"/>
          </w:tcPr>
          <w:p w14:paraId="621B89FA">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奉节县西部新区体育场及游泳馆（体育场项目）建设项目</w:t>
            </w:r>
          </w:p>
        </w:tc>
        <w:tc>
          <w:tcPr>
            <w:tcW w:w="2377" w:type="dxa"/>
            <w:tcBorders>
              <w:top w:val="nil"/>
              <w:left w:val="nil"/>
              <w:bottom w:val="single" w:color="000000" w:sz="8" w:space="0"/>
              <w:right w:val="single" w:color="000000" w:sz="8" w:space="0"/>
            </w:tcBorders>
            <w:noWrap w:val="0"/>
            <w:vAlign w:val="center"/>
          </w:tcPr>
          <w:p w14:paraId="352019D8">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奉节县夔州街道夔州西路与清水街交叉路口西行50米</w:t>
            </w:r>
          </w:p>
        </w:tc>
        <w:tc>
          <w:tcPr>
            <w:tcW w:w="1642" w:type="dxa"/>
            <w:tcBorders>
              <w:top w:val="nil"/>
              <w:left w:val="nil"/>
              <w:bottom w:val="single" w:color="000000" w:sz="8" w:space="0"/>
              <w:right w:val="single" w:color="000000" w:sz="8" w:space="0"/>
            </w:tcBorders>
            <w:noWrap w:val="0"/>
            <w:vAlign w:val="center"/>
          </w:tcPr>
          <w:p w14:paraId="554013AC">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45107</w:t>
            </w:r>
          </w:p>
        </w:tc>
      </w:tr>
      <w:tr w14:paraId="7956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3BA5BB4E">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w:t>
            </w:r>
          </w:p>
        </w:tc>
        <w:tc>
          <w:tcPr>
            <w:tcW w:w="4452" w:type="dxa"/>
            <w:tcBorders>
              <w:top w:val="nil"/>
              <w:left w:val="nil"/>
              <w:bottom w:val="single" w:color="000000" w:sz="8" w:space="0"/>
              <w:right w:val="single" w:color="000000" w:sz="8" w:space="0"/>
            </w:tcBorders>
            <w:noWrap w:val="0"/>
            <w:vAlign w:val="center"/>
          </w:tcPr>
          <w:p w14:paraId="0234C20B">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奉节县长江大保护PPP项目-奉节县夔州街道路网完善工程（一期）</w:t>
            </w:r>
          </w:p>
        </w:tc>
        <w:tc>
          <w:tcPr>
            <w:tcW w:w="2377" w:type="dxa"/>
            <w:tcBorders>
              <w:top w:val="nil"/>
              <w:left w:val="nil"/>
              <w:bottom w:val="single" w:color="000000" w:sz="8" w:space="0"/>
              <w:right w:val="single" w:color="000000" w:sz="8" w:space="0"/>
            </w:tcBorders>
            <w:noWrap w:val="0"/>
            <w:vAlign w:val="center"/>
          </w:tcPr>
          <w:p w14:paraId="0D7D8D19">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夔州街道</w:t>
            </w:r>
          </w:p>
        </w:tc>
        <w:tc>
          <w:tcPr>
            <w:tcW w:w="1642" w:type="dxa"/>
            <w:tcBorders>
              <w:top w:val="nil"/>
              <w:left w:val="nil"/>
              <w:bottom w:val="single" w:color="000000" w:sz="8" w:space="0"/>
              <w:right w:val="single" w:color="000000" w:sz="8" w:space="0"/>
            </w:tcBorders>
            <w:noWrap w:val="0"/>
            <w:vAlign w:val="center"/>
          </w:tcPr>
          <w:p w14:paraId="211A07D9">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130020</w:t>
            </w:r>
          </w:p>
        </w:tc>
      </w:tr>
      <w:tr w14:paraId="4999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492B9304">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w:t>
            </w:r>
          </w:p>
        </w:tc>
        <w:tc>
          <w:tcPr>
            <w:tcW w:w="4452" w:type="dxa"/>
            <w:tcBorders>
              <w:top w:val="nil"/>
              <w:left w:val="nil"/>
              <w:bottom w:val="single" w:color="000000" w:sz="8" w:space="0"/>
              <w:right w:val="single" w:color="000000" w:sz="8" w:space="0"/>
            </w:tcBorders>
            <w:noWrap w:val="0"/>
            <w:vAlign w:val="center"/>
          </w:tcPr>
          <w:p w14:paraId="2A5CABFB">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奉节县长江大保护PPP项目-高铁生态城纵三路以东路网完善工程二期</w:t>
            </w:r>
          </w:p>
        </w:tc>
        <w:tc>
          <w:tcPr>
            <w:tcW w:w="2377" w:type="dxa"/>
            <w:tcBorders>
              <w:top w:val="nil"/>
              <w:left w:val="nil"/>
              <w:bottom w:val="single" w:color="000000" w:sz="8" w:space="0"/>
              <w:right w:val="single" w:color="000000" w:sz="8" w:space="0"/>
            </w:tcBorders>
            <w:noWrap w:val="0"/>
            <w:vAlign w:val="center"/>
          </w:tcPr>
          <w:p w14:paraId="199A5F79">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夔州街道</w:t>
            </w:r>
          </w:p>
        </w:tc>
        <w:tc>
          <w:tcPr>
            <w:tcW w:w="1642" w:type="dxa"/>
            <w:tcBorders>
              <w:top w:val="nil"/>
              <w:left w:val="nil"/>
              <w:bottom w:val="single" w:color="000000" w:sz="8" w:space="0"/>
              <w:right w:val="single" w:color="000000" w:sz="8" w:space="0"/>
            </w:tcBorders>
            <w:noWrap w:val="0"/>
            <w:vAlign w:val="center"/>
          </w:tcPr>
          <w:p w14:paraId="6137D191">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196859</w:t>
            </w:r>
          </w:p>
        </w:tc>
      </w:tr>
      <w:tr w14:paraId="5545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34725D2D">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5</w:t>
            </w:r>
          </w:p>
        </w:tc>
        <w:tc>
          <w:tcPr>
            <w:tcW w:w="4452" w:type="dxa"/>
            <w:tcBorders>
              <w:top w:val="nil"/>
              <w:left w:val="nil"/>
              <w:bottom w:val="single" w:color="000000" w:sz="8" w:space="0"/>
              <w:right w:val="single" w:color="000000" w:sz="8" w:space="0"/>
            </w:tcBorders>
            <w:noWrap w:val="0"/>
            <w:vAlign w:val="center"/>
          </w:tcPr>
          <w:p w14:paraId="7BDEB839">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拓展区</w:t>
            </w:r>
          </w:p>
        </w:tc>
        <w:tc>
          <w:tcPr>
            <w:tcW w:w="2377" w:type="dxa"/>
            <w:tcBorders>
              <w:top w:val="nil"/>
              <w:left w:val="nil"/>
              <w:bottom w:val="single" w:color="000000" w:sz="8" w:space="0"/>
              <w:right w:val="single" w:color="000000" w:sz="8" w:space="0"/>
            </w:tcBorders>
            <w:noWrap w:val="0"/>
            <w:vAlign w:val="center"/>
          </w:tcPr>
          <w:p w14:paraId="53807B36">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三江中学以东</w:t>
            </w:r>
          </w:p>
        </w:tc>
        <w:tc>
          <w:tcPr>
            <w:tcW w:w="1642" w:type="dxa"/>
            <w:tcBorders>
              <w:top w:val="nil"/>
              <w:left w:val="nil"/>
              <w:bottom w:val="single" w:color="000000" w:sz="8" w:space="0"/>
              <w:right w:val="single" w:color="000000" w:sz="8" w:space="0"/>
            </w:tcBorders>
            <w:noWrap w:val="0"/>
            <w:vAlign w:val="center"/>
          </w:tcPr>
          <w:p w14:paraId="6AAB57FC">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198817</w:t>
            </w:r>
          </w:p>
        </w:tc>
      </w:tr>
      <w:tr w14:paraId="59F4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1E9ED8D7">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6</w:t>
            </w:r>
          </w:p>
        </w:tc>
        <w:tc>
          <w:tcPr>
            <w:tcW w:w="4452" w:type="dxa"/>
            <w:tcBorders>
              <w:top w:val="nil"/>
              <w:left w:val="nil"/>
              <w:bottom w:val="single" w:color="000000" w:sz="8" w:space="0"/>
              <w:right w:val="single" w:color="000000" w:sz="8" w:space="0"/>
            </w:tcBorders>
            <w:noWrap w:val="0"/>
            <w:vAlign w:val="center"/>
          </w:tcPr>
          <w:p w14:paraId="2A59EE3A">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拓展区</w:t>
            </w:r>
          </w:p>
        </w:tc>
        <w:tc>
          <w:tcPr>
            <w:tcW w:w="2377" w:type="dxa"/>
            <w:tcBorders>
              <w:top w:val="nil"/>
              <w:left w:val="nil"/>
              <w:bottom w:val="single" w:color="000000" w:sz="8" w:space="0"/>
              <w:right w:val="single" w:color="000000" w:sz="8" w:space="0"/>
            </w:tcBorders>
            <w:noWrap w:val="0"/>
            <w:vAlign w:val="center"/>
          </w:tcPr>
          <w:p w14:paraId="1E51F6C8">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云山万景以东</w:t>
            </w:r>
          </w:p>
        </w:tc>
        <w:tc>
          <w:tcPr>
            <w:tcW w:w="1642" w:type="dxa"/>
            <w:tcBorders>
              <w:top w:val="nil"/>
              <w:left w:val="nil"/>
              <w:bottom w:val="single" w:color="000000" w:sz="8" w:space="0"/>
              <w:right w:val="single" w:color="000000" w:sz="8" w:space="0"/>
            </w:tcBorders>
            <w:noWrap w:val="0"/>
            <w:vAlign w:val="center"/>
          </w:tcPr>
          <w:p w14:paraId="4FA99E94">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117171</w:t>
            </w:r>
          </w:p>
        </w:tc>
      </w:tr>
    </w:tbl>
    <w:p w14:paraId="63CF9B6F">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lang w:val="en-US" w:eastAsia="zh-CN"/>
        </w:rPr>
      </w:pPr>
    </w:p>
    <w:sectPr>
      <w:headerReference r:id="rId7" w:type="default"/>
      <w:footerReference r:id="rId8" w:type="default"/>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2B10">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77C8D">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477C8D">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21D1151">
    <w:pPr>
      <w:pStyle w:val="10"/>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奉节县生态环境局发布     </w:t>
    </w:r>
  </w:p>
  <w:p w14:paraId="59E511A2">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0454">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B9FE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FB9FE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8CD7438">
    <w:pPr>
      <w:pStyle w:val="10"/>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-35560</wp:posOffset>
              </wp:positionH>
              <wp:positionV relativeFrom="page">
                <wp:posOffset>5965190</wp:posOffset>
              </wp:positionV>
              <wp:extent cx="8774430" cy="33020"/>
              <wp:effectExtent l="0" t="10795" r="7620" b="13335"/>
              <wp:wrapNone/>
              <wp:docPr id="9" name="直接连接符 9"/>
              <wp:cNvGraphicFramePr/>
              <a:graphic xmlns:a="http://schemas.openxmlformats.org/drawingml/2006/main">
                <a:graphicData uri="http://schemas.microsoft.com/office/word/2010/wordprocessingShape">
                  <wps:wsp>
                    <wps:cNvCnPr/>
                    <wps:spPr>
                      <a:xfrm>
                        <a:off x="0" y="0"/>
                        <a:ext cx="8774430" cy="330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pt;margin-top:469.7pt;height:2.6pt;width:690.9pt;mso-position-vertical-relative:page;z-index:251665408;mso-width-relative:page;mso-height-relative:page;" filled="f" stroked="t" coordsize="21600,21600" o:gfxdata="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TYMYLZAAAACwEAAA8AAAAAAAAAAQAgAAAAIgAAAGRycy9kb3ducmV2LnhtbFBLAQIUABQAAAAI&#10;AIdO4kAEoplH7AEAALYDAAAOAAAAAAAAAAEAIAAAACgBAABkcnMvZTJvRG9jLnhtbFBLBQYAAAAA&#10;BgAGAFkBAACG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14:paraId="089ACC3A">
    <w:pPr>
      <w:pStyle w:val="10"/>
      <w:wordWrap w:val="0"/>
      <w:ind w:firstLine="10119" w:firstLineChars="36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奉节县生态环境局发布     </w:t>
    </w:r>
  </w:p>
  <w:p w14:paraId="374E1B8E">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D1963">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ECB6">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85ECB6">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CCA9480">
    <w:pPr>
      <w:pStyle w:val="10"/>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8220075" cy="36830"/>
              <wp:effectExtent l="0" t="10795" r="9525" b="28575"/>
              <wp:wrapNone/>
              <wp:docPr id="2" name="直接连接符 2"/>
              <wp:cNvGraphicFramePr/>
              <a:graphic xmlns:a="http://schemas.openxmlformats.org/drawingml/2006/main">
                <a:graphicData uri="http://schemas.microsoft.com/office/word/2010/wordprocessingShape">
                  <wps:wsp>
                    <wps:cNvCnPr/>
                    <wps:spPr>
                      <a:xfrm>
                        <a:off x="0" y="0"/>
                        <a:ext cx="8220075" cy="368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2.9pt;width:647.25pt;z-index:251663360;mso-width-relative:page;mso-height-relative:page;" filled="f" stroked="t" coordsize="21600,21600" o:gfxdata="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eHetXV&#10;AAAABwEAAA8AAAAAAAAAAQAgAAAAIgAAAGRycy9kb3ducmV2LnhtbFBLAQIUABQAAAAIAIdO4kDH&#10;a+0t6gEAALY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奉节县生态环境局发布     </w:t>
    </w:r>
  </w:p>
  <w:p w14:paraId="48422451">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D119">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5A3296BB">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391795</wp:posOffset>
              </wp:positionV>
              <wp:extent cx="5652770" cy="1270"/>
              <wp:effectExtent l="0" t="10795" r="5080" b="16510"/>
              <wp:wrapNone/>
              <wp:docPr id="4" name="直接连接符 4"/>
              <wp:cNvGraphicFramePr/>
              <a:graphic xmlns:a="http://schemas.openxmlformats.org/drawingml/2006/main">
                <a:graphicData uri="http://schemas.microsoft.com/office/word/2010/wordprocessingShape">
                  <wps:wsp>
                    <wps:cNvCnPr/>
                    <wps:spPr>
                      <a:xfrm>
                        <a:off x="4133850" y="864870"/>
                        <a:ext cx="565277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30.85pt;height:0.1pt;width:445.1pt;z-index:251660288;mso-width-relative:page;mso-height-relative:page;" filled="f" stroked="t" coordsize="21600,21600" o:gfxdata="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ITxrWAAAACAEAAA8AAAAAAAAAAQAgAAAAIgAAAGRycy9kb3ducmV2LnhtbFBLAQIU&#10;ABQAAAAIAIdO4kD/t7319QEAAMADAAAOAAAAAAAAAAEAIAAAACU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奉节县生态环境局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E74E">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7EBE659C">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29845</wp:posOffset>
              </wp:positionH>
              <wp:positionV relativeFrom="paragraph">
                <wp:posOffset>391795</wp:posOffset>
              </wp:positionV>
              <wp:extent cx="8733155" cy="1270"/>
              <wp:effectExtent l="0" t="10795" r="10795" b="16510"/>
              <wp:wrapNone/>
              <wp:docPr id="10" name="直接连接符 10"/>
              <wp:cNvGraphicFramePr/>
              <a:graphic xmlns:a="http://schemas.openxmlformats.org/drawingml/2006/main">
                <a:graphicData uri="http://schemas.microsoft.com/office/word/2010/wordprocessingShape">
                  <wps:wsp>
                    <wps:cNvCnPr/>
                    <wps:spPr>
                      <a:xfrm>
                        <a:off x="4133850" y="864870"/>
                        <a:ext cx="8733155"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30.85pt;height:0.1pt;width:687.65pt;z-index:251667456;mso-width-relative:page;mso-height-relative:page;" filled="f" stroked="t" coordsize="21600,21600" o:gfxdata="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0YkBfVAAAACAEAAA8AAAAAAAAAAQAgAAAAIgAAAGRycy9kb3ducmV2LnhtbFBLAQIU&#10;ABQAAAAIAIdO4kAFSqHn9gEAAMIDAAAOAAAAAAAAAAEAIAAAACQ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奉节县生态环境局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3575">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6CBA23D5">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29845</wp:posOffset>
              </wp:positionH>
              <wp:positionV relativeFrom="paragraph">
                <wp:posOffset>378460</wp:posOffset>
              </wp:positionV>
              <wp:extent cx="8190230" cy="13335"/>
              <wp:effectExtent l="0" t="0" r="0" b="0"/>
              <wp:wrapNone/>
              <wp:docPr id="12" name="直接连接符 12"/>
              <wp:cNvGraphicFramePr/>
              <a:graphic xmlns:a="http://schemas.openxmlformats.org/drawingml/2006/main">
                <a:graphicData uri="http://schemas.microsoft.com/office/word/2010/wordprocessingShape">
                  <wps:wsp>
                    <wps:cNvCnPr/>
                    <wps:spPr>
                      <a:xfrm flipV="1">
                        <a:off x="4133850" y="864870"/>
                        <a:ext cx="8190230" cy="133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29.8pt;height:1.05pt;width:644.9pt;z-index:251668480;mso-width-relative:page;mso-height-relative:page;" filled="f" stroked="t" coordsize="21600,21600" o:gfxdata="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Knz5NoAAAAIAQAADwAAAAAAAAABACAAAAAiAAAAZHJzL2Rv&#10;d25yZXYueG1sUEsBAhQAFAAAAAgAh07iQC9FcRf/AQAAzQMAAA4AAAAAAAAAAQAgAAAAKQEAAGRy&#10;cy9lMm9Eb2MueG1sUEsFBgAAAAAGAAYAWQEAAJo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奉节县生态环境局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bookmarkStart w:id="18" w:name="_GoBack"/>
    <w:bookmarkEnd w:id="1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2FlMmRhNmJiYjIzOWVlODEyNzZhODVkOWNhODIifQ=="/>
  </w:docVars>
  <w:rsids>
    <w:rsidRoot w:val="00172A27"/>
    <w:rsid w:val="00A60BA0"/>
    <w:rsid w:val="019E71BD"/>
    <w:rsid w:val="041C42DA"/>
    <w:rsid w:val="04B679C3"/>
    <w:rsid w:val="059F74A8"/>
    <w:rsid w:val="05F07036"/>
    <w:rsid w:val="06E00104"/>
    <w:rsid w:val="080F63D8"/>
    <w:rsid w:val="09341458"/>
    <w:rsid w:val="098254C2"/>
    <w:rsid w:val="0A766EDE"/>
    <w:rsid w:val="0AD64BE8"/>
    <w:rsid w:val="0B0912D7"/>
    <w:rsid w:val="0E025194"/>
    <w:rsid w:val="100E0382"/>
    <w:rsid w:val="152D2DCA"/>
    <w:rsid w:val="187168EA"/>
    <w:rsid w:val="196673CA"/>
    <w:rsid w:val="1B2F4AEE"/>
    <w:rsid w:val="1CF734C9"/>
    <w:rsid w:val="1DEC284C"/>
    <w:rsid w:val="1E6523AC"/>
    <w:rsid w:val="22440422"/>
    <w:rsid w:val="22BB4BBB"/>
    <w:rsid w:val="24D4698F"/>
    <w:rsid w:val="24F032B6"/>
    <w:rsid w:val="27577642"/>
    <w:rsid w:val="29143B49"/>
    <w:rsid w:val="2AEB3417"/>
    <w:rsid w:val="2DB63FDA"/>
    <w:rsid w:val="31A15F24"/>
    <w:rsid w:val="324A1681"/>
    <w:rsid w:val="36FB1DF0"/>
    <w:rsid w:val="37881A67"/>
    <w:rsid w:val="37FE39FA"/>
    <w:rsid w:val="395347B5"/>
    <w:rsid w:val="39A232A0"/>
    <w:rsid w:val="39E745AA"/>
    <w:rsid w:val="3B5A6BBB"/>
    <w:rsid w:val="3E355853"/>
    <w:rsid w:val="3EDA13A6"/>
    <w:rsid w:val="417B75E9"/>
    <w:rsid w:val="42F058B7"/>
    <w:rsid w:val="436109F6"/>
    <w:rsid w:val="441A38D4"/>
    <w:rsid w:val="4504239D"/>
    <w:rsid w:val="46A2058E"/>
    <w:rsid w:val="478A5344"/>
    <w:rsid w:val="4BC77339"/>
    <w:rsid w:val="4C9236C5"/>
    <w:rsid w:val="4E250A85"/>
    <w:rsid w:val="4F1F1D52"/>
    <w:rsid w:val="4FFD4925"/>
    <w:rsid w:val="505C172E"/>
    <w:rsid w:val="506405EA"/>
    <w:rsid w:val="52F46F0B"/>
    <w:rsid w:val="532B6A10"/>
    <w:rsid w:val="53D8014D"/>
    <w:rsid w:val="556817E6"/>
    <w:rsid w:val="55E064E0"/>
    <w:rsid w:val="572C6D10"/>
    <w:rsid w:val="5A2D2BB5"/>
    <w:rsid w:val="5D79338B"/>
    <w:rsid w:val="5DC34279"/>
    <w:rsid w:val="5FCD688E"/>
    <w:rsid w:val="5FF9BDAA"/>
    <w:rsid w:val="5FFE5333"/>
    <w:rsid w:val="60665B48"/>
    <w:rsid w:val="608816D1"/>
    <w:rsid w:val="60EF4E7F"/>
    <w:rsid w:val="63E05BC6"/>
    <w:rsid w:val="648B0A32"/>
    <w:rsid w:val="665233C1"/>
    <w:rsid w:val="66C32BE9"/>
    <w:rsid w:val="67465B50"/>
    <w:rsid w:val="6881195A"/>
    <w:rsid w:val="69AC0D42"/>
    <w:rsid w:val="6AB87A25"/>
    <w:rsid w:val="6AD9688B"/>
    <w:rsid w:val="6D0E3F22"/>
    <w:rsid w:val="6F460115"/>
    <w:rsid w:val="704E165B"/>
    <w:rsid w:val="744B28A5"/>
    <w:rsid w:val="744E4660"/>
    <w:rsid w:val="753355A2"/>
    <w:rsid w:val="759F1C61"/>
    <w:rsid w:val="769F2DE8"/>
    <w:rsid w:val="76FDEB7C"/>
    <w:rsid w:val="79C65162"/>
    <w:rsid w:val="7C141356"/>
    <w:rsid w:val="7C9011D9"/>
    <w:rsid w:val="7CA91CC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表文"/>
    <w:basedOn w:val="1"/>
    <w:next w:val="1"/>
    <w:qFormat/>
    <w:uiPriority w:val="0"/>
    <w:pPr>
      <w:pBdr>
        <w:top w:val="none" w:color="auto" w:sz="0" w:space="1"/>
        <w:left w:val="none" w:color="auto" w:sz="0" w:space="4"/>
        <w:bottom w:val="none" w:color="auto" w:sz="0" w:space="1"/>
        <w:right w:val="none" w:color="auto" w:sz="0" w:space="4"/>
      </w:pBdr>
      <w:spacing w:line="240" w:lineRule="auto"/>
      <w:ind w:firstLine="0" w:firstLineChars="0"/>
      <w:jc w:val="center"/>
    </w:pPr>
    <w:rPr>
      <w:sz w:val="21"/>
      <w:szCs w:val="21"/>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ind w:firstLine="626"/>
    </w:pPr>
    <w:rPr>
      <w:rFonts w:ascii="仿宋_GB2312" w:hAnsi="Times New Roman" w:eastAsia="仿宋_GB2312" w:cs="Times New Roman"/>
      <w:bCs/>
      <w:sz w:val="32"/>
      <w:szCs w:val="24"/>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99"/>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 Text First Indent1"/>
    <w:qFormat/>
    <w:uiPriority w:val="0"/>
    <w:pPr>
      <w:widowControl w:val="0"/>
      <w:adjustRightInd w:val="0"/>
      <w:spacing w:line="275" w:lineRule="atLeast"/>
      <w:ind w:left="20" w:firstLine="42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5407</Words>
  <Characters>5894</Characters>
  <Lines>1</Lines>
  <Paragraphs>1</Paragraphs>
  <TotalTime>2</TotalTime>
  <ScaleCrop>false</ScaleCrop>
  <LinksUpToDate>false</LinksUpToDate>
  <CharactersWithSpaces>5895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2023-07-27T08:39:00Z</cp:lastPrinted>
  <dcterms:modified xsi:type="dcterms:W3CDTF">2025-04-22T07:47:59Z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4C1FC64DFBC34C22844771549B34359C_13</vt:lpwstr>
  </property>
  <property fmtid="{D5CDD505-2E9C-101B-9397-08002B2CF9AE}" pid="4" name="KSOTemplateDocerSaveRecord">
    <vt:lpwstr>eyJoZGlkIjoiNWFhZDc4N2FjMjA4NGE4NzI0ODM4NDlmOTk2ZjBiZTkiLCJ1c2VySWQiOiI1MTYwODE0ODUifQ==</vt:lpwstr>
  </property>
</Properties>
</file>