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奉节县2023年长江经济带运输船舶岸电系统受电设施改造项目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为了加强经费的支出管理，提高资金使用效益，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奉节县财政局《奉节县财政局关于下达重大区域发展战略建设(长江经济带绿色发展方向)2021年船舶污染治理项目中央预算内投资预算的通知》（奉节财建</w:t>
      </w:r>
      <w:r>
        <w:rPr>
          <w:rFonts w:hint="eastAsia" w:cs="Times New Roman"/>
          <w:sz w:val="32"/>
          <w:szCs w:val="32"/>
          <w:lang w:val="en-US" w:eastAsia="zh-CN"/>
        </w:rPr>
        <w:t>[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2021</w:t>
      </w:r>
      <w:r>
        <w:rPr>
          <w:rFonts w:hint="eastAsia" w:cs="Times New Roman"/>
          <w:sz w:val="32"/>
          <w:szCs w:val="32"/>
          <w:lang w:val="en-US" w:eastAsia="zh-CN"/>
        </w:rPr>
        <w:t>]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161号），在下达资金预算时同步下达了绩效目标。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</w:t>
      </w:r>
      <w:r>
        <w:rPr>
          <w:rFonts w:hint="eastAsia" w:cs="Times New Roman"/>
          <w:bCs/>
          <w:sz w:val="32"/>
          <w:szCs w:val="32"/>
          <w:lang w:eastAsia="zh-CN"/>
        </w:rPr>
        <w:t>项目资金到位情况分析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县财政局下达项目经费预算</w:t>
      </w:r>
      <w:r>
        <w:rPr>
          <w:rFonts w:hint="eastAsia" w:cs="Times New Roman"/>
          <w:sz w:val="32"/>
          <w:szCs w:val="32"/>
          <w:lang w:val="en-US" w:eastAsia="zh-CN"/>
        </w:rPr>
        <w:t>9.4万元，到达资金100%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eastAsia" w:ascii="Times New Roman" w:cs="Times New Roman"/>
          <w:bCs/>
          <w:sz w:val="32"/>
          <w:szCs w:val="32"/>
          <w:lang w:eastAsia="zh-CN"/>
        </w:rPr>
        <w:t>项目资金执行情况分析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项目资金主要用于1家企业（1艘）船舶岸电系统受电设施的改造，2023年度实际使用9.4万元，资金使用率100%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</w:t>
      </w:r>
      <w:r>
        <w:rPr>
          <w:rFonts w:hint="eastAsia" w:cs="Times New Roman"/>
          <w:sz w:val="32"/>
          <w:szCs w:val="32"/>
          <w:lang w:eastAsia="zh-CN"/>
        </w:rPr>
        <w:t>项目完成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数量。</w:t>
      </w:r>
      <w:r>
        <w:rPr>
          <w:rFonts w:hint="eastAsia" w:cs="Times New Roman"/>
          <w:sz w:val="32"/>
          <w:szCs w:val="32"/>
          <w:lang w:val="en-US" w:eastAsia="zh-CN"/>
        </w:rPr>
        <w:t>该笔预算资金主要用于1家企业（1艘船舶）岸电系统受电设施的改造，总体完成进度较好，完成率较好，预算项目的执行力度较好，能够实现履职任务目标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</w:t>
      </w:r>
      <w:r>
        <w:rPr>
          <w:rFonts w:hint="eastAsia" w:cs="Times New Roman"/>
          <w:sz w:val="32"/>
          <w:szCs w:val="32"/>
          <w:lang w:eastAsia="zh-CN"/>
        </w:rPr>
        <w:t>项目完成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质量。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项目资金主要用于岸电系统受电设施的改造。实际实施项目与预算资金匹配度高，资金使用均按指定用途执行，质量均已达标，在履职质量的目标实现程度方便把控好。 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</w:t>
      </w:r>
      <w:r>
        <w:rPr>
          <w:rFonts w:hint="eastAsia" w:cs="Times New Roman"/>
          <w:sz w:val="32"/>
          <w:szCs w:val="32"/>
          <w:lang w:eastAsia="zh-CN"/>
        </w:rPr>
        <w:t>项目实施进度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cs="Times New Roman"/>
          <w:sz w:val="32"/>
          <w:szCs w:val="32"/>
          <w:lang w:val="en-US" w:eastAsia="zh-CN"/>
        </w:rPr>
        <w:t>按照项目实施计划节点，及时开展组织实施各项工作，基本按照项目计划实施。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</w:t>
      </w:r>
      <w:r>
        <w:rPr>
          <w:rFonts w:hint="eastAsia" w:cs="Times New Roman"/>
          <w:sz w:val="32"/>
          <w:szCs w:val="32"/>
          <w:lang w:eastAsia="zh-CN"/>
        </w:rPr>
        <w:t>项目成本节约情况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cs="Times New Roman"/>
          <w:sz w:val="32"/>
          <w:szCs w:val="32"/>
          <w:lang w:eastAsia="zh-CN"/>
        </w:rPr>
        <w:t>从严控制各项经费支出，严格按照规定使用财政资金，不铺张浪费，经费支出没有超出项目年度预算。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项目实施的社会效益分析。项目的实施减少不规范的搭电用电情况，为建设绿色长江经济带提供有利保障。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cs="Times New Roman"/>
          <w:sz w:val="32"/>
          <w:szCs w:val="32"/>
          <w:lang w:eastAsia="zh-CN"/>
        </w:rPr>
        <w:t>岸电系统受电设施的改造，改善了船员生活环境，为发展绿色航运提供了有利条件。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pStyle w:val="2"/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改善了船舶受电设施安全、环保并建立良好的管理机制、保障项目可持续发展;且服务对象满意达到100%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，无佐证材料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sectPr>
          <w:pgSz w:w="11906" w:h="16838"/>
          <w:pgMar w:top="2098" w:right="1474" w:bottom="1984" w:left="1588" w:header="851" w:footer="992" w:gutter="0"/>
          <w:cols w:space="0" w:num="1"/>
          <w:rtlGutter w:val="0"/>
          <w:docGrid w:type="lines" w:linePitch="312" w:charSpace="0"/>
        </w:sectPr>
      </w:pPr>
    </w:p>
    <w:tbl>
      <w:tblPr>
        <w:tblStyle w:val="4"/>
        <w:tblW w:w="1080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116"/>
        <w:gridCol w:w="1676"/>
        <w:gridCol w:w="984"/>
        <w:gridCol w:w="1152"/>
        <w:gridCol w:w="1221"/>
        <w:gridCol w:w="1055"/>
        <w:gridCol w:w="1113"/>
        <w:gridCol w:w="1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预算单位：</w:t>
            </w:r>
          </w:p>
        </w:tc>
        <w:tc>
          <w:tcPr>
            <w:tcW w:w="3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奉节县港航海事事务中心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奉节县2023年长江经济带运输船舶岸电系统受电设施改造项目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项目分类</w:t>
            </w:r>
          </w:p>
        </w:tc>
        <w:tc>
          <w:tcPr>
            <w:tcW w:w="36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资产资源类--基础设施类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建设周期</w:t>
            </w:r>
          </w:p>
        </w:tc>
        <w:tc>
          <w:tcPr>
            <w:tcW w:w="2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5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20"/>
                <w:szCs w:val="20"/>
                <w:u w:val="none"/>
                <w:lang w:val="en-US" w:eastAsia="zh-CN" w:bidi="ar"/>
              </w:rPr>
              <w:t>2023年1月1日-2023年8月31日</w:t>
            </w:r>
          </w:p>
        </w:tc>
        <w:tc>
          <w:tcPr>
            <w:tcW w:w="2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业务主管部门</w:t>
            </w:r>
          </w:p>
        </w:tc>
        <w:tc>
          <w:tcPr>
            <w:tcW w:w="36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奉节县港航海事事务中心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柯平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13500366008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项目总体概况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项目计划完成情况</w:t>
            </w:r>
          </w:p>
        </w:tc>
        <w:tc>
          <w:tcPr>
            <w:tcW w:w="4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1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为改善之前船舶不规范搭接用电设施的情况，对船舶岸电设施改造，为建设绿色长江经济带提供有力保障</w:t>
            </w:r>
          </w:p>
        </w:tc>
        <w:tc>
          <w:tcPr>
            <w:tcW w:w="4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共完成1家企业（1艘船舶）岸电系统受电设施的改造，为建设绿色长江经济带提高有力保障，实现可持续发展。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项目资金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预算执行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（10分）</w:t>
            </w:r>
          </w:p>
        </w:tc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资金性质</w:t>
            </w:r>
          </w:p>
        </w:tc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预算数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执行数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执行得分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预算分类</w:t>
            </w:r>
          </w:p>
        </w:tc>
        <w:tc>
          <w:tcPr>
            <w:tcW w:w="1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总预算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</w:t>
            </w: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支出归口科室填写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其中：其它资金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年度绩效目标</w:t>
            </w:r>
            <w:r>
              <w:rPr>
                <w:rStyle w:val="8"/>
                <w:lang w:val="en-US" w:eastAsia="zh-CN" w:bidi="ar"/>
              </w:rPr>
              <w:t>（90分）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2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05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成本指标</w:t>
            </w:r>
            <w:r>
              <w:rPr>
                <w:rStyle w:val="8"/>
                <w:lang w:val="en-US" w:eastAsia="zh-CN" w:bidi="ar"/>
              </w:rPr>
              <w:t>（0-20）分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受电改造成本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产出指标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（40-50）分</w:t>
            </w:r>
          </w:p>
        </w:tc>
        <w:tc>
          <w:tcPr>
            <w:tcW w:w="1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企业补助个数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1家企业（1艘船舶）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按国家政策、法规执行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 xml:space="preserve">效益指标  </w:t>
            </w:r>
            <w:r>
              <w:rPr>
                <w:rStyle w:val="8"/>
                <w:lang w:val="en-US" w:eastAsia="zh-CN" w:bidi="ar"/>
              </w:rPr>
              <w:t>（20-30）分</w:t>
            </w:r>
          </w:p>
        </w:tc>
        <w:tc>
          <w:tcPr>
            <w:tcW w:w="1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改善船舶受电设施安全、环保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可持续发展指标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建立良好的管理机制、保障项目可持续发展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 w:colFirst="8" w:colLast="8"/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 xml:space="preserve">满意度指标   </w:t>
            </w:r>
            <w:r>
              <w:rPr>
                <w:rStyle w:val="8"/>
                <w:lang w:val="en-US" w:eastAsia="zh-CN" w:bidi="ar"/>
              </w:rPr>
              <w:t>（10分）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受益群体满意度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帮扶对象满意度指标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读者满意度指标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指标总分值合计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单位负责人（签字）：                      填表人： 刘冬颖              填报日期： 2024 年1 月24 日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94A586B7-B3F3-4A6C-A412-401BA4182B14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3CF7E879-55A8-4E28-9170-B21C6BC2085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8F420874-E3C3-433E-A382-9EBED6ED499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221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ZGQ5YjE2MzhlOTlmZjRlNjM2YjMwZWM5NmVlN2MifQ=="/>
    <w:docVar w:name="KSO_WPS_MARK_KEY" w:val="3b1ee6fc-b4f9-4f5b-a80e-dc4924b0ed10"/>
  </w:docVars>
  <w:rsids>
    <w:rsidRoot w:val="00172A27"/>
    <w:rsid w:val="001577CF"/>
    <w:rsid w:val="011952D6"/>
    <w:rsid w:val="01536131"/>
    <w:rsid w:val="02964AE7"/>
    <w:rsid w:val="02C1531D"/>
    <w:rsid w:val="03697D2C"/>
    <w:rsid w:val="070A77CF"/>
    <w:rsid w:val="072430CB"/>
    <w:rsid w:val="08482C36"/>
    <w:rsid w:val="09BE25B6"/>
    <w:rsid w:val="0A8478CF"/>
    <w:rsid w:val="0BAA68E4"/>
    <w:rsid w:val="0C14116F"/>
    <w:rsid w:val="0FF86C17"/>
    <w:rsid w:val="10CA582D"/>
    <w:rsid w:val="11CA68E9"/>
    <w:rsid w:val="130F0BD5"/>
    <w:rsid w:val="156B205C"/>
    <w:rsid w:val="163D1F65"/>
    <w:rsid w:val="19654971"/>
    <w:rsid w:val="1BDD2D6F"/>
    <w:rsid w:val="1D9E3644"/>
    <w:rsid w:val="216A1E99"/>
    <w:rsid w:val="21D22D1B"/>
    <w:rsid w:val="21FB0519"/>
    <w:rsid w:val="23492ED9"/>
    <w:rsid w:val="236B6D01"/>
    <w:rsid w:val="23E1027D"/>
    <w:rsid w:val="27044C59"/>
    <w:rsid w:val="27EE1E60"/>
    <w:rsid w:val="2A3D6D43"/>
    <w:rsid w:val="2A8C737D"/>
    <w:rsid w:val="2FBB1082"/>
    <w:rsid w:val="30F172AE"/>
    <w:rsid w:val="31C3610C"/>
    <w:rsid w:val="31E340B8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35E3EE6"/>
    <w:rsid w:val="45700A40"/>
    <w:rsid w:val="45BA5921"/>
    <w:rsid w:val="462A7E93"/>
    <w:rsid w:val="463C1EDB"/>
    <w:rsid w:val="48914D5A"/>
    <w:rsid w:val="49317EC7"/>
    <w:rsid w:val="49FD67BC"/>
    <w:rsid w:val="4A79527D"/>
    <w:rsid w:val="4B707823"/>
    <w:rsid w:val="4D622C5D"/>
    <w:rsid w:val="4FF866B8"/>
    <w:rsid w:val="51A90316"/>
    <w:rsid w:val="52B3003C"/>
    <w:rsid w:val="53710C05"/>
    <w:rsid w:val="553A7D51"/>
    <w:rsid w:val="569A4F52"/>
    <w:rsid w:val="577076A0"/>
    <w:rsid w:val="58E06F46"/>
    <w:rsid w:val="58F6256A"/>
    <w:rsid w:val="5B6F758E"/>
    <w:rsid w:val="5C0C37FC"/>
    <w:rsid w:val="5C7835C7"/>
    <w:rsid w:val="5DE80B25"/>
    <w:rsid w:val="5E0A0053"/>
    <w:rsid w:val="5E971EF7"/>
    <w:rsid w:val="5F0B13A7"/>
    <w:rsid w:val="5F33231F"/>
    <w:rsid w:val="5F8605F5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8E035E"/>
    <w:rsid w:val="6A986D66"/>
    <w:rsid w:val="6AAF14B1"/>
    <w:rsid w:val="6D8E41F3"/>
    <w:rsid w:val="722872EA"/>
    <w:rsid w:val="72DC5572"/>
    <w:rsid w:val="736E51D0"/>
    <w:rsid w:val="73931DC3"/>
    <w:rsid w:val="757840E4"/>
    <w:rsid w:val="75AE0E62"/>
    <w:rsid w:val="76231678"/>
    <w:rsid w:val="76704626"/>
    <w:rsid w:val="791D74D9"/>
    <w:rsid w:val="7A9940DE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2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3</TotalTime>
  <ScaleCrop>false</ScaleCrop>
  <LinksUpToDate>false</LinksUpToDate>
  <CharactersWithSpaces>1532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2024-04-17T08:08:38Z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CD8F0130403F43B592572B5748B831EC</vt:lpwstr>
  </property>
</Properties>
</file>