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四条精品线打造</w:t>
      </w:r>
    </w:p>
    <w:p>
      <w:pPr>
        <w:spacing w:line="600" w:lineRule="exact"/>
        <w:jc w:val="center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整治</w:t>
      </w:r>
      <w:r>
        <w:rPr>
          <w:rFonts w:hint="eastAsia" w:ascii="方正仿宋_GBK" w:hAnsi="方正仿宋_GBK" w:eastAsia="方正仿宋_GBK" w:cs="方正仿宋_GBK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</w:t>
      </w:r>
      <w:r>
        <w:rPr>
          <w:rFonts w:hint="eastAsia" w:cs="Times New Roman"/>
          <w:b/>
          <w:sz w:val="44"/>
          <w:szCs w:val="44"/>
          <w:lang w:eastAsia="zh-CN"/>
        </w:rPr>
        <w:t>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C00000"/>
          <w:sz w:val="32"/>
          <w:szCs w:val="32"/>
          <w:lang w:val="en-US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项目总预算218.3万元，截止2023年12月31日财政累计下218.3达万元，工程已完工。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</w:t>
      </w:r>
      <w:r>
        <w:rPr>
          <w:rFonts w:hint="eastAsia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）总体绩效目标完成情况分析。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/>
        </w:rPr>
      </w:pPr>
      <w:r>
        <w:rPr>
          <w:rFonts w:hint="eastAsia" w:cs="Times New Roman"/>
          <w:bCs/>
          <w:sz w:val="32"/>
          <w:szCs w:val="32"/>
          <w:lang w:val="en-US" w:eastAsia="zh-CN"/>
        </w:rPr>
        <w:t>通过对奉节县上坝中学方舱医院支路路面损坏修复，有力的提高了行人和道路通车的安全</w:t>
      </w:r>
      <w:r>
        <w:rPr>
          <w:rFonts w:hint="eastAsia"/>
          <w:color w:val="auto"/>
          <w:lang w:val="en-US" w:eastAsia="zh-CN"/>
        </w:rPr>
        <w:t>路域环境提升</w:t>
      </w:r>
      <w:r>
        <w:rPr>
          <w:rFonts w:hint="eastAsia" w:cs="Times New Roman"/>
          <w:bCs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路面整治11642平方，完成C20砼路肩73.2方，边沟海底1300米，因此数量指标得分30分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验收合格率100%，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按计划完成及时率100%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cs="Times New Roman"/>
          <w:sz w:val="32"/>
          <w:szCs w:val="32"/>
          <w:lang w:eastAsia="zh-CN"/>
        </w:rPr>
        <w:t>出行更安全方便，</w:t>
      </w:r>
      <w:r>
        <w:rPr>
          <w:rFonts w:hint="eastAsia" w:cs="Times New Roman"/>
          <w:sz w:val="32"/>
          <w:szCs w:val="32"/>
          <w:lang w:val="en-US" w:eastAsia="zh-CN"/>
        </w:rPr>
        <w:t>因此社会效益得分20分。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</w:t>
      </w:r>
      <w:r>
        <w:rPr>
          <w:rFonts w:hint="eastAsia" w:cs="Times New Roman"/>
          <w:sz w:val="32"/>
          <w:szCs w:val="32"/>
          <w:lang w:eastAsia="zh-CN"/>
        </w:rPr>
        <w:t>发展指标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该项目实施完成后，普通公路安全运行10年，因此可持续发展指标得分10分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3.满意度指标。</w:t>
      </w:r>
      <w:r>
        <w:rPr>
          <w:rFonts w:hint="eastAsia" w:cs="Times New Roman"/>
          <w:sz w:val="32"/>
          <w:szCs w:val="32"/>
          <w:lang w:eastAsia="zh-CN"/>
        </w:rPr>
        <w:t>服务对象满意指标，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为90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评价结果为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2023年四条精品线打造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218.3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路面整治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11642平方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400平方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C20砼路肩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28方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28方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边沟海底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1300米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1300米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按计划完成及时率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按计划完成及时率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普通公路安全运行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≥10年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普通公路安全运行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0" w:name="_GoBack" w:colFirst="4" w:colLast="4"/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/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</w:docVars>
  <w:rsids>
    <w:rsidRoot w:val="2FA50C6F"/>
    <w:rsid w:val="003B2A66"/>
    <w:rsid w:val="02284489"/>
    <w:rsid w:val="05586289"/>
    <w:rsid w:val="0892492D"/>
    <w:rsid w:val="08A61E19"/>
    <w:rsid w:val="0D271B92"/>
    <w:rsid w:val="122D7BCF"/>
    <w:rsid w:val="130F0BD5"/>
    <w:rsid w:val="13C5566A"/>
    <w:rsid w:val="183E7AD3"/>
    <w:rsid w:val="1D620B16"/>
    <w:rsid w:val="1D911934"/>
    <w:rsid w:val="1E31348C"/>
    <w:rsid w:val="200A7CB0"/>
    <w:rsid w:val="22453214"/>
    <w:rsid w:val="23A34B10"/>
    <w:rsid w:val="24B77ED6"/>
    <w:rsid w:val="25CB667F"/>
    <w:rsid w:val="2EE42D19"/>
    <w:rsid w:val="2FA50C6F"/>
    <w:rsid w:val="3380439E"/>
    <w:rsid w:val="33CC1393"/>
    <w:rsid w:val="387777A2"/>
    <w:rsid w:val="3BC8294D"/>
    <w:rsid w:val="413171BB"/>
    <w:rsid w:val="4325316C"/>
    <w:rsid w:val="48A41304"/>
    <w:rsid w:val="4B336EC4"/>
    <w:rsid w:val="5D1E7D0F"/>
    <w:rsid w:val="652672DE"/>
    <w:rsid w:val="681579A8"/>
    <w:rsid w:val="6A3F47C6"/>
    <w:rsid w:val="769473F3"/>
    <w:rsid w:val="7DA77B9B"/>
    <w:rsid w:val="7EAA5A9E"/>
    <w:rsid w:val="7EC4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2023-07-27T00:25:00Z</dcterms:created>
  <dc:creator>Administrator</dc:creator>
  <cp:lastModifiedBy>l'x</cp:lastModifiedBy>
  <dcterms:modified xsi:type="dcterms:W3CDTF">2024-03-21T08:50:22Z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5A9B5C85E06648288BD394B99093B670_13</vt:lpwstr>
  </property>
</Properties>
</file>