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2023年四基四化及执法标准化建设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专项资金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年度预算项目为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四基四化及区县执法标准化建设项目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，预算资金为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万元整，主要用于“四基四化”建设，使基层执法队伍职业化，基层执法站所标准化，基层管理制度规范化以及基层执法工作信息化。该项预算资金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年度内基本支出完成。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（二）分解下达资金预算和绩效目标情况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该项目预算资金一次性下达至单位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代管资金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账户。当年度购置了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对大队及机关进行了阵地建设以及执法装备购置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等。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6"/>
        <w:ind w:left="640" w:leftChars="200" w:firstLine="0" w:firstLineChars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2023年6月12日财政下达80万，已完成100%拨付。（二）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完成了总队四基四化、普法依法治理基地建设要求，做到了规范化执法，有力的</w:t>
      </w:r>
      <w:r>
        <w:rPr>
          <w:rFonts w:hint="eastAsia" w:eastAsia="方正仿宋_GBK"/>
          <w:color w:val="auto"/>
          <w:lang w:val="en-US" w:eastAsia="zh-CN"/>
        </w:rPr>
        <w:t>保障了道路的通行安全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（1）项目完成数量。该笔预算资金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主要用于执法单兵设备及执法信息化建设设备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购买执法平板56台，执法记录仪56台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。总体完成进度较好，完成率较好，预算项目的执行力度较好，能够实现履职任务目标。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（2）项目完成质量。20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已完成，项目实际完成率为100%。实际实施项目与预算资金匹配度高，资金使用均按指定用途执行，质量均已达标，在履职质量的目标实现程度方面把控较好。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（3）项目实施进度。按照项目实施计划节点，及时开展组织实施各项工作，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基本按照项目计划实施。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（4）项目成本节约情况。从严控制各项经费支出，严格按照规定使用财政资金，不铺张浪费，经费支出没有超出项目年度预算。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2.效益指标完成情况分析。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（1）项目实施的经济效益分析。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打击非法营运车辆，加大对营运车辆的监管，保障了合法营运车辆的权益，提升当地营运车辆整体形象，有利于整个县城旅游经济的健康发展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（2）项目实施的社会效益分析。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设置信访室、接待室，将办公区与生活区分开，基础设施保障有力。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）项目实施的可持续影响分析。项目的实施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保障了人民群众出行时的生命财产安全，促进当地经济和社会的可持续发展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营运车辆工作者的整体形象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，大部分群众表示支持和理解，满意度逐步提高。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tbl>
      <w:tblPr>
        <w:tblStyle w:val="4"/>
        <w:tblW w:w="9727" w:type="dxa"/>
        <w:tblInd w:w="-5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856"/>
        <w:gridCol w:w="1304"/>
        <w:gridCol w:w="1141"/>
        <w:gridCol w:w="1507"/>
        <w:gridCol w:w="623"/>
        <w:gridCol w:w="1021"/>
        <w:gridCol w:w="228"/>
        <w:gridCol w:w="370"/>
        <w:gridCol w:w="570"/>
        <w:gridCol w:w="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008" w:firstLineChars="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3313" w:firstLineChars="15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年四基四化（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执法标准化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）建设资金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郑鸿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奉节县交通局</w:t>
            </w:r>
          </w:p>
        </w:tc>
        <w:tc>
          <w:tcPr>
            <w:tcW w:w="18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县交通执法支队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其中：财政拨款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        其他资金</w:t>
            </w:r>
          </w:p>
        </w:tc>
        <w:tc>
          <w:tcPr>
            <w:tcW w:w="1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20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20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通过“四基四化”建设，使基层执法队伍职业化，基层执法站所标准化，基层管理制度规范化以及基层执法工作信息化。</w:t>
            </w:r>
          </w:p>
        </w:tc>
        <w:tc>
          <w:tcPr>
            <w:tcW w:w="3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实现了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基层执法队伍职业化，基层执法站所标准化，基层管理制度规范化以及基层执法工作信息化。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2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配备执法信息化设备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各站点配备便携式电脑、打印机至少一台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56台平板电脑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配备单兵信息化设备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执法人员人手一台执法记录仪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56台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验收合格率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工程完工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及时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率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实行电子化办公，减少执法成本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实行电子化办公，减少纸张用量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增加财政收入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超额完成工作任务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基础设施保障有力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设置信访室、接待室、办公区与生活区分开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有效保障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保护环境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实行电子化办公，减少纸张用量，利于环境保护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工程使用年限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&gt;10年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6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&gt;10年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办事群众满意度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2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0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郑鸿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靳智玲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2023-10-11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lMGNlMWJmMzYzNzJmNDFjMDliNzRhZGY3NzVlMmQifQ=="/>
  </w:docVars>
  <w:rsids>
    <w:rsidRoot w:val="198C44AE"/>
    <w:rsid w:val="198C44AE"/>
    <w:rsid w:val="6F2E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paragraph" w:customStyle="1" w:styleId="6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2024-01-05T01:27:00Z</dcterms:created>
  <dc:creator>J-ZHILING</dc:creator>
  <cp:lastModifiedBy>J-ZHILING</cp:lastModifiedBy>
  <dcterms:modified xsi:type="dcterms:W3CDTF">2024-01-05T02:36:18Z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F384714B05E04EAD8A2B33B995F45204_11</vt:lpwstr>
  </property>
</Properties>
</file>