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cs="Times New Roman"/>
          <w:b/>
          <w:bCs/>
          <w:color w:val="auto"/>
          <w:kern w:val="0"/>
          <w:sz w:val="44"/>
          <w:szCs w:val="44"/>
          <w:shd w:val="clear" w:color="auto" w:fill="FFFFFF"/>
          <w:lang w:val="en-US" w:eastAsia="zh-CN" w:bidi="ar"/>
        </w:rPr>
      </w:pPr>
      <w:r>
        <w:rPr>
          <w:rFonts w:hint="eastAsia" w:cs="Times New Roman"/>
          <w:b/>
          <w:bCs/>
          <w:color w:val="auto"/>
          <w:kern w:val="0"/>
          <w:sz w:val="44"/>
          <w:szCs w:val="44"/>
          <w:shd w:val="clear" w:color="auto" w:fill="FFFFFF"/>
          <w:lang w:val="en-US" w:eastAsia="zh-CN" w:bidi="ar"/>
        </w:rPr>
        <w:t>2022年乡村振兴交通建设专项资金</w:t>
      </w:r>
    </w:p>
    <w:p>
      <w:pPr>
        <w:spacing w:line="600" w:lineRule="exact"/>
        <w:jc w:val="center"/>
        <w:rPr>
          <w:rFonts w:hint="default" w:ascii="Times New Roman" w:hAnsi="Times New Roman" w:eastAsia="方正仿宋_GBK" w:cs="Times New Roman"/>
          <w:b/>
          <w:sz w:val="44"/>
          <w:szCs w:val="44"/>
        </w:rPr>
      </w:pPr>
      <w:r>
        <w:rPr>
          <w:rFonts w:hint="default" w:ascii="Times New Roman" w:hAnsi="Times New Roman" w:eastAsia="方正仿宋_GBK" w:cs="Times New Roman"/>
          <w:b/>
          <w:sz w:val="44"/>
          <w:szCs w:val="44"/>
          <w:lang w:val="en-US" w:eastAsia="zh-CN"/>
        </w:rPr>
        <w:t>项目支出</w:t>
      </w:r>
      <w:r>
        <w:rPr>
          <w:rFonts w:hint="default" w:ascii="Times New Roman" w:hAnsi="Times New Roman" w:eastAsia="方正仿宋_GBK" w:cs="Times New Roman"/>
          <w:b/>
          <w:sz w:val="44"/>
          <w:szCs w:val="44"/>
        </w:rPr>
        <w:t>自评报告</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一、绩效目标分解下达情况</w:t>
      </w:r>
    </w:p>
    <w:p>
      <w:pPr>
        <w:spacing w:line="600" w:lineRule="exact"/>
        <w:ind w:firstLine="640" w:firstLineChars="200"/>
        <w:outlineLvl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（一）县财政下达</w:t>
      </w:r>
      <w:r>
        <w:rPr>
          <w:rFonts w:hint="default" w:ascii="Times New Roman" w:hAnsi="Times New Roman" w:eastAsia="方正仿宋_GBK" w:cs="Times New Roman"/>
          <w:sz w:val="32"/>
          <w:szCs w:val="32"/>
          <w:lang w:eastAsia="zh-CN"/>
        </w:rPr>
        <w:t>项目</w:t>
      </w:r>
      <w:r>
        <w:rPr>
          <w:rFonts w:hint="default" w:ascii="Times New Roman" w:hAnsi="Times New Roman" w:eastAsia="方正仿宋_GBK" w:cs="Times New Roman"/>
          <w:sz w:val="32"/>
          <w:szCs w:val="32"/>
        </w:rPr>
        <w:t>绩效目标情况。</w:t>
      </w:r>
      <w:r>
        <w:rPr>
          <w:rFonts w:hint="default" w:ascii="Times New Roman" w:hAnsi="Times New Roman" w:eastAsia="方正仿宋_GBK" w:cs="Times New Roman"/>
          <w:sz w:val="32"/>
          <w:szCs w:val="32"/>
          <w:lang w:eastAsia="zh-CN"/>
        </w:rPr>
        <w:t>奉节县财政局《关</w:t>
      </w:r>
      <w:r>
        <w:rPr>
          <w:rFonts w:hint="default" w:ascii="Times New Roman" w:hAnsi="Times New Roman" w:cs="Times New Roman"/>
          <w:sz w:val="32"/>
          <w:szCs w:val="32"/>
          <w:lang w:val="en-US" w:eastAsia="zh-CN"/>
        </w:rPr>
        <w:t>于</w:t>
      </w:r>
      <w:r>
        <w:rPr>
          <w:rFonts w:hint="default" w:ascii="Times New Roman" w:hAnsi="Times New Roman" w:eastAsia="方正仿宋_GBK" w:cs="Times New Roman"/>
          <w:sz w:val="32"/>
          <w:szCs w:val="32"/>
          <w:lang w:eastAsia="zh-CN"/>
        </w:rPr>
        <w:t>下达</w:t>
      </w:r>
      <w:r>
        <w:rPr>
          <w:rFonts w:hint="eastAsia" w:cs="Times New Roman"/>
          <w:color w:val="auto"/>
          <w:sz w:val="32"/>
          <w:szCs w:val="32"/>
          <w:lang w:val="en-US" w:eastAsia="zh-CN"/>
        </w:rPr>
        <w:t>2022年部分交通补助专项资金</w:t>
      </w:r>
      <w:r>
        <w:rPr>
          <w:rFonts w:hint="default" w:ascii="Times New Roman" w:hAnsi="Times New Roman" w:eastAsia="方正仿宋_GBK" w:cs="Times New Roman"/>
          <w:sz w:val="32"/>
          <w:szCs w:val="32"/>
          <w:lang w:val="en-US" w:eastAsia="zh-CN"/>
        </w:rPr>
        <w:t>的通知</w:t>
      </w:r>
      <w:r>
        <w:rPr>
          <w:rFonts w:hint="default" w:ascii="Times New Roman" w:hAnsi="Times New Roman" w:eastAsia="方正仿宋_GBK" w:cs="Times New Roman"/>
          <w:sz w:val="32"/>
          <w:szCs w:val="32"/>
          <w:lang w:eastAsia="zh-CN"/>
        </w:rPr>
        <w:t>》（奉节财</w:t>
      </w:r>
      <w:r>
        <w:rPr>
          <w:rFonts w:hint="eastAsia" w:cs="Times New Roman"/>
          <w:sz w:val="32"/>
          <w:szCs w:val="32"/>
          <w:lang w:val="en-US" w:eastAsia="zh-CN"/>
        </w:rPr>
        <w:t>建</w:t>
      </w: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141</w:t>
      </w:r>
      <w:r>
        <w:rPr>
          <w:rFonts w:hint="default" w:ascii="Times New Roman" w:hAnsi="Times New Roman" w:eastAsia="仿宋_GB2312" w:cs="Times New Roman"/>
          <w:sz w:val="32"/>
          <w:szCs w:val="32"/>
          <w:lang w:val="en-US" w:eastAsia="zh-CN"/>
        </w:rPr>
        <w:t>号</w:t>
      </w:r>
      <w:r>
        <w:rPr>
          <w:rFonts w:hint="default" w:ascii="Times New Roman" w:hAnsi="Times New Roman" w:eastAsia="方正仿宋_GBK" w:cs="Times New Roman"/>
          <w:sz w:val="32"/>
          <w:szCs w:val="32"/>
          <w:lang w:eastAsia="zh-CN"/>
        </w:rPr>
        <w:t>），在下达资金预算时同步下达了绩效目标。</w:t>
      </w:r>
    </w:p>
    <w:p>
      <w:pPr>
        <w:tabs>
          <w:tab w:val="left" w:pos="7080"/>
        </w:tabs>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（二）部门资金安排、分解下达预算和绩效目标情况。</w:t>
      </w:r>
      <w:r>
        <w:rPr>
          <w:rFonts w:hint="default" w:ascii="Times New Roman" w:hAnsi="Times New Roman" w:eastAsia="方正仿宋_GBK" w:cs="Times New Roman"/>
          <w:sz w:val="32"/>
          <w:szCs w:val="32"/>
        </w:rPr>
        <w:tab/>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二、绩效目标完成情况分析</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pStyle w:val="2"/>
        <w:ind w:firstLine="640" w:firstLineChars="200"/>
        <w:rPr>
          <w:rFonts w:hint="eastAsia" w:cs="Times New Roman"/>
          <w:sz w:val="32"/>
          <w:szCs w:val="32"/>
          <w:lang w:val="en-US" w:eastAsia="zh-CN"/>
        </w:rPr>
      </w:pPr>
      <w:r>
        <w:rPr>
          <w:rFonts w:hint="eastAsia" w:cs="Times New Roman"/>
          <w:sz w:val="32"/>
          <w:szCs w:val="32"/>
          <w:lang w:eastAsia="zh-CN"/>
        </w:rPr>
        <w:t>截止</w:t>
      </w:r>
      <w:r>
        <w:rPr>
          <w:rFonts w:hint="eastAsia" w:cs="Times New Roman"/>
          <w:sz w:val="32"/>
          <w:szCs w:val="32"/>
          <w:lang w:val="en-US" w:eastAsia="zh-CN"/>
        </w:rPr>
        <w:t>2023年5月财政已下达11.47万，项目已完工，款项已拨付。</w:t>
      </w:r>
    </w:p>
    <w:p>
      <w:pPr>
        <w:pStyle w:val="2"/>
        <w:ind w:firstLine="640" w:firstLineChars="200"/>
        <w:rPr>
          <w:rFonts w:hint="default" w:ascii="Times New Roman" w:hAnsi="Times New Roman" w:eastAsia="方正仿宋_GBK" w:cs="Times New Roman"/>
          <w:bCs/>
          <w:sz w:val="32"/>
          <w:szCs w:val="32"/>
        </w:rPr>
      </w:pPr>
      <w:r>
        <w:rPr>
          <w:rFonts w:hint="eastAsia" w:cs="Times New Roman"/>
          <w:sz w:val="32"/>
          <w:szCs w:val="32"/>
          <w:lang w:val="en-US" w:eastAsia="zh-CN"/>
        </w:rPr>
        <w:t>（二）</w:t>
      </w:r>
      <w:r>
        <w:rPr>
          <w:rFonts w:hint="default" w:ascii="Times New Roman" w:hAnsi="Times New Roman" w:eastAsia="方正仿宋_GBK" w:cs="Times New Roman"/>
          <w:bCs/>
          <w:sz w:val="32"/>
          <w:szCs w:val="32"/>
        </w:rPr>
        <w:t>总体绩效目标完成情况分析。</w:t>
      </w:r>
    </w:p>
    <w:p>
      <w:pPr>
        <w:ind w:firstLine="640" w:firstLineChars="200"/>
        <w:rPr>
          <w:rFonts w:hint="eastAsia" w:eastAsia="方正仿宋_GBK"/>
          <w:color w:val="auto"/>
          <w:lang w:val="en-US" w:eastAsia="zh-CN"/>
        </w:rPr>
      </w:pPr>
      <w:r>
        <w:rPr>
          <w:rFonts w:hint="eastAsia" w:ascii="方正仿宋_GBK" w:hAnsi="方正仿宋_GBK" w:eastAsia="方正仿宋_GBK" w:cs="方正仿宋_GBK"/>
          <w:lang w:val="en-US" w:eastAsia="zh-CN"/>
        </w:rPr>
        <w:t xml:space="preserve"> 通过对全县机动车从业人员考试及证牌照的管理和补贴，降低</w:t>
      </w:r>
      <w:r>
        <w:rPr>
          <w:rFonts w:hint="eastAsia" w:ascii="方正仿宋_GBK" w:hAnsi="方正仿宋_GBK" w:cs="方正仿宋_GBK"/>
          <w:lang w:val="en-US" w:eastAsia="zh-CN"/>
        </w:rPr>
        <w:t>了</w:t>
      </w:r>
      <w:r>
        <w:rPr>
          <w:rFonts w:hint="eastAsia" w:ascii="方正仿宋_GBK" w:hAnsi="方正仿宋_GBK" w:eastAsia="方正仿宋_GBK" w:cs="方正仿宋_GBK"/>
          <w:lang w:val="en-US" w:eastAsia="zh-CN"/>
        </w:rPr>
        <w:t>从业人员</w:t>
      </w:r>
      <w:r>
        <w:rPr>
          <w:rFonts w:hint="eastAsia" w:ascii="方正仿宋_GBK" w:hAnsi="方正仿宋_GBK" w:cs="方正仿宋_GBK"/>
          <w:lang w:val="en-US" w:eastAsia="zh-CN"/>
        </w:rPr>
        <w:t>承担的</w:t>
      </w:r>
      <w:r>
        <w:rPr>
          <w:rFonts w:hint="eastAsia" w:ascii="方正仿宋_GBK" w:hAnsi="方正仿宋_GBK" w:eastAsia="方正仿宋_GBK" w:cs="方正仿宋_GBK"/>
          <w:lang w:val="en-US" w:eastAsia="zh-CN"/>
        </w:rPr>
        <w:t>考试费用，完善</w:t>
      </w:r>
      <w:r>
        <w:rPr>
          <w:rFonts w:hint="eastAsia" w:ascii="方正仿宋_GBK" w:hAnsi="方正仿宋_GBK" w:cs="方正仿宋_GBK"/>
          <w:lang w:val="en-US" w:eastAsia="zh-CN"/>
        </w:rPr>
        <w:t>了</w:t>
      </w:r>
      <w:r>
        <w:rPr>
          <w:rFonts w:hint="eastAsia" w:ascii="方正仿宋_GBK" w:hAnsi="方正仿宋_GBK" w:eastAsia="方正仿宋_GBK" w:cs="方正仿宋_GBK"/>
          <w:lang w:val="en-US" w:eastAsia="zh-CN"/>
        </w:rPr>
        <w:t>公共交通运营服务秩序，促进</w:t>
      </w:r>
      <w:r>
        <w:rPr>
          <w:rFonts w:hint="eastAsia" w:ascii="方正仿宋_GBK" w:hAnsi="方正仿宋_GBK" w:cs="方正仿宋_GBK"/>
          <w:lang w:val="en-US" w:eastAsia="zh-CN"/>
        </w:rPr>
        <w:t>了</w:t>
      </w:r>
      <w:r>
        <w:rPr>
          <w:rFonts w:hint="eastAsia" w:ascii="方正仿宋_GBK" w:hAnsi="方正仿宋_GBK" w:eastAsia="方正仿宋_GBK" w:cs="方正仿宋_GBK"/>
          <w:lang w:val="en-US" w:eastAsia="zh-CN"/>
        </w:rPr>
        <w:t>交通行业健康发展。</w:t>
      </w:r>
    </w:p>
    <w:p>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Cs/>
          <w:sz w:val="32"/>
          <w:szCs w:val="32"/>
        </w:rPr>
        <w:t>（三）绩效目标完成情况分析。</w:t>
      </w:r>
      <w:r>
        <w:rPr>
          <w:rFonts w:hint="default" w:ascii="Times New Roman" w:hAnsi="Times New Roman" w:eastAsia="方正仿宋_GBK" w:cs="Times New Roman"/>
          <w:sz w:val="32"/>
          <w:szCs w:val="32"/>
        </w:rPr>
        <w:t>（根据年初绩效目标及指标逐项分析）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spacing w:line="600" w:lineRule="exact"/>
        <w:ind w:firstLine="640" w:firstLineChars="200"/>
        <w:rPr>
          <w:rFonts w:hint="eastAsia" w:ascii="方正仿宋_GBK" w:hAnsi="方正仿宋_GBK" w:cs="方正仿宋_GBK"/>
          <w:sz w:val="32"/>
          <w:szCs w:val="32"/>
          <w:lang w:val="en-US" w:eastAsia="zh-CN"/>
        </w:rPr>
      </w:pPr>
      <w:r>
        <w:rPr>
          <w:rFonts w:hint="default" w:ascii="Times New Roman" w:hAnsi="Times New Roman" w:eastAsia="方正仿宋_GBK" w:cs="Times New Roman"/>
          <w:sz w:val="32"/>
          <w:szCs w:val="32"/>
        </w:rPr>
        <w:t>（1）数量指标。</w:t>
      </w:r>
      <w:r>
        <w:rPr>
          <w:rFonts w:hint="eastAsia" w:cs="Times New Roman"/>
          <w:sz w:val="32"/>
          <w:szCs w:val="32"/>
          <w:lang w:val="en-US" w:eastAsia="zh-CN"/>
        </w:rPr>
        <w:t>覆盖了全县机动车从业人员考试</w:t>
      </w:r>
      <w:r>
        <w:rPr>
          <w:rFonts w:hint="eastAsia" w:ascii="方正仿宋_GBK" w:hAnsi="方正仿宋_GBK" w:cs="方正仿宋_GBK"/>
          <w:sz w:val="32"/>
          <w:szCs w:val="32"/>
          <w:lang w:val="en-US" w:eastAsia="zh-CN"/>
        </w:rPr>
        <w:t>，因此数量指标得分15分。</w:t>
      </w:r>
    </w:p>
    <w:p>
      <w:pPr>
        <w:spacing w:line="600" w:lineRule="exact"/>
        <w:ind w:firstLine="640" w:firstLineChars="200"/>
        <w:rPr>
          <w:rFonts w:hint="default" w:ascii="方正仿宋_GBK" w:hAnsi="方正仿宋_GBK" w:cs="方正仿宋_GBK"/>
          <w:sz w:val="32"/>
          <w:szCs w:val="32"/>
          <w:lang w:val="en-US" w:eastAsia="zh-CN"/>
        </w:rPr>
      </w:pPr>
      <w:r>
        <w:rPr>
          <w:rFonts w:hint="default" w:ascii="Times New Roman" w:hAnsi="Times New Roman" w:eastAsia="方正仿宋_GBK" w:cs="Times New Roman"/>
          <w:sz w:val="32"/>
          <w:szCs w:val="32"/>
        </w:rPr>
        <w:t>（2）质量指标。</w:t>
      </w:r>
      <w:r>
        <w:rPr>
          <w:rFonts w:hint="eastAsia" w:cs="Times New Roman"/>
          <w:sz w:val="32"/>
          <w:szCs w:val="32"/>
          <w:lang w:eastAsia="zh-CN"/>
        </w:rPr>
        <w:t>按国家规定完成了</w:t>
      </w:r>
      <w:r>
        <w:rPr>
          <w:rFonts w:hint="eastAsia" w:ascii="方正仿宋_GBK" w:hAnsi="方正仿宋_GBK" w:cs="方正仿宋_GBK"/>
          <w:sz w:val="32"/>
          <w:szCs w:val="32"/>
          <w:lang w:val="en-US" w:eastAsia="zh-CN"/>
        </w:rPr>
        <w:t>对机动车从业人员考试及证牌照的管理和补贴</w:t>
      </w:r>
      <w:r>
        <w:rPr>
          <w:rFonts w:hint="eastAsia" w:ascii="方正仿宋_GBK" w:hAnsi="方正仿宋_GBK" w:cs="方正仿宋_GBK"/>
          <w:i w:val="0"/>
          <w:iCs w:val="0"/>
          <w:color w:val="000000"/>
          <w:kern w:val="0"/>
          <w:sz w:val="32"/>
          <w:szCs w:val="32"/>
          <w:u w:val="none"/>
          <w:lang w:val="en-US" w:eastAsia="zh-CN" w:bidi="ar"/>
        </w:rPr>
        <w:t>，</w:t>
      </w:r>
      <w:r>
        <w:rPr>
          <w:rFonts w:hint="eastAsia" w:ascii="方正仿宋_GBK" w:hAnsi="方正仿宋_GBK" w:cs="方正仿宋_GBK"/>
          <w:sz w:val="32"/>
          <w:szCs w:val="32"/>
          <w:lang w:val="en-US" w:eastAsia="zh-CN"/>
        </w:rPr>
        <w:t>因此质量指标得分15分。</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（3）时效指标。</w:t>
      </w:r>
      <w:r>
        <w:rPr>
          <w:rFonts w:hint="eastAsia" w:cs="Times New Roman"/>
          <w:sz w:val="32"/>
          <w:szCs w:val="32"/>
          <w:lang w:val="en-US" w:eastAsia="zh-CN"/>
        </w:rPr>
        <w:t>该项目</w:t>
      </w:r>
      <w:r>
        <w:rPr>
          <w:rFonts w:hint="eastAsia" w:cs="Times New Roman"/>
          <w:sz w:val="32"/>
          <w:szCs w:val="32"/>
          <w:lang w:eastAsia="zh-CN"/>
        </w:rPr>
        <w:t>在规定的</w:t>
      </w:r>
      <w:r>
        <w:rPr>
          <w:rFonts w:hint="eastAsia" w:cs="Times New Roman"/>
          <w:sz w:val="32"/>
          <w:szCs w:val="32"/>
          <w:lang w:val="en-US" w:eastAsia="zh-CN"/>
        </w:rPr>
        <w:t>1年内时间完成补贴</w:t>
      </w:r>
      <w:r>
        <w:rPr>
          <w:rFonts w:hint="eastAsia" w:ascii="方正仿宋_GBK" w:hAnsi="方正仿宋_GBK" w:cs="方正仿宋_GBK"/>
          <w:sz w:val="32"/>
          <w:szCs w:val="32"/>
          <w:lang w:val="en-US" w:eastAsia="zh-CN"/>
        </w:rPr>
        <w:t>，因此时效指标得分10分。</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（4）成本指标。</w:t>
      </w:r>
      <w:r>
        <w:rPr>
          <w:rFonts w:hint="eastAsia" w:cs="Times New Roman"/>
          <w:sz w:val="32"/>
          <w:szCs w:val="32"/>
          <w:lang w:eastAsia="zh-CN"/>
        </w:rPr>
        <w:t>补贴后保证了机动车从业人员考试收取费用只收取</w:t>
      </w:r>
      <w:r>
        <w:rPr>
          <w:rFonts w:hint="eastAsia" w:cs="Times New Roman"/>
          <w:sz w:val="32"/>
          <w:szCs w:val="32"/>
          <w:lang w:val="en-US" w:eastAsia="zh-CN"/>
        </w:rPr>
        <w:t>58元/位，因此成本指标得分10分。</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（1）经济效益。</w:t>
      </w:r>
      <w:r>
        <w:rPr>
          <w:rFonts w:hint="eastAsia" w:cs="Times New Roman"/>
          <w:sz w:val="32"/>
          <w:szCs w:val="32"/>
          <w:lang w:eastAsia="zh-CN"/>
        </w:rPr>
        <w:t>有效维护了交通安全促进经济发展，因此经济效益指标得分</w:t>
      </w:r>
      <w:r>
        <w:rPr>
          <w:rFonts w:hint="eastAsia" w:cs="Times New Roman"/>
          <w:sz w:val="32"/>
          <w:szCs w:val="32"/>
          <w:lang w:val="en-US" w:eastAsia="zh-CN"/>
        </w:rPr>
        <w:t>10分。</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（2）社会效益。</w:t>
      </w:r>
      <w:r>
        <w:rPr>
          <w:rFonts w:hint="eastAsia" w:ascii="方正仿宋_GBK" w:hAnsi="方正仿宋_GBK" w:cs="方正仿宋_GBK"/>
          <w:sz w:val="32"/>
          <w:szCs w:val="32"/>
          <w:lang w:val="en-US" w:eastAsia="zh-CN"/>
        </w:rPr>
        <w:t>该项目实施完成后，有效维护了运输市场稳定安全，因此效益指标得分10分</w:t>
      </w:r>
      <w:r>
        <w:rPr>
          <w:rFonts w:hint="eastAsia" w:cs="Times New Roman"/>
          <w:sz w:val="32"/>
          <w:szCs w:val="32"/>
          <w:lang w:val="en-US" w:eastAsia="zh-CN"/>
        </w:rPr>
        <w:t>。</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（3）生态效益。</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（4）可持续影响。</w:t>
      </w:r>
      <w:r>
        <w:rPr>
          <w:rFonts w:hint="eastAsia" w:cs="Times New Roman"/>
          <w:sz w:val="32"/>
          <w:szCs w:val="32"/>
          <w:lang w:eastAsia="zh-CN"/>
        </w:rPr>
        <w:t>该项目实施完成后，有效维护了市场运输安全在</w:t>
      </w:r>
      <w:r>
        <w:rPr>
          <w:rFonts w:hint="eastAsia" w:cs="Times New Roman"/>
          <w:sz w:val="32"/>
          <w:szCs w:val="32"/>
          <w:lang w:val="en-US" w:eastAsia="zh-CN"/>
        </w:rPr>
        <w:t>1年内</w:t>
      </w:r>
      <w:r>
        <w:rPr>
          <w:rFonts w:hint="eastAsia" w:cs="Times New Roman"/>
          <w:sz w:val="32"/>
          <w:szCs w:val="32"/>
          <w:lang w:eastAsia="zh-CN"/>
        </w:rPr>
        <w:t>可持续，因此可持续影响指标得分</w:t>
      </w:r>
      <w:r>
        <w:rPr>
          <w:rFonts w:hint="eastAsia" w:cs="Times New Roman"/>
          <w:sz w:val="32"/>
          <w:szCs w:val="32"/>
          <w:lang w:val="en-US" w:eastAsia="zh-CN"/>
        </w:rPr>
        <w:t>10分。</w:t>
      </w:r>
    </w:p>
    <w:p>
      <w:pPr>
        <w:spacing w:line="600" w:lineRule="exact"/>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3.满意度指标完成情况分析。</w:t>
      </w:r>
      <w:r>
        <w:rPr>
          <w:rFonts w:hint="eastAsia" w:ascii="方正仿宋_GBK" w:hAnsi="方正仿宋_GBK" w:cs="方正仿宋_GBK"/>
          <w:sz w:val="32"/>
          <w:szCs w:val="32"/>
          <w:lang w:val="en-US" w:eastAsia="zh-CN"/>
        </w:rPr>
        <w:t>受益人</w:t>
      </w:r>
      <w:r>
        <w:rPr>
          <w:rFonts w:hint="eastAsia" w:ascii="方正仿宋_GBK" w:hAnsi="方正仿宋_GBK" w:eastAsia="方正仿宋_GBK" w:cs="方正仿宋_GBK"/>
          <w:sz w:val="32"/>
          <w:szCs w:val="32"/>
          <w:lang w:val="en-US" w:eastAsia="zh-CN"/>
        </w:rPr>
        <w:t>对项目实施的满意度达到</w:t>
      </w:r>
      <w:r>
        <w:rPr>
          <w:rFonts w:hint="eastAsia" w:ascii="方正仿宋_GBK" w:hAnsi="方正仿宋_GBK" w:cs="方正仿宋_GBK"/>
          <w:sz w:val="32"/>
          <w:szCs w:val="32"/>
          <w:lang w:val="en-US" w:eastAsia="zh-CN"/>
        </w:rPr>
        <w:t>90</w:t>
      </w:r>
      <w:r>
        <w:rPr>
          <w:rFonts w:hint="eastAsia" w:ascii="方正仿宋_GBK" w:hAnsi="方正仿宋_GBK" w:eastAsia="方正仿宋_GBK" w:cs="方正仿宋_GBK"/>
          <w:sz w:val="32"/>
          <w:szCs w:val="32"/>
          <w:lang w:val="en-US" w:eastAsia="zh-CN"/>
        </w:rPr>
        <w:t>%</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lang w:val="en-US" w:eastAsia="zh-CN"/>
        </w:rPr>
        <w:t>因此</w:t>
      </w:r>
      <w:r>
        <w:rPr>
          <w:rFonts w:hint="eastAsia" w:ascii="方正仿宋_GBK" w:hAnsi="方正仿宋_GBK" w:eastAsia="方正仿宋_GBK" w:cs="方正仿宋_GBK"/>
          <w:sz w:val="32"/>
          <w:szCs w:val="32"/>
        </w:rPr>
        <w:t>满意度指标</w:t>
      </w:r>
      <w:r>
        <w:rPr>
          <w:rFonts w:hint="eastAsia" w:ascii="方正仿宋_GBK" w:hAnsi="方正仿宋_GBK" w:eastAsia="方正仿宋_GBK" w:cs="方正仿宋_GBK"/>
          <w:sz w:val="32"/>
          <w:szCs w:val="32"/>
          <w:lang w:val="en-US" w:eastAsia="zh-CN"/>
        </w:rPr>
        <w:t>得分</w:t>
      </w:r>
      <w:r>
        <w:rPr>
          <w:rFonts w:hint="eastAsia" w:ascii="方正仿宋_GBK" w:hAnsi="方正仿宋_GBK" w:cs="方正仿宋_GBK"/>
          <w:sz w:val="32"/>
          <w:szCs w:val="32"/>
          <w:lang w:val="en-US" w:eastAsia="zh-CN"/>
        </w:rPr>
        <w:t>10分。</w:t>
      </w:r>
    </w:p>
    <w:p>
      <w:pPr>
        <w:numPr>
          <w:ilvl w:val="0"/>
          <w:numId w:val="0"/>
        </w:num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三、绩效自评结果情况</w:t>
      </w:r>
    </w:p>
    <w:p>
      <w:pPr>
        <w:spacing w:line="600" w:lineRule="exact"/>
        <w:ind w:firstLine="640" w:firstLineChars="200"/>
        <w:rPr>
          <w:rFonts w:hint="default" w:ascii="Times New Roman" w:hAnsi="Times New Roman" w:cs="Times New Roman"/>
        </w:rPr>
      </w:pPr>
      <w:r>
        <w:rPr>
          <w:rFonts w:hint="eastAsia" w:cs="Times New Roman"/>
          <w:sz w:val="32"/>
          <w:szCs w:val="32"/>
          <w:lang w:val="en-US" w:eastAsia="zh-CN"/>
        </w:rPr>
        <w:t>该项目的执行率为100%,得10分；按计划覆盖了全县机动车人员考试</w:t>
      </w:r>
      <w:r>
        <w:rPr>
          <w:rFonts w:hint="eastAsia" w:ascii="方正仿宋_GBK" w:hAnsi="方正仿宋_GBK" w:cs="方正仿宋_GBK"/>
          <w:sz w:val="32"/>
          <w:szCs w:val="32"/>
          <w:lang w:val="en-US" w:eastAsia="zh-CN"/>
        </w:rPr>
        <w:t>，数量指标得15分；在实施项目中，按国家规定完成了补贴</w:t>
      </w:r>
      <w:r>
        <w:rPr>
          <w:rFonts w:hint="eastAsia" w:ascii="方正仿宋_GBK" w:hAnsi="方正仿宋_GBK" w:cs="方正仿宋_GBK"/>
          <w:i w:val="0"/>
          <w:iCs w:val="0"/>
          <w:color w:val="000000"/>
          <w:kern w:val="0"/>
          <w:sz w:val="32"/>
          <w:szCs w:val="32"/>
          <w:u w:val="none"/>
          <w:lang w:val="en-US" w:eastAsia="zh-CN" w:bidi="ar"/>
        </w:rPr>
        <w:t>，</w:t>
      </w:r>
      <w:r>
        <w:rPr>
          <w:rFonts w:hint="eastAsia" w:ascii="方正仿宋_GBK" w:hAnsi="方正仿宋_GBK" w:cs="方正仿宋_GBK"/>
          <w:sz w:val="32"/>
          <w:szCs w:val="32"/>
          <w:lang w:val="en-US" w:eastAsia="zh-CN"/>
        </w:rPr>
        <w:t>质量指标得15分；</w:t>
      </w:r>
      <w:r>
        <w:rPr>
          <w:rFonts w:hint="eastAsia" w:cs="Times New Roman"/>
          <w:sz w:val="32"/>
          <w:szCs w:val="32"/>
          <w:lang w:eastAsia="zh-CN"/>
        </w:rPr>
        <w:t>在规定的</w:t>
      </w:r>
      <w:r>
        <w:rPr>
          <w:rFonts w:hint="eastAsia" w:cs="Times New Roman"/>
          <w:sz w:val="32"/>
          <w:szCs w:val="32"/>
          <w:lang w:val="en-US" w:eastAsia="zh-CN"/>
        </w:rPr>
        <w:t>1年时间内完成补贴</w:t>
      </w:r>
      <w:r>
        <w:rPr>
          <w:rFonts w:hint="eastAsia" w:ascii="方正仿宋_GBK" w:hAnsi="方正仿宋_GBK" w:cs="方正仿宋_GBK"/>
          <w:sz w:val="32"/>
          <w:szCs w:val="32"/>
          <w:lang w:val="en-US" w:eastAsia="zh-CN"/>
        </w:rPr>
        <w:t>，时效指标得10分；该补贴完成后，</w:t>
      </w:r>
      <w:r>
        <w:rPr>
          <w:rFonts w:hint="eastAsia" w:cs="Times New Roman"/>
          <w:sz w:val="32"/>
          <w:szCs w:val="32"/>
          <w:lang w:eastAsia="zh-CN"/>
        </w:rPr>
        <w:t>保证了机动车从业人员考试收取费用只收取</w:t>
      </w:r>
      <w:r>
        <w:rPr>
          <w:rFonts w:hint="eastAsia" w:cs="Times New Roman"/>
          <w:sz w:val="32"/>
          <w:szCs w:val="32"/>
          <w:lang w:val="en-US" w:eastAsia="zh-CN"/>
        </w:rPr>
        <w:t>58元/位，</w:t>
      </w:r>
      <w:r>
        <w:rPr>
          <w:rFonts w:hint="eastAsia" w:ascii="方正仿宋_GBK" w:hAnsi="方正仿宋_GBK" w:cs="方正仿宋_GBK"/>
          <w:sz w:val="32"/>
          <w:szCs w:val="32"/>
          <w:lang w:val="en-US" w:eastAsia="zh-CN"/>
        </w:rPr>
        <w:t>成本指标得10分</w:t>
      </w:r>
      <w:r>
        <w:rPr>
          <w:rFonts w:hint="eastAsia" w:cs="Times New Roman"/>
          <w:sz w:val="32"/>
          <w:szCs w:val="32"/>
          <w:lang w:val="en-US" w:eastAsia="zh-CN"/>
        </w:rPr>
        <w:t>；该项目实施后</w:t>
      </w:r>
      <w:r>
        <w:rPr>
          <w:rFonts w:hint="eastAsia" w:cs="Times New Roman"/>
          <w:sz w:val="32"/>
          <w:szCs w:val="32"/>
          <w:lang w:eastAsia="zh-CN"/>
        </w:rPr>
        <w:t>有效维护了交通安全促进经济发展，经济效益指标得</w:t>
      </w:r>
      <w:r>
        <w:rPr>
          <w:rFonts w:hint="eastAsia" w:cs="Times New Roman"/>
          <w:sz w:val="32"/>
          <w:szCs w:val="32"/>
          <w:lang w:val="en-US" w:eastAsia="zh-CN"/>
        </w:rPr>
        <w:t>10分；</w:t>
      </w:r>
      <w:r>
        <w:rPr>
          <w:rFonts w:hint="eastAsia" w:ascii="方正仿宋_GBK" w:hAnsi="方正仿宋_GBK" w:cs="方正仿宋_GBK"/>
          <w:sz w:val="32"/>
          <w:szCs w:val="32"/>
          <w:lang w:val="en-US" w:eastAsia="zh-CN"/>
        </w:rPr>
        <w:t>有效维护了运输市场稳定安全，社会效益指标得10分；</w:t>
      </w:r>
      <w:r>
        <w:rPr>
          <w:rFonts w:hint="eastAsia" w:cs="Times New Roman"/>
          <w:sz w:val="32"/>
          <w:szCs w:val="32"/>
          <w:lang w:eastAsia="zh-CN"/>
        </w:rPr>
        <w:t>有效维护了市场运输安全在</w:t>
      </w:r>
      <w:r>
        <w:rPr>
          <w:rFonts w:hint="eastAsia" w:cs="Times New Roman"/>
          <w:sz w:val="32"/>
          <w:szCs w:val="32"/>
          <w:lang w:val="en-US" w:eastAsia="zh-CN"/>
        </w:rPr>
        <w:t>1年内</w:t>
      </w:r>
      <w:r>
        <w:rPr>
          <w:rFonts w:hint="eastAsia" w:cs="Times New Roman"/>
          <w:sz w:val="32"/>
          <w:szCs w:val="32"/>
          <w:lang w:eastAsia="zh-CN"/>
        </w:rPr>
        <w:t>可持续，可持续影响指标得分</w:t>
      </w:r>
      <w:r>
        <w:rPr>
          <w:rFonts w:hint="eastAsia" w:cs="Times New Roman"/>
          <w:sz w:val="32"/>
          <w:szCs w:val="32"/>
          <w:lang w:val="en-US" w:eastAsia="zh-CN"/>
        </w:rPr>
        <w:t>10分；</w:t>
      </w:r>
      <w:r>
        <w:rPr>
          <w:rFonts w:hint="eastAsia" w:ascii="方正仿宋_GBK" w:hAnsi="方正仿宋_GBK" w:cs="方正仿宋_GBK"/>
          <w:sz w:val="32"/>
          <w:szCs w:val="32"/>
          <w:lang w:val="en-US" w:eastAsia="zh-CN"/>
        </w:rPr>
        <w:t>受益人</w:t>
      </w:r>
      <w:r>
        <w:rPr>
          <w:rFonts w:hint="eastAsia" w:ascii="方正仿宋_GBK" w:hAnsi="方正仿宋_GBK" w:eastAsia="方正仿宋_GBK" w:cs="方正仿宋_GBK"/>
          <w:sz w:val="32"/>
          <w:szCs w:val="32"/>
          <w:lang w:val="en-US" w:eastAsia="zh-CN"/>
        </w:rPr>
        <w:t>对项目实施的满意度达到</w:t>
      </w:r>
      <w:r>
        <w:rPr>
          <w:rFonts w:hint="eastAsia" w:ascii="方正仿宋_GBK" w:hAnsi="方正仿宋_GBK" w:cs="方正仿宋_GBK"/>
          <w:sz w:val="32"/>
          <w:szCs w:val="32"/>
          <w:lang w:val="en-US" w:eastAsia="zh-CN"/>
        </w:rPr>
        <w:t>90</w:t>
      </w:r>
      <w:r>
        <w:rPr>
          <w:rFonts w:hint="eastAsia" w:ascii="方正仿宋_GBK" w:hAnsi="方正仿宋_GBK" w:eastAsia="方正仿宋_GBK" w:cs="方正仿宋_GBK"/>
          <w:sz w:val="32"/>
          <w:szCs w:val="32"/>
          <w:lang w:val="en-US" w:eastAsia="zh-CN"/>
        </w:rPr>
        <w:t>%</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rPr>
        <w:t>满意度指标</w:t>
      </w:r>
      <w:r>
        <w:rPr>
          <w:rFonts w:hint="eastAsia" w:ascii="方正仿宋_GBK" w:hAnsi="方正仿宋_GBK" w:eastAsia="方正仿宋_GBK" w:cs="方正仿宋_GBK"/>
          <w:sz w:val="32"/>
          <w:szCs w:val="32"/>
          <w:lang w:val="en-US" w:eastAsia="zh-CN"/>
        </w:rPr>
        <w:t>得</w:t>
      </w:r>
      <w:r>
        <w:rPr>
          <w:rFonts w:hint="eastAsia" w:ascii="方正仿宋_GBK" w:hAnsi="方正仿宋_GBK" w:cs="方正仿宋_GBK"/>
          <w:sz w:val="32"/>
          <w:szCs w:val="32"/>
          <w:lang w:val="en-US" w:eastAsia="zh-CN"/>
        </w:rPr>
        <w:t>10分；因此</w:t>
      </w:r>
      <w:r>
        <w:rPr>
          <w:rFonts w:hint="default" w:ascii="Times New Roman" w:hAnsi="Times New Roman" w:eastAsia="仿宋_GB2312" w:cs="Times New Roman"/>
          <w:i w:val="0"/>
          <w:iCs w:val="0"/>
          <w:caps w:val="0"/>
          <w:color w:val="000000"/>
          <w:spacing w:val="0"/>
          <w:sz w:val="32"/>
          <w:szCs w:val="32"/>
          <w:lang w:val="en-US" w:eastAsia="zh-CN"/>
        </w:rPr>
        <w:t>通过认真开展单位项目支出绩效目标自评，综合评分</w:t>
      </w:r>
      <w:r>
        <w:rPr>
          <w:rFonts w:hint="eastAsia" w:eastAsia="仿宋_GB2312" w:cs="Times New Roman"/>
          <w:i w:val="0"/>
          <w:iCs w:val="0"/>
          <w:caps w:val="0"/>
          <w:color w:val="000000"/>
          <w:spacing w:val="0"/>
          <w:sz w:val="32"/>
          <w:szCs w:val="32"/>
          <w:lang w:val="en-US" w:eastAsia="zh-CN"/>
        </w:rPr>
        <w:t>100</w:t>
      </w:r>
      <w:r>
        <w:rPr>
          <w:rFonts w:hint="default" w:ascii="Times New Roman" w:hAnsi="Times New Roman" w:eastAsia="仿宋_GB2312" w:cs="Times New Roman"/>
          <w:i w:val="0"/>
          <w:iCs w:val="0"/>
          <w:caps w:val="0"/>
          <w:color w:val="000000"/>
          <w:spacing w:val="0"/>
          <w:sz w:val="32"/>
          <w:szCs w:val="32"/>
          <w:lang w:val="en-US" w:eastAsia="zh-CN"/>
        </w:rPr>
        <w:t>分，评价结果为</w:t>
      </w:r>
      <w:r>
        <w:rPr>
          <w:rFonts w:hint="default" w:ascii="Times New Roman" w:hAnsi="Times New Roman" w:eastAsia="仿宋_GB2312" w:cs="Times New Roman"/>
          <w:i w:val="0"/>
          <w:iCs w:val="0"/>
          <w:caps w:val="0"/>
          <w:color w:val="auto"/>
          <w:spacing w:val="0"/>
          <w:sz w:val="32"/>
          <w:szCs w:val="32"/>
          <w:lang w:val="en-US" w:eastAsia="zh-CN"/>
        </w:rPr>
        <w:t>优</w:t>
      </w:r>
      <w:r>
        <w:rPr>
          <w:rFonts w:hint="default" w:ascii="Times New Roman" w:hAnsi="Times New Roman" w:eastAsia="仿宋_GB2312" w:cs="Times New Roman"/>
          <w:i w:val="0"/>
          <w:iCs w:val="0"/>
          <w:caps w:val="0"/>
          <w:color w:val="000000"/>
          <w:spacing w:val="0"/>
          <w:sz w:val="32"/>
          <w:szCs w:val="32"/>
          <w:lang w:val="en-US" w:eastAsia="zh-CN"/>
        </w:rPr>
        <w:t>。</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lang w:eastAsia="zh-CN"/>
        </w:rPr>
        <w:t>四、</w:t>
      </w:r>
      <w:r>
        <w:rPr>
          <w:rFonts w:hint="default" w:ascii="Times New Roman" w:hAnsi="Times New Roman" w:eastAsia="方正黑体_GBK" w:cs="Times New Roman"/>
          <w:bCs/>
          <w:sz w:val="32"/>
          <w:szCs w:val="32"/>
        </w:rPr>
        <w:t>偏离绩效目标的原因和下一步改进措施</w:t>
      </w:r>
    </w:p>
    <w:p>
      <w:pPr>
        <w:spacing w:line="600" w:lineRule="exact"/>
        <w:ind w:firstLine="640" w:firstLineChars="20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项目绩效目标未发生偏离。</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五、其他需要说明的问题</w:t>
      </w:r>
    </w:p>
    <w:p>
      <w:pPr>
        <w:spacing w:line="600" w:lineRule="exact"/>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中央巡视、各级审计和财政监督中</w:t>
      </w:r>
      <w:r>
        <w:rPr>
          <w:rFonts w:hint="eastAsia" w:cs="Times New Roman"/>
          <w:sz w:val="32"/>
          <w:szCs w:val="32"/>
          <w:lang w:eastAsia="zh-CN"/>
        </w:rPr>
        <w:t>未</w:t>
      </w:r>
      <w:r>
        <w:rPr>
          <w:rFonts w:hint="default" w:ascii="Times New Roman" w:hAnsi="Times New Roman" w:eastAsia="方正仿宋_GBK" w:cs="Times New Roman"/>
          <w:sz w:val="32"/>
          <w:szCs w:val="32"/>
        </w:rPr>
        <w:t>发现问题。</w:t>
      </w:r>
    </w:p>
    <w:p>
      <w:pPr>
        <w:spacing w:line="600" w:lineRule="exact"/>
        <w:ind w:firstLine="0" w:firstLineChars="0"/>
        <w:rPr>
          <w:rFonts w:hint="default" w:ascii="Times New Roman" w:hAnsi="Times New Roman" w:cs="Times New Roman"/>
          <w:sz w:val="32"/>
          <w:szCs w:val="32"/>
          <w:lang w:val="en-US" w:eastAsia="zh-CN"/>
        </w:rPr>
      </w:pPr>
      <w:r>
        <w:rPr>
          <w:rFonts w:hint="default" w:ascii="Times New Roman" w:hAnsi="Times New Roman" w:eastAsia="方正仿宋_GBK" w:cs="Times New Roman"/>
          <w:sz w:val="32"/>
          <w:szCs w:val="32"/>
          <w:lang w:eastAsia="zh-CN"/>
        </w:rPr>
        <w:t>附</w:t>
      </w:r>
      <w:r>
        <w:rPr>
          <w:rFonts w:hint="default" w:ascii="Times New Roman" w:hAnsi="Times New Roman" w:cs="Times New Roman"/>
          <w:sz w:val="32"/>
          <w:szCs w:val="32"/>
          <w:lang w:val="en-US" w:eastAsia="zh-CN"/>
        </w:rPr>
        <w:t>件</w:t>
      </w:r>
      <w:r>
        <w:rPr>
          <w:rFonts w:hint="default" w:ascii="Times New Roman" w:hAnsi="Times New Roman" w:cs="Times New Roman"/>
          <w:sz w:val="32"/>
          <w:szCs w:val="32"/>
          <w:lang w:eastAsia="zh-CN"/>
        </w:rPr>
        <w:t>：</w:t>
      </w:r>
      <w:r>
        <w:rPr>
          <w:rFonts w:hint="default" w:ascii="Times New Roman" w:hAnsi="Times New Roman" w:eastAsia="方正仿宋_GBK" w:cs="Times New Roman"/>
          <w:sz w:val="32"/>
          <w:szCs w:val="32"/>
          <w:lang w:eastAsia="zh-CN"/>
        </w:rPr>
        <w:t>项目支出预算绩效目标自评</w:t>
      </w:r>
      <w:r>
        <w:rPr>
          <w:rFonts w:hint="default" w:ascii="Times New Roman" w:hAnsi="Times New Roman" w:cs="Times New Roman"/>
          <w:sz w:val="32"/>
          <w:szCs w:val="32"/>
          <w:lang w:val="en-US" w:eastAsia="zh-CN"/>
        </w:rPr>
        <w:t>表</w:t>
      </w:r>
    </w:p>
    <w:p>
      <w:pPr>
        <w:pStyle w:val="2"/>
        <w:rPr>
          <w:rFonts w:hint="default" w:ascii="Times New Roman" w:hAnsi="Times New Roman" w:cs="Times New Roman"/>
          <w:sz w:val="32"/>
          <w:szCs w:val="32"/>
          <w:lang w:val="en-US" w:eastAsia="zh-CN"/>
        </w:rPr>
      </w:pPr>
    </w:p>
    <w:p>
      <w:pPr>
        <w:rPr>
          <w:rFonts w:hint="default" w:ascii="Times New Roman" w:hAnsi="Times New Roman" w:cs="Times New Roman"/>
          <w:sz w:val="32"/>
          <w:szCs w:val="32"/>
          <w:lang w:val="en-US" w:eastAsia="zh-CN"/>
        </w:rPr>
      </w:pPr>
    </w:p>
    <w:p>
      <w:pPr>
        <w:pStyle w:val="2"/>
        <w:rPr>
          <w:rFonts w:hint="default" w:ascii="Times New Roman" w:hAnsi="Times New Roman" w:cs="Times New Roman"/>
          <w:sz w:val="32"/>
          <w:szCs w:val="32"/>
          <w:lang w:val="en-US" w:eastAsia="zh-CN"/>
        </w:rPr>
      </w:pPr>
    </w:p>
    <w:p>
      <w:pPr>
        <w:rPr>
          <w:rFonts w:hint="default" w:ascii="Times New Roman" w:hAnsi="Times New Roman" w:cs="Times New Roman"/>
          <w:sz w:val="32"/>
          <w:szCs w:val="32"/>
          <w:lang w:val="en-US" w:eastAsia="zh-CN"/>
        </w:rPr>
      </w:pPr>
    </w:p>
    <w:p>
      <w:pPr>
        <w:pStyle w:val="2"/>
        <w:rPr>
          <w:rFonts w:hint="default" w:ascii="Times New Roman" w:hAnsi="Times New Roman" w:cs="Times New Roman"/>
          <w:sz w:val="32"/>
          <w:szCs w:val="32"/>
          <w:lang w:val="en-US" w:eastAsia="zh-CN"/>
        </w:rPr>
      </w:pPr>
    </w:p>
    <w:p>
      <w:pPr>
        <w:rPr>
          <w:rFonts w:hint="default" w:ascii="Times New Roman" w:hAnsi="Times New Roman" w:cs="Times New Roman"/>
          <w:sz w:val="32"/>
          <w:szCs w:val="32"/>
          <w:lang w:val="en-US" w:eastAsia="zh-CN"/>
        </w:rPr>
      </w:pPr>
    </w:p>
    <w:p>
      <w:pPr>
        <w:pStyle w:val="2"/>
        <w:rPr>
          <w:rFonts w:hint="default" w:ascii="Times New Roman" w:hAnsi="Times New Roman" w:cs="Times New Roman"/>
          <w:sz w:val="32"/>
          <w:szCs w:val="32"/>
          <w:lang w:val="en-US" w:eastAsia="zh-CN"/>
        </w:rPr>
      </w:pPr>
    </w:p>
    <w:p>
      <w:pPr>
        <w:rPr>
          <w:rFonts w:hint="default" w:ascii="Times New Roman" w:hAnsi="Times New Roman" w:cs="Times New Roman"/>
          <w:sz w:val="32"/>
          <w:szCs w:val="32"/>
          <w:lang w:val="en-US" w:eastAsia="zh-CN"/>
        </w:rPr>
      </w:pPr>
    </w:p>
    <w:p>
      <w:pPr>
        <w:pStyle w:val="2"/>
        <w:rPr>
          <w:rFonts w:hint="default" w:ascii="Times New Roman" w:hAnsi="Times New Roman" w:cs="Times New Roman"/>
          <w:sz w:val="32"/>
          <w:szCs w:val="32"/>
          <w:lang w:val="en-US" w:eastAsia="zh-CN"/>
        </w:rPr>
      </w:pPr>
    </w:p>
    <w:p>
      <w:pPr>
        <w:rPr>
          <w:rFonts w:hint="default" w:ascii="Times New Roman" w:hAnsi="Times New Roman" w:cs="Times New Roman"/>
          <w:sz w:val="32"/>
          <w:szCs w:val="32"/>
          <w:lang w:val="en-US" w:eastAsia="zh-CN"/>
        </w:rPr>
      </w:pPr>
    </w:p>
    <w:tbl>
      <w:tblPr>
        <w:tblStyle w:val="4"/>
        <w:tblW w:w="5000" w:type="pct"/>
        <w:tblInd w:w="0" w:type="dxa"/>
        <w:shd w:val="clear" w:color="auto" w:fill="auto"/>
        <w:tblLayout w:type="autofit"/>
        <w:tblCellMar>
          <w:top w:w="0" w:type="dxa"/>
          <w:left w:w="0" w:type="dxa"/>
          <w:bottom w:w="0" w:type="dxa"/>
          <w:right w:w="0" w:type="dxa"/>
        </w:tblCellMar>
      </w:tblPr>
      <w:tblGrid>
        <w:gridCol w:w="651"/>
        <w:gridCol w:w="836"/>
        <w:gridCol w:w="930"/>
        <w:gridCol w:w="1477"/>
        <w:gridCol w:w="926"/>
        <w:gridCol w:w="1021"/>
        <w:gridCol w:w="1148"/>
        <w:gridCol w:w="761"/>
        <w:gridCol w:w="1124"/>
      </w:tblGrid>
      <w:tr>
        <w:tblPrEx>
          <w:shd w:val="clear" w:color="auto" w:fill="auto"/>
          <w:tblCellMar>
            <w:top w:w="0" w:type="dxa"/>
            <w:left w:w="0" w:type="dxa"/>
            <w:bottom w:w="0" w:type="dxa"/>
            <w:right w:w="0" w:type="dxa"/>
          </w:tblCellMar>
        </w:tblPrEx>
        <w:trPr>
          <w:trHeight w:val="616" w:hRule="atLeast"/>
        </w:trPr>
        <w:tc>
          <w:tcPr>
            <w:tcW w:w="5000" w:type="pct"/>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项目绩效目标自评表</w:t>
            </w:r>
          </w:p>
        </w:tc>
      </w:tr>
      <w:tr>
        <w:tblPrEx>
          <w:shd w:val="clear" w:color="auto" w:fill="auto"/>
          <w:tblCellMar>
            <w:top w:w="0" w:type="dxa"/>
            <w:left w:w="0" w:type="dxa"/>
            <w:bottom w:w="0" w:type="dxa"/>
            <w:right w:w="0" w:type="dxa"/>
          </w:tblCellMar>
        </w:tblPrEx>
        <w:trPr>
          <w:trHeight w:val="315" w:hRule="atLeast"/>
        </w:trPr>
        <w:tc>
          <w:tcPr>
            <w:tcW w:w="5000" w:type="pct"/>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（2023      年度）</w:t>
            </w:r>
          </w:p>
        </w:tc>
      </w:tr>
      <w:tr>
        <w:tblPrEx>
          <w:shd w:val="clear" w:color="auto" w:fill="auto"/>
          <w:tblCellMar>
            <w:top w:w="0" w:type="dxa"/>
            <w:left w:w="0" w:type="dxa"/>
            <w:bottom w:w="0" w:type="dxa"/>
            <w:right w:w="0" w:type="dxa"/>
          </w:tblCellMar>
        </w:tblPrEx>
        <w:trPr>
          <w:trHeight w:val="325" w:hRule="atLeast"/>
        </w:trPr>
        <w:tc>
          <w:tcPr>
            <w:tcW w:w="83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项目名称</w:t>
            </w:r>
          </w:p>
        </w:tc>
        <w:tc>
          <w:tcPr>
            <w:tcW w:w="1877"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乡村振兴交通建设专项</w:t>
            </w:r>
          </w:p>
        </w:tc>
        <w:tc>
          <w:tcPr>
            <w:tcW w:w="122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项目负责人</w:t>
            </w:r>
          </w:p>
        </w:tc>
        <w:tc>
          <w:tcPr>
            <w:tcW w:w="106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胡刚</w:t>
            </w:r>
          </w:p>
        </w:tc>
      </w:tr>
      <w:tr>
        <w:tblPrEx>
          <w:shd w:val="clear" w:color="auto" w:fill="auto"/>
          <w:tblCellMar>
            <w:top w:w="0" w:type="dxa"/>
            <w:left w:w="0" w:type="dxa"/>
            <w:bottom w:w="0" w:type="dxa"/>
            <w:right w:w="0" w:type="dxa"/>
          </w:tblCellMar>
        </w:tblPrEx>
        <w:trPr>
          <w:trHeight w:val="325" w:hRule="atLeast"/>
        </w:trPr>
        <w:tc>
          <w:tcPr>
            <w:tcW w:w="83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主管部门</w:t>
            </w:r>
          </w:p>
        </w:tc>
        <w:tc>
          <w:tcPr>
            <w:tcW w:w="1877"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县交通局</w:t>
            </w:r>
          </w:p>
        </w:tc>
        <w:tc>
          <w:tcPr>
            <w:tcW w:w="122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实施单位</w:t>
            </w:r>
          </w:p>
        </w:tc>
        <w:tc>
          <w:tcPr>
            <w:tcW w:w="106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县道路运输事务中心</w:t>
            </w:r>
          </w:p>
        </w:tc>
      </w:tr>
      <w:tr>
        <w:tblPrEx>
          <w:shd w:val="clear" w:color="auto" w:fill="auto"/>
          <w:tblCellMar>
            <w:top w:w="0" w:type="dxa"/>
            <w:left w:w="0" w:type="dxa"/>
            <w:bottom w:w="0" w:type="dxa"/>
            <w:right w:w="0" w:type="dxa"/>
          </w:tblCellMar>
        </w:tblPrEx>
        <w:trPr>
          <w:trHeight w:val="625" w:hRule="atLeast"/>
        </w:trPr>
        <w:tc>
          <w:tcPr>
            <w:tcW w:w="83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 xml:space="preserve">预算执行   </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 xml:space="preserve">  （万元）</w:t>
            </w:r>
          </w:p>
        </w:tc>
        <w:tc>
          <w:tcPr>
            <w:tcW w:w="1355" w:type="pct"/>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资金性质</w:t>
            </w:r>
          </w:p>
        </w:tc>
        <w:tc>
          <w:tcPr>
            <w:tcW w:w="5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全年预</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算数</w:t>
            </w: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全年执行数</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分值</w:t>
            </w:r>
          </w:p>
        </w:tc>
        <w:tc>
          <w:tcPr>
            <w:tcW w:w="42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执行率</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325" w:hRule="atLeast"/>
        </w:trPr>
        <w:tc>
          <w:tcPr>
            <w:tcW w:w="8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1355"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年度项目总预算</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11.47</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11.47</w:t>
            </w:r>
          </w:p>
        </w:tc>
        <w:tc>
          <w:tcPr>
            <w:tcW w:w="6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429" w:type="pct"/>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100%%</w:t>
            </w:r>
          </w:p>
        </w:tc>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 xml:space="preserve">10.00 </w:t>
            </w:r>
          </w:p>
        </w:tc>
      </w:tr>
      <w:tr>
        <w:tblPrEx>
          <w:shd w:val="clear" w:color="auto" w:fill="auto"/>
          <w:tblCellMar>
            <w:top w:w="0" w:type="dxa"/>
            <w:left w:w="0" w:type="dxa"/>
            <w:bottom w:w="0" w:type="dxa"/>
            <w:right w:w="0" w:type="dxa"/>
          </w:tblCellMar>
        </w:tblPrEx>
        <w:trPr>
          <w:trHeight w:val="325" w:hRule="atLeast"/>
        </w:trPr>
        <w:tc>
          <w:tcPr>
            <w:tcW w:w="8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1355" w:type="pct"/>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 xml:space="preserve">   其中：财政拨款</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11.47</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11.47</w:t>
            </w:r>
          </w:p>
        </w:tc>
        <w:tc>
          <w:tcPr>
            <w:tcW w:w="6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25" w:hRule="atLeast"/>
        </w:trPr>
        <w:tc>
          <w:tcPr>
            <w:tcW w:w="8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1355" w:type="pct"/>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 xml:space="preserve">         其它资金</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tblCellMar>
            <w:top w:w="0" w:type="dxa"/>
            <w:left w:w="0" w:type="dxa"/>
            <w:bottom w:w="0" w:type="dxa"/>
            <w:right w:w="0" w:type="dxa"/>
          </w:tblCellMar>
        </w:tblPrEx>
        <w:trPr>
          <w:trHeight w:val="325" w:hRule="atLeast"/>
        </w:trPr>
        <w:tc>
          <w:tcPr>
            <w:tcW w:w="83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年度总体目标</w:t>
            </w:r>
          </w:p>
        </w:tc>
        <w:tc>
          <w:tcPr>
            <w:tcW w:w="2453"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年初设定目标</w:t>
            </w:r>
          </w:p>
        </w:tc>
        <w:tc>
          <w:tcPr>
            <w:tcW w:w="1707"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年度总体完成情况综述</w:t>
            </w:r>
          </w:p>
        </w:tc>
      </w:tr>
      <w:tr>
        <w:tblPrEx>
          <w:shd w:val="clear" w:color="auto" w:fill="auto"/>
          <w:tblCellMar>
            <w:top w:w="0" w:type="dxa"/>
            <w:left w:w="0" w:type="dxa"/>
            <w:bottom w:w="0" w:type="dxa"/>
            <w:right w:w="0" w:type="dxa"/>
          </w:tblCellMar>
        </w:tblPrEx>
        <w:trPr>
          <w:trHeight w:val="349" w:hRule="atLeast"/>
        </w:trPr>
        <w:tc>
          <w:tcPr>
            <w:tcW w:w="8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35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val="0"/>
                <w:bCs/>
                <w:i w:val="0"/>
                <w:color w:val="000000"/>
                <w:sz w:val="16"/>
                <w:szCs w:val="16"/>
                <w:u w:val="none"/>
              </w:rPr>
            </w:pPr>
            <w:r>
              <w:rPr>
                <w:rFonts w:hint="eastAsia" w:ascii="宋体" w:hAnsi="宋体" w:eastAsia="宋体" w:cs="宋体"/>
                <w:i w:val="0"/>
                <w:color w:val="000000"/>
                <w:kern w:val="0"/>
                <w:sz w:val="16"/>
                <w:szCs w:val="16"/>
                <w:u w:val="none"/>
                <w:lang w:val="en-US" w:eastAsia="zh-CN" w:bidi="ar"/>
              </w:rPr>
              <w:t>依据国家政策全县机动车从业人员考试及证牌照发放工作进行行业监督、协调、质量考核、数据审核等相关辅助性、事务性、技术性等具体工作</w:t>
            </w:r>
          </w:p>
        </w:tc>
        <w:tc>
          <w:tcPr>
            <w:tcW w:w="30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val="0"/>
                <w:bCs/>
                <w:i w:val="0"/>
                <w:color w:val="000000"/>
                <w:sz w:val="16"/>
                <w:szCs w:val="16"/>
                <w:u w:val="none"/>
              </w:rPr>
            </w:pPr>
            <w:r>
              <w:rPr>
                <w:rFonts w:hint="eastAsia" w:ascii="宋体" w:hAnsi="宋体" w:eastAsia="宋体" w:cs="宋体"/>
                <w:i w:val="0"/>
                <w:color w:val="000000"/>
                <w:kern w:val="0"/>
                <w:sz w:val="16"/>
                <w:szCs w:val="16"/>
                <w:u w:val="none"/>
                <w:lang w:val="en-US" w:eastAsia="zh-CN" w:bidi="ar"/>
              </w:rPr>
              <w:t>监督、协调、质量考核、数据审核等相关辅助性、事务性、技术性等具体工作已完成。</w:t>
            </w:r>
          </w:p>
        </w:tc>
      </w:tr>
      <w:tr>
        <w:tblPrEx>
          <w:shd w:val="clear" w:color="auto" w:fill="auto"/>
          <w:tblCellMar>
            <w:top w:w="0" w:type="dxa"/>
            <w:left w:w="0" w:type="dxa"/>
            <w:bottom w:w="0" w:type="dxa"/>
            <w:right w:w="0" w:type="dxa"/>
          </w:tblCellMar>
        </w:tblPrEx>
        <w:trPr>
          <w:trHeight w:val="661" w:hRule="atLeast"/>
        </w:trPr>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绩效</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指标</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一级指标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二级指标</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三级指标</w:t>
            </w:r>
          </w:p>
        </w:tc>
        <w:tc>
          <w:tcPr>
            <w:tcW w:w="5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年度指标值</w:t>
            </w: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分值</w:t>
            </w:r>
          </w:p>
        </w:tc>
        <w:tc>
          <w:tcPr>
            <w:tcW w:w="646"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实际完</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成值</w:t>
            </w:r>
          </w:p>
        </w:tc>
        <w:tc>
          <w:tcPr>
            <w:tcW w:w="4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得分</w:t>
            </w:r>
          </w:p>
        </w:tc>
        <w:tc>
          <w:tcPr>
            <w:tcW w:w="63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未完成原因及拟采取的措施</w:t>
            </w:r>
          </w:p>
        </w:tc>
      </w:tr>
      <w:tr>
        <w:tblPrEx>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产出指标</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（50分）</w:t>
            </w: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数量</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指标</w:t>
            </w:r>
          </w:p>
        </w:tc>
        <w:tc>
          <w:tcPr>
            <w:tcW w:w="8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覆盖全县从业人</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员考试</w:t>
            </w:r>
          </w:p>
        </w:tc>
        <w:tc>
          <w:tcPr>
            <w:tcW w:w="5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100.00%</w:t>
            </w:r>
          </w:p>
        </w:tc>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15</w:t>
            </w:r>
          </w:p>
        </w:tc>
        <w:tc>
          <w:tcPr>
            <w:tcW w:w="6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100.00%</w:t>
            </w:r>
          </w:p>
        </w:tc>
        <w:tc>
          <w:tcPr>
            <w:tcW w:w="4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15</w:t>
            </w:r>
          </w:p>
        </w:tc>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12"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质量</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指标</w:t>
            </w:r>
          </w:p>
        </w:tc>
        <w:tc>
          <w:tcPr>
            <w:tcW w:w="8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按国家政策法</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规管理</w:t>
            </w:r>
          </w:p>
        </w:tc>
        <w:tc>
          <w:tcPr>
            <w:tcW w:w="5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100.00%</w:t>
            </w:r>
          </w:p>
        </w:tc>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15</w:t>
            </w:r>
          </w:p>
        </w:tc>
        <w:tc>
          <w:tcPr>
            <w:tcW w:w="6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100.00%</w:t>
            </w:r>
          </w:p>
        </w:tc>
        <w:tc>
          <w:tcPr>
            <w:tcW w:w="4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15</w:t>
            </w:r>
          </w:p>
        </w:tc>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tblCellMar>
            <w:top w:w="0" w:type="dxa"/>
            <w:left w:w="0" w:type="dxa"/>
            <w:bottom w:w="0" w:type="dxa"/>
            <w:right w:w="0" w:type="dxa"/>
          </w:tblCellMar>
        </w:tblPrEx>
        <w:trPr>
          <w:trHeight w:val="312"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45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时效</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指标</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管理完成时间</w:t>
            </w:r>
          </w:p>
        </w:tc>
        <w:tc>
          <w:tcPr>
            <w:tcW w:w="5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1年</w:t>
            </w: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1年</w:t>
            </w:r>
          </w:p>
        </w:tc>
        <w:tc>
          <w:tcPr>
            <w:tcW w:w="4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r>
      <w:tr>
        <w:tblPrEx>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8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成本</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指标</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补贴后收取标准</w:t>
            </w:r>
          </w:p>
        </w:tc>
        <w:tc>
          <w:tcPr>
            <w:tcW w:w="5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58元</w:t>
            </w: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58元</w:t>
            </w:r>
          </w:p>
        </w:tc>
        <w:tc>
          <w:tcPr>
            <w:tcW w:w="42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r>
      <w:tr>
        <w:tblPrEx>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restar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效益指标</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（30分）</w:t>
            </w: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经济效</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益指标</w:t>
            </w:r>
          </w:p>
        </w:tc>
        <w:tc>
          <w:tcPr>
            <w:tcW w:w="8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维护交通安全促</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进经济发展</w:t>
            </w:r>
          </w:p>
        </w:tc>
        <w:tc>
          <w:tcPr>
            <w:tcW w:w="5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有效促进</w:t>
            </w:r>
          </w:p>
        </w:tc>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100.00%</w:t>
            </w:r>
          </w:p>
        </w:tc>
        <w:tc>
          <w:tcPr>
            <w:tcW w:w="4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445"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社会效</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益指标</w:t>
            </w:r>
          </w:p>
        </w:tc>
        <w:tc>
          <w:tcPr>
            <w:tcW w:w="8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维护运输市场</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稳定安全</w:t>
            </w:r>
          </w:p>
        </w:tc>
        <w:tc>
          <w:tcPr>
            <w:tcW w:w="5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有效维护</w:t>
            </w:r>
          </w:p>
        </w:tc>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100.00%</w:t>
            </w:r>
          </w:p>
        </w:tc>
        <w:tc>
          <w:tcPr>
            <w:tcW w:w="429" w:type="pct"/>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tblCellMar>
            <w:top w:w="0" w:type="dxa"/>
            <w:left w:w="0" w:type="dxa"/>
            <w:bottom w:w="0" w:type="dxa"/>
            <w:right w:w="0" w:type="dxa"/>
          </w:tblCellMar>
        </w:tblPrEx>
        <w:trPr>
          <w:trHeight w:val="312"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生态效</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益指标</w:t>
            </w: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r>
      <w:tr>
        <w:tblPrEx>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可持续影响指标</w:t>
            </w:r>
          </w:p>
        </w:tc>
        <w:tc>
          <w:tcPr>
            <w:tcW w:w="8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运输市场稳定</w:t>
            </w:r>
          </w:p>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安全</w:t>
            </w:r>
          </w:p>
        </w:tc>
        <w:tc>
          <w:tcPr>
            <w:tcW w:w="5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可持续</w:t>
            </w:r>
          </w:p>
        </w:tc>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46" w:type="pct"/>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可持续</w:t>
            </w:r>
          </w:p>
        </w:tc>
        <w:tc>
          <w:tcPr>
            <w:tcW w:w="42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12"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满意度指标（10分）</w:t>
            </w: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服务对象满意度指标</w:t>
            </w:r>
          </w:p>
        </w:tc>
        <w:tc>
          <w:tcPr>
            <w:tcW w:w="8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受益人满意度</w:t>
            </w:r>
          </w:p>
        </w:tc>
        <w:tc>
          <w:tcPr>
            <w:tcW w:w="5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≥90</w:t>
            </w:r>
          </w:p>
        </w:tc>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≥90</w:t>
            </w:r>
          </w:p>
        </w:tc>
        <w:tc>
          <w:tcPr>
            <w:tcW w:w="429" w:type="pct"/>
            <w:vMerge w:val="restart"/>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w:t>
            </w:r>
          </w:p>
        </w:tc>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tblCellMar>
            <w:top w:w="0" w:type="dxa"/>
            <w:left w:w="0" w:type="dxa"/>
            <w:bottom w:w="0" w:type="dxa"/>
            <w:right w:w="0" w:type="dxa"/>
          </w:tblCellMar>
        </w:tblPrEx>
        <w:trPr>
          <w:trHeight w:val="371"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71"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8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429" w:type="pct"/>
            <w:vMerge w:val="continue"/>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90" w:hRule="atLeast"/>
        </w:trPr>
        <w:tc>
          <w:tcPr>
            <w:tcW w:w="2194"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合      计</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c>
          <w:tcPr>
            <w:tcW w:w="5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val="0"/>
                <w:bCs/>
                <w:i w:val="0"/>
                <w:color w:val="000000"/>
                <w:sz w:val="18"/>
                <w:szCs w:val="18"/>
                <w:u w:val="none"/>
              </w:rPr>
            </w:pPr>
          </w:p>
        </w:tc>
        <w:tc>
          <w:tcPr>
            <w:tcW w:w="6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i w:val="0"/>
                <w:color w:val="000000"/>
                <w:sz w:val="18"/>
                <w:szCs w:val="18"/>
                <w:u w:val="none"/>
              </w:rPr>
            </w:pPr>
            <w:r>
              <w:rPr>
                <w:rFonts w:hint="eastAsia" w:ascii="宋体" w:hAnsi="宋体" w:eastAsia="宋体" w:cs="宋体"/>
                <w:b w:val="0"/>
                <w:bCs/>
                <w:i w:val="0"/>
                <w:color w:val="000000"/>
                <w:kern w:val="0"/>
                <w:sz w:val="18"/>
                <w:szCs w:val="18"/>
                <w:u w:val="none"/>
                <w:lang w:val="en-US" w:eastAsia="zh-CN" w:bidi="ar"/>
              </w:rPr>
              <w:t>100</w:t>
            </w:r>
          </w:p>
        </w:tc>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val="0"/>
                <w:bCs/>
                <w:i w:val="0"/>
                <w:color w:val="000000"/>
                <w:sz w:val="18"/>
                <w:szCs w:val="18"/>
                <w:u w:val="none"/>
              </w:rPr>
            </w:pPr>
          </w:p>
        </w:tc>
      </w:tr>
      <w:tr>
        <w:tblPrEx>
          <w:shd w:val="clear" w:color="auto" w:fill="auto"/>
          <w:tblCellMar>
            <w:top w:w="0" w:type="dxa"/>
            <w:left w:w="0" w:type="dxa"/>
            <w:bottom w:w="0" w:type="dxa"/>
            <w:right w:w="0" w:type="dxa"/>
          </w:tblCellMar>
        </w:tblPrEx>
        <w:trPr>
          <w:trHeight w:val="325" w:hRule="atLeast"/>
        </w:trPr>
        <w:tc>
          <w:tcPr>
            <w:tcW w:w="367"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71"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24"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30"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22"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75"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46"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29"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31" w:type="pct"/>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shd w:val="clear" w:color="auto" w:fill="auto"/>
          <w:tblCellMar>
            <w:top w:w="0" w:type="dxa"/>
            <w:left w:w="0" w:type="dxa"/>
            <w:bottom w:w="0" w:type="dxa"/>
            <w:right w:w="0" w:type="dxa"/>
          </w:tblCellMar>
        </w:tblPrEx>
        <w:trPr>
          <w:trHeight w:val="315" w:hRule="atLeast"/>
        </w:trPr>
        <w:tc>
          <w:tcPr>
            <w:tcW w:w="2194"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填报单位：奉节县道路运输事务中心</w:t>
            </w:r>
          </w:p>
        </w:tc>
        <w:tc>
          <w:tcPr>
            <w:tcW w:w="1744" w:type="pct"/>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单位负责人：胡刚</w:t>
            </w:r>
          </w:p>
        </w:tc>
        <w:tc>
          <w:tcPr>
            <w:tcW w:w="1060"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填表人：张大玲</w:t>
            </w:r>
          </w:p>
        </w:tc>
      </w:tr>
    </w:tbl>
    <w:p>
      <w:pPr>
        <w:pStyle w:val="2"/>
        <w:rPr>
          <w:rFonts w:hint="default"/>
          <w:lang w:val="en-US" w:eastAsia="zh-CN"/>
        </w:rPr>
      </w:pPr>
    </w:p>
    <w:p>
      <w:pPr>
        <w:pStyle w:val="2"/>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pStyle w:val="2"/>
        <w:rPr>
          <w:rFonts w:hint="default"/>
          <w:lang w:val="en-US" w:eastAsia="zh-CN"/>
        </w:rPr>
      </w:pPr>
    </w:p>
    <w:sectPr>
      <w:pgSz w:w="11906" w:h="16838"/>
      <w:pgMar w:top="2098" w:right="1474" w:bottom="1984" w:left="158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OWM0N2RkZDAwNjdlODFiZmM1ZDRhZmQ1YmZkODkifQ=="/>
    <w:docVar w:name="KSO_WPS_MARK_KEY" w:val="3b1ee6fc-b4f9-4f5b-a80e-dc4924b0ed10"/>
  </w:docVars>
  <w:rsids>
    <w:rsidRoot w:val="00172A27"/>
    <w:rsid w:val="001577CF"/>
    <w:rsid w:val="011952D6"/>
    <w:rsid w:val="02964AE7"/>
    <w:rsid w:val="02C1531D"/>
    <w:rsid w:val="03697D2C"/>
    <w:rsid w:val="070A77CF"/>
    <w:rsid w:val="072430CB"/>
    <w:rsid w:val="08482C36"/>
    <w:rsid w:val="09BE25B6"/>
    <w:rsid w:val="0A8478CF"/>
    <w:rsid w:val="0BAA68E4"/>
    <w:rsid w:val="0C903EC9"/>
    <w:rsid w:val="0FF86C17"/>
    <w:rsid w:val="10CA582D"/>
    <w:rsid w:val="10D97C71"/>
    <w:rsid w:val="11CA68E9"/>
    <w:rsid w:val="12C2295C"/>
    <w:rsid w:val="130F0BD5"/>
    <w:rsid w:val="14AD4E8F"/>
    <w:rsid w:val="15081DFF"/>
    <w:rsid w:val="15190BD7"/>
    <w:rsid w:val="156B205C"/>
    <w:rsid w:val="163D1F65"/>
    <w:rsid w:val="17B52B4A"/>
    <w:rsid w:val="19317B41"/>
    <w:rsid w:val="19654971"/>
    <w:rsid w:val="1AF35471"/>
    <w:rsid w:val="1D9E3644"/>
    <w:rsid w:val="216A1E99"/>
    <w:rsid w:val="21D22D1B"/>
    <w:rsid w:val="21FB0519"/>
    <w:rsid w:val="22B061E4"/>
    <w:rsid w:val="23492ED9"/>
    <w:rsid w:val="236B6D01"/>
    <w:rsid w:val="23E1027D"/>
    <w:rsid w:val="27044C59"/>
    <w:rsid w:val="2A3D6D43"/>
    <w:rsid w:val="2A8C737D"/>
    <w:rsid w:val="2F22757B"/>
    <w:rsid w:val="2FBB1082"/>
    <w:rsid w:val="2FF2425C"/>
    <w:rsid w:val="30F172AE"/>
    <w:rsid w:val="31747030"/>
    <w:rsid w:val="31C3610C"/>
    <w:rsid w:val="31E15B69"/>
    <w:rsid w:val="329417EA"/>
    <w:rsid w:val="335F398C"/>
    <w:rsid w:val="336C2DA6"/>
    <w:rsid w:val="33C3570B"/>
    <w:rsid w:val="341B328F"/>
    <w:rsid w:val="374F2F11"/>
    <w:rsid w:val="37A111C8"/>
    <w:rsid w:val="391334D5"/>
    <w:rsid w:val="3BBA7875"/>
    <w:rsid w:val="3DEA60F6"/>
    <w:rsid w:val="41551C31"/>
    <w:rsid w:val="41EF23E6"/>
    <w:rsid w:val="45700A40"/>
    <w:rsid w:val="45BA5921"/>
    <w:rsid w:val="462A7E93"/>
    <w:rsid w:val="49317EC7"/>
    <w:rsid w:val="49FD67BC"/>
    <w:rsid w:val="4A79527D"/>
    <w:rsid w:val="4D622C5D"/>
    <w:rsid w:val="4FF866B8"/>
    <w:rsid w:val="51A90316"/>
    <w:rsid w:val="52B3003C"/>
    <w:rsid w:val="53710C05"/>
    <w:rsid w:val="553A7D51"/>
    <w:rsid w:val="569A4F52"/>
    <w:rsid w:val="577076A0"/>
    <w:rsid w:val="58E06F46"/>
    <w:rsid w:val="58F6256A"/>
    <w:rsid w:val="5B6F758E"/>
    <w:rsid w:val="5C0C37FC"/>
    <w:rsid w:val="5C6C2839"/>
    <w:rsid w:val="5C7835C7"/>
    <w:rsid w:val="5E0A0053"/>
    <w:rsid w:val="5E5161B2"/>
    <w:rsid w:val="5F0B13A7"/>
    <w:rsid w:val="5FF90DC7"/>
    <w:rsid w:val="623B0E23"/>
    <w:rsid w:val="62732BE7"/>
    <w:rsid w:val="62F06CF3"/>
    <w:rsid w:val="631A44A9"/>
    <w:rsid w:val="63DE702C"/>
    <w:rsid w:val="64DF79CD"/>
    <w:rsid w:val="666A7EE3"/>
    <w:rsid w:val="667E4FE6"/>
    <w:rsid w:val="682A11E8"/>
    <w:rsid w:val="6835659F"/>
    <w:rsid w:val="68DD2A90"/>
    <w:rsid w:val="696B12DC"/>
    <w:rsid w:val="6A8E035E"/>
    <w:rsid w:val="6A986D66"/>
    <w:rsid w:val="6B325463"/>
    <w:rsid w:val="6C635C7F"/>
    <w:rsid w:val="6D8E41F3"/>
    <w:rsid w:val="6E4753D3"/>
    <w:rsid w:val="6F753FC2"/>
    <w:rsid w:val="70F6259A"/>
    <w:rsid w:val="73931DC3"/>
    <w:rsid w:val="757840E4"/>
    <w:rsid w:val="76231678"/>
    <w:rsid w:val="76704626"/>
    <w:rsid w:val="791D74D9"/>
    <w:rsid w:val="7A6C7805"/>
    <w:rsid w:val="7BEB3862"/>
    <w:rsid w:val="7CBD275B"/>
    <w:rsid w:val="7D4C6582"/>
    <w:rsid w:val="7DAA3A2A"/>
    <w:rsid w:val="7E6A2982"/>
    <w:rsid w:val="7ED51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Body Text"/>
    <w:basedOn w:val="1"/>
    <w:unhideWhenUsed/>
    <w:qFormat/>
    <w:uiPriority w:val="99"/>
    <w:pPr>
      <w:spacing w:after="120"/>
    </w:pPr>
    <w:rPr>
      <w:rFonts w:ascii="Times New Roman" w:hAnsi="Times New Roman" w:eastAsia="宋体" w:cs="Times New Roman"/>
      <w:szCs w:val="22"/>
    </w:rPr>
  </w:style>
  <w:style w:type="character" w:customStyle="1" w:styleId="6">
    <w:name w:val="NormalCharacter"/>
    <w:semiHidden/>
    <w:qFormat/>
    <w:uiPriority w:val="0"/>
    <w:rPr>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1242</Words>
  <Characters>1350</Characters>
  <Lines>0</Lines>
  <Paragraphs>0</Paragraphs>
  <TotalTime>0</TotalTime>
  <ScaleCrop>false</ScaleCrop>
  <LinksUpToDate>false</LinksUpToDate>
  <CharactersWithSpaces>1532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2023-03-14T01:19:00Z</dcterms:created>
  <dc:creator>Administrator</dc:creator>
  <cp:lastModifiedBy>尺</cp:lastModifiedBy>
  <dcterms:modified xsi:type="dcterms:W3CDTF">2024-02-20T08:30:31Z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CD8F0130403F43B592572B5748B831EC</vt:lpwstr>
  </property>
  <property fmtid="{D5CDD505-2E9C-101B-9397-08002B2CF9AE}" pid="4" name="KSOSaveFontToCloudKey">
    <vt:lpwstr>466745472_btnclosed</vt:lpwstr>
  </property>
</Properties>
</file>