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各乡镇养护、标志标牌项目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2023年12月31日财政已下达58.48万并拨付完成。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cs="方正仿宋_GBK"/>
          <w:lang w:val="en-US" w:eastAsia="zh-CN"/>
        </w:rPr>
        <w:t>完成农村公路清扫保洁300余公里和制作养护公示牌40块，验收合格率100%，解决沿线群众临时用工10人，路面干净整洁，路域环境得到了有效改善。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完成300余公里农村公路清扫保洁、日常巡查等，路面保持干净整洁有序；安装养护公示牌40块，主动接受群众监督。因此数量指标得分30分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val="en-US" w:eastAsia="zh-CN"/>
        </w:rPr>
        <w:t>实施的项目组织验收合格率100%。因此质量指标得分20分。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val="en-US" w:eastAsia="zh-CN"/>
        </w:rPr>
        <w:t>该项目解决就业3人，超过年初设定目标解决8人，增加了群众收入。因此经济效益得分20分。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cs="Times New Roman"/>
          <w:sz w:val="32"/>
          <w:szCs w:val="32"/>
          <w:lang w:val="en-US" w:eastAsia="zh-CN"/>
        </w:rPr>
        <w:t>路面干净整洁，路域环境有效改善。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因此效益指标得分10分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通过强化项目质量、进度、安全管理和养护管理，较好地完成了该项目的数量指标、质量指标、经济效益、社会效益、满意度指标任务，项目执行率达到了100%。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884"/>
        <w:gridCol w:w="818"/>
        <w:gridCol w:w="698"/>
        <w:gridCol w:w="344"/>
        <w:gridCol w:w="598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各乡镇养护、标志标牌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2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陈鹏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2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吐祥镇人民政府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58.48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58.48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58.48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58.48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320" w:firstLineChars="200"/>
              <w:rPr>
                <w:rFonts w:hint="default" w:ascii="方正仿宋_GBK" w:hAnsi="方正仿宋_GBK" w:cs="方正仿宋_GBK"/>
                <w:sz w:val="16"/>
                <w:szCs w:val="16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完成农村公路清扫保洁300余公里和制作养护公示牌40块，验收合格率100%，解决沿线群众临时用工8人，路面干净整洁，改善路域环境。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bidi w:val="0"/>
              <w:jc w:val="left"/>
              <w:rPr>
                <w:rFonts w:hint="default" w:ascii="Times New Roman" w:hAnsi="Times New Roman" w:eastAsia="方正仿宋_GBK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完成农村公路清扫保洁300余公里和制作养护公示牌40块，验收合格率100%，解决沿线群众临时用工10人，路域环境得到了有效改善。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日常养护里程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公示牌（块）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解决就业人数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路域环境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胡军民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谭建军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2024年1月22日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ZjliMjJkMDgzMWY2Y2ZmNjE2MDA2NTM5MTk2MDI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E2357DE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2E33E0A"/>
    <w:rsid w:val="335F398C"/>
    <w:rsid w:val="336C2DA6"/>
    <w:rsid w:val="33C3570B"/>
    <w:rsid w:val="341B328F"/>
    <w:rsid w:val="353558D8"/>
    <w:rsid w:val="374F2F11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7E84249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D812BFF"/>
    <w:rsid w:val="6D8E41F3"/>
    <w:rsid w:val="73931DC3"/>
    <w:rsid w:val="757840E4"/>
    <w:rsid w:val="76231678"/>
    <w:rsid w:val="76704626"/>
    <w:rsid w:val="791D74D9"/>
    <w:rsid w:val="7BEB3862"/>
    <w:rsid w:val="7C705315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15</TotalTime>
  <ScaleCrop>false</ScaleCrop>
  <LinksUpToDate>false</LinksUpToDate>
  <CharactersWithSpaces>1532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东城西就</cp:lastModifiedBy>
  <dcterms:modified xsi:type="dcterms:W3CDTF">2024-01-23T01:36:12Z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0852E58716DC4BCCA60672A49A292BCC_13</vt:lpwstr>
  </property>
</Properties>
</file>