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2022年部分交通建设项目结转资金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pStyle w:val="2"/>
        <w:rPr>
          <w:rFonts w:hint="default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奉节县财政局《关于调整下达2022年部分交通建设项目结转资金计划的通知》（奉节财建〔2023〕38号），在下达资金预算时</w:t>
      </w:r>
      <w:r>
        <w:rPr>
          <w:rFonts w:hint="eastAsia" w:cs="Times New Roman"/>
          <w:sz w:val="32"/>
          <w:szCs w:val="32"/>
          <w:lang w:eastAsia="zh-CN"/>
        </w:rPr>
        <w:t>我局编制了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  <w:r>
        <w:rPr>
          <w:rFonts w:hint="eastAsia" w:cs="Times New Roman"/>
          <w:sz w:val="32"/>
          <w:szCs w:val="32"/>
          <w:lang w:eastAsia="zh-CN"/>
        </w:rPr>
        <w:t>我局已将资金分解到2021年、2022年农村公路安全护栏工程，2021年、2022年农村公路窄路面加宽及通组公路，支付部分历年存量债务，并按照项目属性设置项目相应的绩效目标。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2023年12月31日财政已下达4437.6333万元，该批工程已基本完工，下达的资金已拨付到位。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新安装村道安全防护栏835公里，实施窄路面扩宽及通组公路150公里，支付部分历年存量债务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，完成项目建设并投入使用，公路安全通行能力大幅提升，存量债务风险进一步减小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完成新安装村道安全防护栏835公里，实施窄路面扩宽及通组公路150公里，化解548.8337万元存量债务，完成绩效目标，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因此数量指标得分25分。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该项目实施完成后，未出现不合格工程，合格率100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项目已基本完工，达到年度预期目标。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因此时效指标得分5分。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eastAsia="zh-CN"/>
        </w:rPr>
        <w:t>项目单公里造价均为突破预算造价，因此成本指标得分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公路通行能力大幅提升，减少了运输成本。因此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经济效益</w:t>
      </w:r>
      <w:r>
        <w:rPr>
          <w:rFonts w:hint="eastAsia" w:cs="Times New Roman"/>
          <w:sz w:val="32"/>
          <w:szCs w:val="32"/>
          <w:lang w:eastAsia="zh-CN"/>
        </w:rPr>
        <w:t>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该项目实施完成后，群众出行更加安全方便快捷，因此社会效益指标得分10分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（3）生态效益。公路建设后，路域环境有效改善</w:t>
      </w:r>
      <w:r>
        <w:rPr>
          <w:rFonts w:hint="eastAsia" w:cs="Times New Roman"/>
          <w:sz w:val="32"/>
          <w:szCs w:val="32"/>
          <w:lang w:eastAsia="zh-CN"/>
        </w:rPr>
        <w:t>，因此生态效益得分</w:t>
      </w:r>
      <w:r>
        <w:rPr>
          <w:rFonts w:hint="eastAsia" w:cs="Times New Roman"/>
          <w:sz w:val="32"/>
          <w:szCs w:val="32"/>
          <w:lang w:val="en-US" w:eastAsia="zh-CN"/>
        </w:rPr>
        <w:t>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该项目实施完成后，公路和交通附属设施依旧保持完好，因此可持续影响指标得分5分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该项目的执行率为100%，得10分；完成新安装村道安全防护栏835公里，实施窄路面扩宽及通组公路150公里，化解548.8337万元存量债务，数量指标得分25分；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该项目实施完成后，未出现不合格工程，合格率100％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项目已基本完工，达到年度预期目标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10分；项目单公里造价均为突破预算造价，成本指标得分10分；公路通行能力大幅提升，减少了运输成本，经济效益得分10分；该项目实施完成后，群众出行更加安全方便快捷，社会效益指标得分10分；公路建设后，路域环境有效改善，生态效益得分5分；该项目实施完成后，公路和交通附属设施依旧保持完好，可持续影响指标得分5分；群众对项目实施的满意度达到80%以上，因此满意度指标得分10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372"/>
        <w:gridCol w:w="1725"/>
        <w:gridCol w:w="615"/>
        <w:gridCol w:w="960"/>
        <w:gridCol w:w="85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1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2022年部分交通建设项目结转资金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李贤勇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1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各乡镇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4437.6333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4437.6333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安全防护栏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835公里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835公里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窄路扩宽及通组公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150公里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150公里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化解存量债务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化解548.8337万元存量债务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548.8377万元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工程合格率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合格率90%以上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年度建设目标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达成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7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工程平均造价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安全防护栏每公里平均造价≦20万元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窄路面扩宽每公里平均造价≦100万元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符合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通行能力　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有效提升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群众出行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更加方便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方便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使用年限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≧8年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正常使用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以上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       填表人：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bookmarkStart w:id="0" w:name="_GoBack"/>
            <w:bookmarkEnd w:id="0"/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kN2FkMzRkMjRlYjVhYTFhNTg5Y2MxMWY5MTNlNGU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3D1158F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38B764D"/>
    <w:rsid w:val="45700A40"/>
    <w:rsid w:val="45BA5921"/>
    <w:rsid w:val="462A7E93"/>
    <w:rsid w:val="48352F34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427FA9"/>
    <w:rsid w:val="6A8E035E"/>
    <w:rsid w:val="6A986D66"/>
    <w:rsid w:val="6D171E6C"/>
    <w:rsid w:val="6D8E41F3"/>
    <w:rsid w:val="72023B0B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0</TotalTime>
  <ScaleCrop>false</ScaleCrop>
  <LinksUpToDate>false</LinksUpToDate>
  <CharactersWithSpaces>1532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东城西就</cp:lastModifiedBy>
  <dcterms:modified xsi:type="dcterms:W3CDTF">2024-01-25T08:26:18Z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F62D6B5BC0434FE7A3E4E153DD6B37FF_13</vt:lpwstr>
  </property>
</Properties>
</file>