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2023年实际种粮农民一次性补贴项目绩效报告</w:t>
      </w:r>
    </w:p>
    <w:p>
      <w:pPr>
        <w:spacing w:line="560" w:lineRule="exact"/>
        <w:ind w:firstLine="640" w:firstLineChars="200"/>
        <w:jc w:val="left"/>
        <w:rPr>
          <w:rFonts w:hint="default" w:ascii="Times New Roman" w:hAnsi="Times New Roman" w:eastAsia="方正仿宋_GBK" w:cs="Times New Roman"/>
          <w:sz w:val="32"/>
          <w:szCs w:val="32"/>
        </w:rPr>
      </w:pPr>
    </w:p>
    <w:p>
      <w:pPr>
        <w:spacing w:line="56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根据《重庆市财政局重庆市农业农村委员会关于下达2023年实际种粮农民一次性补贴资金预算及做好相关项目管理工作的通知》（渝财农〔2023〕23号）相关要求，我县认真开展了</w:t>
      </w:r>
      <w:r>
        <w:rPr>
          <w:rFonts w:hint="default" w:ascii="Times New Roman" w:hAnsi="Times New Roman" w:eastAsia="方正仿宋_GBK" w:cs="Times New Roman"/>
          <w:sz w:val="32"/>
          <w:szCs w:val="20"/>
          <w:lang w:eastAsia="zh-CN"/>
        </w:rPr>
        <w:t>2023</w:t>
      </w:r>
      <w:r>
        <w:rPr>
          <w:rFonts w:hint="default" w:ascii="Times New Roman" w:hAnsi="Times New Roman" w:eastAsia="方正仿宋_GBK" w:cs="Times New Roman"/>
          <w:sz w:val="32"/>
          <w:szCs w:val="20"/>
        </w:rPr>
        <w:t>年实际种粮农民一次性补贴</w:t>
      </w:r>
      <w:r>
        <w:rPr>
          <w:rFonts w:hint="default" w:ascii="Times New Roman" w:hAnsi="Times New Roman" w:eastAsia="方正仿宋_GBK" w:cs="Times New Roman"/>
          <w:sz w:val="32"/>
          <w:szCs w:val="32"/>
        </w:rPr>
        <w:t>资金绩效评价的自评工作，现将自评情况报告如下：</w:t>
      </w:r>
    </w:p>
    <w:p>
      <w:pPr>
        <w:numPr>
          <w:ilvl w:val="0"/>
          <w:numId w:val="0"/>
        </w:numPr>
        <w:spacing w:line="560" w:lineRule="exact"/>
        <w:ind w:firstLine="640" w:firstLineChars="200"/>
        <w:jc w:val="left"/>
        <w:rPr>
          <w:rFonts w:hint="default" w:ascii="Times New Roman" w:hAnsi="Times New Roman" w:eastAsia="方正仿宋_GBK" w:cs="Times New Roman"/>
          <w:sz w:val="32"/>
          <w:szCs w:val="32"/>
          <w:highlight w:val="none"/>
        </w:rPr>
      </w:pPr>
      <w:r>
        <w:rPr>
          <w:rFonts w:hint="default" w:ascii="Times New Roman" w:hAnsi="Times New Roman" w:eastAsia="方正楷体_GBK" w:cs="Times New Roman"/>
          <w:sz w:val="32"/>
          <w:szCs w:val="32"/>
          <w:highlight w:val="none"/>
        </w:rPr>
        <w:t>（一）</w:t>
      </w:r>
      <w:r>
        <w:rPr>
          <w:rFonts w:hint="eastAsia" w:ascii="Times New Roman" w:hAnsi="Times New Roman" w:eastAsia="方正楷体_GBK" w:cs="Times New Roman"/>
          <w:sz w:val="32"/>
          <w:szCs w:val="32"/>
          <w:highlight w:val="none"/>
          <w:lang w:eastAsia="zh-CN"/>
        </w:rPr>
        <w:t>补贴户数和面积</w:t>
      </w:r>
      <w:r>
        <w:rPr>
          <w:rFonts w:hint="default" w:ascii="Times New Roman" w:hAnsi="Times New Roman" w:eastAsia="方正楷体_GBK" w:cs="Times New Roman"/>
          <w:sz w:val="32"/>
          <w:szCs w:val="32"/>
          <w:highlight w:val="none"/>
        </w:rPr>
        <w:t>。</w:t>
      </w:r>
    </w:p>
    <w:p>
      <w:pPr>
        <w:spacing w:line="600" w:lineRule="exact"/>
        <w:ind w:firstLine="640" w:firstLineChars="200"/>
        <w:jc w:val="both"/>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sz w:val="32"/>
          <w:szCs w:val="32"/>
          <w:highlight w:val="none"/>
        </w:rPr>
        <w:t>按照上级</w:t>
      </w:r>
      <w:r>
        <w:rPr>
          <w:rFonts w:hint="default" w:ascii="Times New Roman" w:hAnsi="Times New Roman" w:eastAsia="方正仿宋_GBK" w:cs="Times New Roman"/>
          <w:sz w:val="32"/>
          <w:szCs w:val="20"/>
          <w:highlight w:val="none"/>
        </w:rPr>
        <w:t>实际种粮农民一次性</w:t>
      </w:r>
      <w:r>
        <w:rPr>
          <w:rFonts w:hint="default" w:ascii="Times New Roman" w:hAnsi="Times New Roman" w:eastAsia="方正仿宋_GBK" w:cs="Times New Roman"/>
          <w:sz w:val="32"/>
          <w:szCs w:val="32"/>
          <w:highlight w:val="none"/>
        </w:rPr>
        <w:t>补贴政策和我县实施方案，</w:t>
      </w:r>
      <w:r>
        <w:rPr>
          <w:rFonts w:hint="default" w:ascii="Times New Roman" w:hAnsi="Times New Roman" w:eastAsia="方正仿宋_GBK" w:cs="Times New Roman"/>
          <w:color w:val="000000"/>
          <w:sz w:val="32"/>
          <w:szCs w:val="32"/>
          <w:highlight w:val="none"/>
          <w:lang w:eastAsia="zh-CN"/>
        </w:rPr>
        <w:t>2023</w:t>
      </w:r>
      <w:r>
        <w:rPr>
          <w:rFonts w:hint="default" w:ascii="Times New Roman" w:hAnsi="Times New Roman" w:eastAsia="方正仿宋_GBK" w:cs="Times New Roman"/>
          <w:color w:val="000000"/>
          <w:sz w:val="32"/>
          <w:szCs w:val="32"/>
          <w:highlight w:val="none"/>
        </w:rPr>
        <w:t>年6月，</w:t>
      </w:r>
      <w:r>
        <w:rPr>
          <w:rFonts w:hint="default" w:ascii="Times New Roman" w:hAnsi="Times New Roman" w:eastAsia="方正仿宋_GBK" w:cs="Times New Roman"/>
          <w:sz w:val="32"/>
          <w:szCs w:val="32"/>
          <w:highlight w:val="none"/>
        </w:rPr>
        <w:t>对我县今年种植水稻、小麦、玉米、大豆、高粱、马铃薯、甘薯的种植户落实了实际种粮农民一次性补贴政策。全县补贴11.94万户，补贴面积55.97万亩，补贴标准11.41元/亩，兑付补贴资金638.58万元。补贴资金结余情况</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color w:val="000000"/>
          <w:sz w:val="32"/>
          <w:szCs w:val="32"/>
          <w:highlight w:val="none"/>
          <w:lang w:eastAsia="zh-CN"/>
        </w:rPr>
        <w:t>2023</w:t>
      </w:r>
      <w:r>
        <w:rPr>
          <w:rFonts w:hint="default" w:ascii="Times New Roman" w:hAnsi="Times New Roman" w:eastAsia="方正仿宋_GBK" w:cs="Times New Roman"/>
          <w:color w:val="000000"/>
          <w:sz w:val="32"/>
          <w:szCs w:val="32"/>
          <w:highlight w:val="none"/>
        </w:rPr>
        <w:t>年度，</w:t>
      </w:r>
      <w:r>
        <w:rPr>
          <w:rFonts w:hint="default" w:ascii="Times New Roman" w:hAnsi="Times New Roman" w:eastAsia="方正仿宋_GBK" w:cs="Times New Roman"/>
          <w:color w:val="000000"/>
          <w:sz w:val="32"/>
          <w:szCs w:val="32"/>
        </w:rPr>
        <w:t>渝财农〔2023〕23号下达639万元，结余资金0.</w:t>
      </w:r>
      <w:r>
        <w:rPr>
          <w:rFonts w:hint="default" w:ascii="Times New Roman" w:hAnsi="Times New Roman" w:eastAsia="方正仿宋_GBK" w:cs="Times New Roman"/>
          <w:color w:val="000000"/>
          <w:sz w:val="32"/>
          <w:szCs w:val="32"/>
          <w:lang w:val="en-US" w:eastAsia="zh-CN"/>
        </w:rPr>
        <w:t>42</w:t>
      </w:r>
      <w:r>
        <w:rPr>
          <w:rFonts w:hint="default" w:ascii="Times New Roman" w:hAnsi="Times New Roman" w:eastAsia="方正仿宋_GBK" w:cs="Times New Roman"/>
          <w:color w:val="000000"/>
          <w:sz w:val="32"/>
          <w:szCs w:val="32"/>
        </w:rPr>
        <w:t>万元</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按补贴面积平均分配后产生的正常余额</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w:t>
      </w:r>
    </w:p>
    <w:p>
      <w:pPr>
        <w:spacing w:line="600" w:lineRule="exact"/>
        <w:ind w:firstLine="640" w:firstLineChars="200"/>
        <w:jc w:val="both"/>
        <w:rPr>
          <w:rFonts w:hint="eastAsia" w:ascii="方正楷体_GBK" w:hAnsi="方正楷体_GBK" w:eastAsia="方正楷体_GBK" w:cs="方正楷体_GBK"/>
          <w:color w:val="000000"/>
          <w:sz w:val="32"/>
          <w:szCs w:val="32"/>
          <w:lang w:eastAsia="zh-CN"/>
        </w:rPr>
      </w:pPr>
      <w:r>
        <w:rPr>
          <w:rFonts w:hint="eastAsia" w:ascii="方正楷体_GBK" w:hAnsi="方正楷体_GBK" w:eastAsia="方正楷体_GBK" w:cs="方正楷体_GBK"/>
          <w:color w:val="000000"/>
          <w:sz w:val="32"/>
          <w:szCs w:val="32"/>
          <w:lang w:eastAsia="zh-CN"/>
        </w:rPr>
        <w:t>（二）合法合规准确率。</w:t>
      </w:r>
    </w:p>
    <w:p>
      <w:pPr>
        <w:spacing w:line="600" w:lineRule="exact"/>
        <w:ind w:firstLine="640" w:firstLineChars="200"/>
        <w:jc w:val="both"/>
        <w:rPr>
          <w:rFonts w:hint="default" w:ascii="Times New Roman" w:hAnsi="Times New Roman" w:eastAsia="方正仿宋_GBK" w:cs="Times New Roman"/>
          <w:color w:val="000000"/>
          <w:sz w:val="32"/>
          <w:szCs w:val="32"/>
          <w:lang w:eastAsia="zh-CN"/>
        </w:rPr>
      </w:pPr>
      <w:r>
        <w:rPr>
          <w:rFonts w:hint="default" w:ascii="Times New Roman" w:hAnsi="Times New Roman" w:eastAsia="方正仿宋_GBK" w:cs="Times New Roman"/>
          <w:sz w:val="32"/>
          <w:szCs w:val="32"/>
          <w:lang w:eastAsia="zh-CN"/>
        </w:rPr>
        <w:t>2023</w:t>
      </w:r>
      <w:r>
        <w:rPr>
          <w:rFonts w:hint="default" w:ascii="Times New Roman" w:hAnsi="Times New Roman" w:eastAsia="方正仿宋_GBK" w:cs="Times New Roman"/>
          <w:sz w:val="32"/>
          <w:szCs w:val="32"/>
        </w:rPr>
        <w:t>年我县</w:t>
      </w:r>
      <w:r>
        <w:rPr>
          <w:rFonts w:hint="default" w:ascii="Times New Roman" w:hAnsi="Times New Roman" w:eastAsia="方正仿宋_GBK" w:cs="Times New Roman"/>
          <w:sz w:val="32"/>
          <w:szCs w:val="20"/>
        </w:rPr>
        <w:t>实际种粮农民一次性补贴</w:t>
      </w:r>
      <w:r>
        <w:rPr>
          <w:rFonts w:hint="default" w:ascii="Times New Roman" w:hAnsi="Times New Roman" w:eastAsia="方正仿宋_GBK" w:cs="Times New Roman"/>
          <w:sz w:val="32"/>
          <w:szCs w:val="32"/>
        </w:rPr>
        <w:t>占应兑付农户数的100%。统一资金审核和发放程序</w:t>
      </w:r>
      <w:r>
        <w:rPr>
          <w:rFonts w:hint="eastAsia" w:ascii="Times New Roman" w:hAnsi="Times New Roman" w:cs="Times New Roman"/>
          <w:sz w:val="32"/>
          <w:szCs w:val="32"/>
          <w:lang w:eastAsia="zh-CN"/>
        </w:rPr>
        <w:t>，</w:t>
      </w:r>
      <w:r>
        <w:rPr>
          <w:rFonts w:hint="default" w:ascii="Times New Roman" w:hAnsi="Times New Roman" w:eastAsia="方正仿宋_GBK" w:cs="Times New Roman"/>
          <w:sz w:val="32"/>
          <w:szCs w:val="32"/>
          <w:lang w:eastAsia="zh-CN"/>
        </w:rPr>
        <w:t>无任何单位和个人截留、滞留、挤占、挪用和骗取实际种粮一次性补贴。</w:t>
      </w:r>
    </w:p>
    <w:p>
      <w:pPr>
        <w:numPr>
          <w:ilvl w:val="0"/>
          <w:numId w:val="0"/>
        </w:numPr>
        <w:spacing w:line="560" w:lineRule="exact"/>
        <w:ind w:firstLine="640" w:firstLineChars="200"/>
        <w:jc w:val="left"/>
        <w:rPr>
          <w:rFonts w:hint="default" w:ascii="Times New Roman" w:hAnsi="Times New Roman" w:eastAsia="方正楷体_GBK" w:cs="Times New Roman"/>
          <w:sz w:val="32"/>
          <w:szCs w:val="32"/>
        </w:rPr>
      </w:pPr>
      <w:r>
        <w:rPr>
          <w:rFonts w:hint="eastAsia" w:ascii="Times New Roman" w:hAnsi="Times New Roman" w:eastAsia="方正楷体_GBK" w:cs="Times New Roman"/>
          <w:kern w:val="2"/>
          <w:sz w:val="32"/>
          <w:szCs w:val="32"/>
          <w:lang w:val="en-US" w:eastAsia="zh-CN" w:bidi="ar-SA"/>
        </w:rPr>
        <w:t>（三）</w:t>
      </w:r>
      <w:r>
        <w:rPr>
          <w:rFonts w:hint="eastAsia" w:ascii="Times New Roman" w:hAnsi="Times New Roman" w:eastAsia="方正楷体_GBK" w:cs="Times New Roman"/>
          <w:sz w:val="32"/>
          <w:szCs w:val="32"/>
          <w:lang w:eastAsia="zh-CN"/>
        </w:rPr>
        <w:t>兑付时间</w:t>
      </w:r>
      <w:r>
        <w:rPr>
          <w:rFonts w:hint="default" w:ascii="Times New Roman" w:hAnsi="Times New Roman" w:eastAsia="方正楷体_GBK" w:cs="Times New Roman"/>
          <w:sz w:val="32"/>
          <w:szCs w:val="32"/>
        </w:rPr>
        <w:t>。</w:t>
      </w:r>
    </w:p>
    <w:p>
      <w:pPr>
        <w:numPr>
          <w:numId w:val="0"/>
        </w:numPr>
        <w:spacing w:line="560" w:lineRule="exact"/>
        <w:ind w:firstLine="640" w:firstLineChars="200"/>
        <w:jc w:val="left"/>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eastAsia="zh-CN"/>
        </w:rPr>
        <w:t>在</w:t>
      </w:r>
      <w:r>
        <w:rPr>
          <w:rFonts w:hint="eastAsia" w:ascii="方正仿宋_GBK" w:hAnsi="方正仿宋_GBK" w:eastAsia="方正仿宋_GBK" w:cs="方正仿宋_GBK"/>
          <w:color w:val="000000"/>
          <w:sz w:val="32"/>
          <w:szCs w:val="32"/>
          <w:lang w:val="en-US" w:eastAsia="zh-CN"/>
        </w:rPr>
        <w:t>6月底之前完成兑付。</w:t>
      </w:r>
    </w:p>
    <w:p>
      <w:pPr>
        <w:numPr>
          <w:ilvl w:val="0"/>
          <w:numId w:val="1"/>
        </w:numPr>
        <w:spacing w:line="560" w:lineRule="exact"/>
        <w:ind w:firstLine="640" w:firstLineChars="200"/>
        <w:jc w:val="left"/>
        <w:rPr>
          <w:rFonts w:hint="default" w:ascii="Times New Roman" w:hAnsi="Times New Roman" w:eastAsia="方正楷体_GBK" w:cs="Times New Roman"/>
          <w:sz w:val="32"/>
          <w:szCs w:val="32"/>
        </w:rPr>
      </w:pPr>
      <w:r>
        <w:rPr>
          <w:rFonts w:hint="eastAsia" w:ascii="Times New Roman" w:hAnsi="Times New Roman" w:eastAsia="方正楷体_GBK" w:cs="Times New Roman"/>
          <w:kern w:val="2"/>
          <w:sz w:val="32"/>
          <w:szCs w:val="32"/>
          <w:lang w:val="en-US" w:eastAsia="zh-CN" w:bidi="ar-SA"/>
        </w:rPr>
        <w:t>一次性补贴发放标准</w:t>
      </w:r>
      <w:r>
        <w:rPr>
          <w:rFonts w:hint="default" w:ascii="Times New Roman" w:hAnsi="Times New Roman" w:eastAsia="方正楷体_GBK" w:cs="Times New Roman"/>
          <w:sz w:val="32"/>
          <w:szCs w:val="32"/>
        </w:rPr>
        <w:t>。</w:t>
      </w:r>
    </w:p>
    <w:p>
      <w:pPr>
        <w:bidi w:val="0"/>
        <w:rPr>
          <w:rFonts w:hint="eastAsia"/>
          <w:lang w:eastAsia="zh-CN"/>
        </w:rPr>
      </w:pPr>
      <w:r>
        <w:rPr>
          <w:rFonts w:hint="default"/>
          <w:lang w:eastAsia="zh-CN"/>
        </w:rPr>
        <w:t>补贴标准11.41元/亩</w:t>
      </w:r>
      <w:r>
        <w:rPr>
          <w:rFonts w:hint="eastAsia"/>
          <w:lang w:eastAsia="zh-CN"/>
        </w:rPr>
        <w:t>。</w:t>
      </w:r>
    </w:p>
    <w:p>
      <w:pPr>
        <w:numPr>
          <w:ilvl w:val="0"/>
          <w:numId w:val="1"/>
        </w:numPr>
        <w:bidi w:val="0"/>
        <w:ind w:left="0" w:leftChars="0" w:firstLine="640" w:firstLineChars="200"/>
        <w:rPr>
          <w:rFonts w:hint="eastAsia" w:ascii="方正楷体_GBK" w:hAnsi="方正楷体_GBK" w:eastAsia="方正楷体_GBK" w:cs="方正楷体_GBK"/>
          <w:lang w:eastAsia="zh-CN"/>
        </w:rPr>
      </w:pPr>
      <w:r>
        <w:rPr>
          <w:rFonts w:hint="eastAsia" w:ascii="方正楷体_GBK" w:hAnsi="方正楷体_GBK" w:eastAsia="方正楷体_GBK" w:cs="方正楷体_GBK"/>
          <w:lang w:eastAsia="zh-CN"/>
        </w:rPr>
        <w:t>实际种粮农民和种粮大户效益提升。</w:t>
      </w:r>
    </w:p>
    <w:p>
      <w:pPr>
        <w:bidi w:val="0"/>
        <w:rPr>
          <w:rFonts w:hint="eastAsia"/>
          <w:lang w:val="en-US" w:eastAsia="zh-CN"/>
        </w:rPr>
      </w:pPr>
      <w:r>
        <w:rPr>
          <w:rFonts w:hint="eastAsia"/>
          <w:lang w:eastAsia="zh-CN"/>
        </w:rPr>
        <w:t>提升</w:t>
      </w:r>
      <w:r>
        <w:rPr>
          <w:rFonts w:hint="eastAsia"/>
          <w:lang w:val="en-US" w:eastAsia="zh-CN"/>
        </w:rPr>
        <w:t>3%。</w:t>
      </w:r>
    </w:p>
    <w:p>
      <w:pPr>
        <w:numPr>
          <w:ilvl w:val="0"/>
          <w:numId w:val="1"/>
        </w:numPr>
        <w:bidi w:val="0"/>
        <w:ind w:left="0" w:leftChars="0" w:firstLine="640" w:firstLineChars="200"/>
        <w:rPr>
          <w:rFonts w:hint="eastAsia" w:ascii="方正楷体_GBK" w:hAnsi="方正楷体_GBK" w:eastAsia="方正楷体_GBK" w:cs="方正楷体_GBK"/>
          <w:lang w:val="en-US" w:eastAsia="zh-CN"/>
        </w:rPr>
      </w:pPr>
      <w:r>
        <w:rPr>
          <w:rFonts w:hint="eastAsia" w:ascii="方正楷体_GBK" w:hAnsi="方正楷体_GBK" w:eastAsia="方正楷体_GBK" w:cs="方正楷体_GBK"/>
          <w:lang w:val="en-US" w:eastAsia="zh-CN"/>
        </w:rPr>
        <w:t>稳定粮食生产和农业。</w:t>
      </w:r>
    </w:p>
    <w:p>
      <w:pPr>
        <w:numPr>
          <w:numId w:val="0"/>
        </w:numPr>
        <w:bidi w:val="0"/>
        <w:rPr>
          <w:rFonts w:hint="eastAsia" w:ascii="方正仿宋_GBK" w:hAnsi="方正仿宋_GBK" w:eastAsia="方正仿宋_GBK" w:cs="方正仿宋_GBK"/>
          <w:lang w:val="en-US" w:eastAsia="zh-CN"/>
        </w:rPr>
      </w:pPr>
      <w:r>
        <w:rPr>
          <w:rFonts w:hint="eastAsia"/>
          <w:lang w:val="en-US" w:eastAsia="zh-CN"/>
        </w:rPr>
        <w:t xml:space="preserve">    </w:t>
      </w:r>
      <w:r>
        <w:rPr>
          <w:rFonts w:hint="eastAsia" w:ascii="方正仿宋_GBK" w:hAnsi="方正仿宋_GBK" w:cs="方正仿宋_GBK"/>
          <w:lang w:val="en-US" w:eastAsia="zh-CN"/>
        </w:rPr>
        <w:t>明显地稳定了粮食生产和农业。</w:t>
      </w:r>
    </w:p>
    <w:p>
      <w:pPr>
        <w:spacing w:line="560" w:lineRule="exact"/>
        <w:ind w:firstLine="640" w:firstLineChars="200"/>
        <w:jc w:val="left"/>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（七）种粮农民对政策满意度。</w:t>
      </w:r>
    </w:p>
    <w:p>
      <w:pPr>
        <w:spacing w:line="56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通过</w:t>
      </w:r>
      <w:r>
        <w:rPr>
          <w:rFonts w:hint="default" w:ascii="Times New Roman" w:hAnsi="Times New Roman" w:eastAsia="方正仿宋_GBK" w:cs="Times New Roman"/>
          <w:kern w:val="0"/>
          <w:sz w:val="32"/>
          <w:szCs w:val="32"/>
        </w:rPr>
        <w:t>调查走访，农民对政策满意度达99%，举报投诉处理满意度达98%。</w:t>
      </w:r>
    </w:p>
    <w:p>
      <w:pPr>
        <w:jc w:val="center"/>
        <w:rPr>
          <w:rFonts w:hint="eastAsia" w:ascii="方正小标宋_GBK" w:hAnsi="方正小标宋_GBK" w:eastAsia="方正小标宋_GBK" w:cs="方正小标宋_GBK"/>
        </w:rPr>
      </w:pPr>
    </w:p>
    <w:p>
      <w:pPr>
        <w:pStyle w:val="2"/>
        <w:rPr>
          <w:rFonts w:hint="eastAsia"/>
        </w:rPr>
      </w:pPr>
      <w:bookmarkStart w:id="0" w:name="_GoBack"/>
      <w:bookmarkEnd w:id="0"/>
    </w:p>
    <w:p>
      <w:pPr>
        <w:jc w:val="center"/>
        <w:rPr>
          <w:rFonts w:hint="eastAsia" w:ascii="方正仿宋_GBK" w:hAnsi="方正仿宋_GBK" w:eastAsia="方正仿宋_GBK" w:cs="方正仿宋_GBK"/>
        </w:rPr>
      </w:pPr>
      <w:r>
        <w:rPr>
          <w:rFonts w:hint="eastAsia" w:ascii="方正仿宋_GBK" w:hAnsi="方正仿宋_GBK" w:cs="方正仿宋_GBK"/>
          <w:lang w:val="en-US" w:eastAsia="zh-CN"/>
        </w:rPr>
        <w:t xml:space="preserve">     </w:t>
      </w:r>
      <w:r>
        <w:rPr>
          <w:rFonts w:hint="eastAsia" w:ascii="方正仿宋_GBK" w:hAnsi="方正仿宋_GBK" w:eastAsia="方正仿宋_GBK" w:cs="方正仿宋_GBK"/>
        </w:rPr>
        <w:t>奉节县种植业发展中心</w:t>
      </w:r>
    </w:p>
    <w:p>
      <w:pPr>
        <w:jc w:val="center"/>
        <w:rPr>
          <w:rFonts w:hint="eastAsia" w:ascii="方正仿宋_GBK" w:hAnsi="方正仿宋_GBK" w:eastAsia="方正仿宋_GBK" w:cs="方正仿宋_GBK"/>
        </w:rPr>
      </w:pPr>
      <w:r>
        <w:rPr>
          <w:rFonts w:hint="eastAsia" w:ascii="方正仿宋_GBK" w:hAnsi="方正仿宋_GBK" w:cs="方正仿宋_GBK"/>
          <w:lang w:val="en-US" w:eastAsia="zh-CN"/>
        </w:rPr>
        <w:t xml:space="preserve">    </w:t>
      </w:r>
      <w:r>
        <w:rPr>
          <w:rFonts w:hint="eastAsia" w:ascii="方正仿宋_GBK" w:hAnsi="方正仿宋_GBK" w:eastAsia="方正仿宋_GBK" w:cs="方正仿宋_GBK"/>
        </w:rPr>
        <w:t>2024年1月25日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6F521"/>
    <w:multiLevelType w:val="singleLevel"/>
    <w:tmpl w:val="B156F52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lZmQxNDljOTM3ZjhiMGIyM2Q1MGZkYmQ3ODY2MzIifQ=="/>
  </w:docVars>
  <w:rsids>
    <w:rsidRoot w:val="00000000"/>
    <w:rsid w:val="4A4B20AC"/>
    <w:rsid w:val="51C346DE"/>
    <w:rsid w:val="67356614"/>
    <w:rsid w:val="777850D5"/>
    <w:rsid w:val="7E2A042D"/>
    <w:rsid w:val="7EC31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72" w:lineRule="exact"/>
      <w:ind w:firstLine="880" w:firstLineChars="200"/>
      <w:jc w:val="left"/>
    </w:pPr>
    <w:rPr>
      <w:rFonts w:eastAsia="方正仿宋_GBK" w:asciiTheme="minorAscii" w:hAnsiTheme="minorAscii" w:cstheme="minorBidi"/>
      <w:kern w:val="2"/>
      <w:sz w:val="32"/>
      <w:szCs w:val="24"/>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Times New Roman" w:hAnsi="Times New Roman" w:eastAsia="宋体" w:cs="Times New Roman"/>
      <w:b/>
      <w:bCs/>
      <w:kern w:val="44"/>
      <w:sz w:val="44"/>
      <w:szCs w:val="4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spacing w:beforeAutospacing="1" w:afterAutospacing="1" w:line="594" w:lineRule="exact"/>
      <w:ind w:firstLine="880" w:firstLineChars="200"/>
      <w:jc w:val="left"/>
    </w:pPr>
    <w:rPr>
      <w:rFonts w:ascii="宋体" w:hAnsi="宋体" w:eastAsia="方正仿宋_GBK" w:cs="宋体"/>
      <w:kern w:val="0"/>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2023-03-02T12:24:00Z</dcterms:created>
  <dc:creator>Administrator</dc:creator>
  <cp:lastModifiedBy>Pumpkin</cp:lastModifiedBy>
  <dcterms:modified xsi:type="dcterms:W3CDTF">2024-03-14T08:25:01Z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6B501E4DAFE64E2E9F873F0F1F413B77</vt:lpwstr>
  </property>
</Properties>
</file>