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2022年土地流转经营权流转</w:t>
      </w:r>
    </w:p>
    <w:p>
      <w:pPr>
        <w:spacing w:line="60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履约保证保险和农业雇主责任保险</w:t>
      </w:r>
    </w:p>
    <w:p>
      <w:pPr>
        <w:spacing w:line="60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项目绩效目标自评报告</w:t>
      </w:r>
    </w:p>
    <w:p>
      <w:pPr>
        <w:rPr>
          <w:rFonts w:ascii="方正仿宋_GBK" w:hAnsi="方正仿宋_GBK" w:eastAsia="方正仿宋_GBK" w:cs="方正仿宋_GBK"/>
          <w:sz w:val="32"/>
          <w:szCs w:val="32"/>
        </w:rPr>
      </w:pPr>
    </w:p>
    <w:p>
      <w:pPr>
        <w:spacing w:line="596"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一、任务清单完成情况</w:t>
      </w:r>
    </w:p>
    <w:p>
      <w:pPr>
        <w:spacing w:line="596"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任务量：</w:t>
      </w:r>
      <w:r>
        <w:rPr>
          <w:rFonts w:hint="eastAsia" w:ascii="方正仿宋_GBK" w:hAnsi="方正仿宋_GBK" w:eastAsia="方正仿宋_GBK" w:cs="方正仿宋_GBK"/>
          <w:sz w:val="32"/>
          <w:szCs w:val="32"/>
        </w:rPr>
        <w:t>签订农业雇主责任保险保单200人以上，签订土地流转履约保证保险保单，涉及流转面积300亩以上。</w:t>
      </w:r>
    </w:p>
    <w:p>
      <w:pPr>
        <w:spacing w:line="596"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完成量：</w:t>
      </w:r>
      <w:r>
        <w:rPr>
          <w:rFonts w:hint="eastAsia" w:ascii="方正仿宋_GBK" w:hAnsi="方正仿宋_GBK" w:eastAsia="方正仿宋_GBK" w:cs="方正仿宋_GBK"/>
          <w:sz w:val="32"/>
          <w:szCs w:val="32"/>
        </w:rPr>
        <w:t>签订农业雇主责任保险保单5份，参保人数211人，收取保险费17.24万元；签订土地流转履约保证保险保单2份，涉及流转面积358.66亩，收取保险费0.21万元。</w:t>
      </w:r>
    </w:p>
    <w:p>
      <w:pPr>
        <w:spacing w:line="596"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二、目标、任务完成情况分析</w:t>
      </w:r>
    </w:p>
    <w:p>
      <w:pPr>
        <w:spacing w:line="596" w:lineRule="exact"/>
        <w:ind w:firstLine="640" w:firstLineChars="200"/>
        <w:jc w:val="lef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（一）资金投入情况分析</w:t>
      </w:r>
    </w:p>
    <w:p>
      <w:pPr>
        <w:spacing w:line="596"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项目资金到位情况分析。根据奉节农发〔2021〕211号 、奉节财农〔2023〕49号文件，县级财政实际安排</w:t>
      </w:r>
      <w:r>
        <w:rPr>
          <w:rFonts w:ascii="Times New Roman" w:hAnsi="Times New Roman" w:eastAsia="方正仿宋_GBK"/>
          <w:sz w:val="32"/>
          <w:szCs w:val="32"/>
        </w:rPr>
        <w:t>121693.11</w:t>
      </w:r>
      <w:r>
        <w:rPr>
          <w:rFonts w:hint="eastAsia" w:ascii="方正仿宋_GBK" w:hAnsi="方正仿宋_GBK" w:eastAsia="方正仿宋_GBK" w:cs="方正仿宋_GBK"/>
          <w:sz w:val="32"/>
          <w:szCs w:val="32"/>
        </w:rPr>
        <w:t>元，2022年土地经营权流转履约保证保险和农业雇主责任保险补贴，项目资金全部到位。</w:t>
      </w:r>
    </w:p>
    <w:p>
      <w:pPr>
        <w:spacing w:line="596"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2.项目资金执行情况分析。2022年土地经营权流转履约保证保险和农业雇主责任保险项目已经全部完工并已验收合格，目前项目资金已拨付。</w:t>
      </w:r>
    </w:p>
    <w:p>
      <w:pPr>
        <w:spacing w:line="596" w:lineRule="exact"/>
        <w:ind w:firstLine="640" w:firstLineChars="200"/>
        <w:jc w:val="lef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（二）总体绩效完成情况分析</w:t>
      </w:r>
    </w:p>
    <w:p>
      <w:pPr>
        <w:spacing w:line="596" w:lineRule="exact"/>
        <w:ind w:firstLine="640" w:firstLineChars="200"/>
        <w:jc w:val="left"/>
        <w:rPr>
          <w:rFonts w:ascii="方正仿宋_GBK" w:hAnsi="方正仿宋_GBK" w:eastAsia="方正仿宋_GBK" w:cs="方正仿宋_GBK"/>
          <w:sz w:val="32"/>
          <w:szCs w:val="32"/>
          <w:highlight w:val="yellow"/>
        </w:rPr>
      </w:pPr>
      <w:r>
        <w:rPr>
          <w:rFonts w:hint="eastAsia" w:ascii="方正仿宋_GBK" w:eastAsia="方正仿宋_GBK"/>
          <w:color w:val="000000" w:themeColor="text1"/>
          <w:sz w:val="32"/>
        </w:rPr>
        <w:t>项目实施全面完成了各项保险任务，实现了项目的预期目标。健全了农村土地流转风险防范机制，保障土地流转农户的合法权益，降低土地经营权流入成本，补齐农业企业季节性用工荒、高素质劳动力短缺短板。</w:t>
      </w:r>
    </w:p>
    <w:p>
      <w:pPr>
        <w:spacing w:line="596" w:lineRule="exact"/>
        <w:ind w:firstLine="640" w:firstLineChars="200"/>
        <w:jc w:val="lef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（三）绩效目标完成情况分析</w:t>
      </w:r>
    </w:p>
    <w:p>
      <w:pPr>
        <w:spacing w:line="596"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1.产出指标完成情况分析。</w:t>
      </w:r>
    </w:p>
    <w:p>
      <w:pPr>
        <w:spacing w:line="596"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（1）数量指标。农业雇主责任保险参保211人，土地流转履约保证保险参保面积358.66亩。</w:t>
      </w:r>
    </w:p>
    <w:p>
      <w:pPr>
        <w:spacing w:line="596"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（2）质量指标。项目均已验收合格，参保流程规范100%，严格准入门槛95%。</w:t>
      </w:r>
    </w:p>
    <w:p>
      <w:pPr>
        <w:spacing w:line="596"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（3）时效指标。及时完成保险赔付。</w:t>
      </w:r>
    </w:p>
    <w:p>
      <w:pPr>
        <w:spacing w:line="596"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2.效益指标完成情况分析。</w:t>
      </w:r>
    </w:p>
    <w:p>
      <w:pPr>
        <w:spacing w:line="596"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（1）社会效益。推动土地经营权流转，缓解农忙用工荒问题。</w:t>
      </w:r>
    </w:p>
    <w:p>
      <w:pPr>
        <w:pStyle w:val="2"/>
        <w:ind w:firstLine="640" w:firstLineChars="200"/>
        <w:rPr>
          <w:rFonts w:hAnsi="方正仿宋_GBK" w:cs="方正仿宋_GBK"/>
          <w:color w:val="auto"/>
          <w:kern w:val="2"/>
          <w:sz w:val="32"/>
          <w:szCs w:val="32"/>
        </w:rPr>
      </w:pPr>
      <w:r>
        <w:rPr>
          <w:rFonts w:hint="eastAsia" w:hAnsi="方正仿宋_GBK" w:cs="方正仿宋_GBK"/>
          <w:color w:val="auto"/>
          <w:kern w:val="2"/>
          <w:sz w:val="32"/>
          <w:szCs w:val="32"/>
        </w:rPr>
        <w:t>（2）可持续影响指标。参保保险期限1年。</w:t>
      </w:r>
    </w:p>
    <w:p>
      <w:pPr>
        <w:spacing w:line="596"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3.满意度指标完成情况分析。项目主体及带动农户满意度达95%以上。</w:t>
      </w:r>
    </w:p>
    <w:p>
      <w:pPr>
        <w:spacing w:line="596"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三、绩效自评结果</w:t>
      </w:r>
    </w:p>
    <w:p>
      <w:pPr>
        <w:pStyle w:val="2"/>
        <w:ind w:firstLine="640" w:firstLineChars="200"/>
      </w:pPr>
      <w:r>
        <w:rPr>
          <w:rFonts w:ascii="Times New Roman" w:eastAsia="仿宋_GB2312"/>
          <w:sz w:val="32"/>
          <w:szCs w:val="32"/>
        </w:rPr>
        <w:t>通过认真开展单位项目支出绩效目标自评，综合评分</w:t>
      </w:r>
      <w:r>
        <w:rPr>
          <w:rFonts w:hint="eastAsia" w:ascii="Times New Roman" w:eastAsia="仿宋_GB2312"/>
          <w:sz w:val="32"/>
          <w:szCs w:val="32"/>
        </w:rPr>
        <w:t>100</w:t>
      </w:r>
      <w:r>
        <w:rPr>
          <w:rFonts w:ascii="Times New Roman" w:eastAsia="仿宋_GB2312"/>
          <w:sz w:val="32"/>
          <w:szCs w:val="32"/>
        </w:rPr>
        <w:t>分，评价结果为</w:t>
      </w:r>
      <w:r>
        <w:rPr>
          <w:rFonts w:hint="eastAsia" w:ascii="Times New Roman" w:eastAsia="仿宋_GB2312"/>
          <w:sz w:val="32"/>
          <w:szCs w:val="32"/>
        </w:rPr>
        <w:t>优</w:t>
      </w:r>
      <w:r>
        <w:rPr>
          <w:rFonts w:ascii="Times New Roman" w:eastAsia="仿宋_GB2312"/>
          <w:sz w:val="32"/>
          <w:szCs w:val="32"/>
        </w:rPr>
        <w:t>。</w:t>
      </w:r>
    </w:p>
    <w:p>
      <w:pPr>
        <w:spacing w:line="596" w:lineRule="exact"/>
        <w:ind w:firstLine="640" w:firstLineChars="200"/>
        <w:jc w:val="left"/>
      </w:pPr>
      <w:r>
        <w:rPr>
          <w:rFonts w:hint="eastAsia" w:ascii="方正黑体_GBK" w:hAnsi="方正黑体_GBK" w:eastAsia="方正黑体_GBK" w:cs="方正黑体_GBK"/>
          <w:sz w:val="32"/>
          <w:szCs w:val="32"/>
        </w:rPr>
        <w:t>四、偏离目标、任务的原因和下一步改进措施</w:t>
      </w:r>
    </w:p>
    <w:p>
      <w:pPr>
        <w:spacing w:line="596" w:lineRule="exact"/>
        <w:ind w:firstLine="640" w:firstLineChars="200"/>
        <w:jc w:val="left"/>
        <w:rPr>
          <w:rFonts w:ascii="方正仿宋_GBK" w:eastAsia="方正仿宋_GBK"/>
          <w:sz w:val="32"/>
        </w:rPr>
      </w:pPr>
      <w:r>
        <w:rPr>
          <w:rFonts w:hint="eastAsia" w:ascii="方正仿宋_GBK" w:eastAsia="方正仿宋_GBK"/>
          <w:sz w:val="32"/>
        </w:rPr>
        <w:t>无</w:t>
      </w:r>
    </w:p>
    <w:p>
      <w:pPr>
        <w:spacing w:line="596"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五、绩效评价结果拟应用情况</w:t>
      </w:r>
    </w:p>
    <w:p>
      <w:pPr>
        <w:spacing w:line="596" w:lineRule="exact"/>
        <w:ind w:firstLine="640" w:firstLineChars="200"/>
        <w:jc w:val="left"/>
        <w:rPr>
          <w:rFonts w:ascii="方正仿宋_GBK" w:hAnsi="Times New Roman" w:eastAsia="方正仿宋_GBK"/>
          <w:bCs/>
          <w:sz w:val="32"/>
          <w:szCs w:val="32"/>
          <w:shd w:val="clear" w:color="auto" w:fill="FFFFFF"/>
        </w:rPr>
      </w:pPr>
      <w:r>
        <w:rPr>
          <w:rFonts w:hint="eastAsia" w:ascii="方正仿宋_GBK" w:hAnsi="Times New Roman" w:eastAsia="方正仿宋_GBK"/>
          <w:bCs/>
          <w:sz w:val="32"/>
          <w:szCs w:val="32"/>
          <w:shd w:val="clear" w:color="auto" w:fill="FFFFFF"/>
        </w:rPr>
        <w:t>加大对农业雇主、土地流转主体的支持力度，对成效好的企业持续跟进支持。</w:t>
      </w:r>
    </w:p>
    <w:p>
      <w:pPr>
        <w:spacing w:line="596"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六、主要做法和经验</w:t>
      </w:r>
    </w:p>
    <w:p>
      <w:pPr>
        <w:pStyle w:val="2"/>
        <w:spacing w:line="520" w:lineRule="exact"/>
        <w:ind w:firstLine="640" w:firstLineChars="200"/>
        <w:rPr>
          <w:szCs w:val="32"/>
        </w:rPr>
      </w:pPr>
      <w:r>
        <w:rPr>
          <w:rFonts w:hint="eastAsia" w:ascii="方正楷体_GBK" w:hAnsi="方正楷体_GBK" w:eastAsia="方正楷体_GBK" w:cs="方正楷体_GBK"/>
          <w:bCs/>
          <w:color w:val="auto"/>
          <w:kern w:val="2"/>
          <w:sz w:val="32"/>
          <w:szCs w:val="32"/>
          <w:shd w:val="clear" w:color="auto" w:fill="FFFFFF"/>
        </w:rPr>
        <w:t>一是落实项目业主主体责任。</w:t>
      </w:r>
      <w:r>
        <w:rPr>
          <w:rFonts w:hint="eastAsia"/>
          <w:bCs/>
          <w:color w:val="auto"/>
          <w:kern w:val="2"/>
          <w:sz w:val="32"/>
          <w:szCs w:val="32"/>
          <w:shd w:val="clear" w:color="auto" w:fill="FFFFFF"/>
        </w:rPr>
        <w:t>负责按照项目下达文件，对项目建设内容进行设计、预算并组织项目实施，对项目建设质量、进度、安全负责，负责资金专款专用，负责项目完成后按要求做好项目竣工结算和资料汇编。</w:t>
      </w:r>
    </w:p>
    <w:p>
      <w:pPr>
        <w:pStyle w:val="5"/>
        <w:spacing w:beforeAutospacing="0" w:afterAutospacing="0" w:line="520" w:lineRule="exact"/>
        <w:ind w:firstLine="640" w:firstLineChars="200"/>
        <w:jc w:val="both"/>
        <w:rPr>
          <w:rFonts w:ascii="方正仿宋_GBK" w:hAnsi="Times New Roman" w:eastAsia="方正仿宋_GBK"/>
          <w:sz w:val="32"/>
          <w:szCs w:val="32"/>
        </w:rPr>
      </w:pPr>
      <w:r>
        <w:rPr>
          <w:rFonts w:hint="eastAsia" w:ascii="方正楷体_GBK" w:hAnsi="方正楷体_GBK" w:eastAsia="方正楷体_GBK" w:cs="方正楷体_GBK"/>
          <w:bCs/>
          <w:kern w:val="2"/>
          <w:sz w:val="32"/>
          <w:szCs w:val="32"/>
          <w:shd w:val="clear" w:color="auto" w:fill="FFFFFF"/>
        </w:rPr>
        <w:t>二是落实乡镇监管职责。</w:t>
      </w:r>
      <w:r>
        <w:rPr>
          <w:rFonts w:hint="eastAsia" w:ascii="方正仿宋_GBK" w:eastAsia="方正仿宋_GBK"/>
          <w:sz w:val="32"/>
          <w:szCs w:val="20"/>
        </w:rPr>
        <w:t>负责对项目申报业主进行合格审查和申报，负责</w:t>
      </w:r>
      <w:r>
        <w:rPr>
          <w:rFonts w:hint="eastAsia" w:ascii="方正仿宋_GBK" w:hAnsi="Times New Roman" w:eastAsia="方正仿宋_GBK"/>
          <w:sz w:val="32"/>
          <w:szCs w:val="32"/>
        </w:rPr>
        <w:t>项目建设进度、项目质量、施工安全等进行监管，负责督促主体落实利益联结，分项目、分年度建立联结台账。</w:t>
      </w:r>
    </w:p>
    <w:p>
      <w:pPr>
        <w:pStyle w:val="2"/>
        <w:spacing w:line="520" w:lineRule="exact"/>
        <w:ind w:firstLine="640" w:firstLineChars="200"/>
        <w:rPr>
          <w:rFonts w:ascii="方正黑体_GBK" w:hAnsi="方正黑体_GBK" w:eastAsia="方正黑体_GBK" w:cs="方正黑体_GBK"/>
          <w:sz w:val="32"/>
          <w:szCs w:val="32"/>
        </w:rPr>
      </w:pPr>
      <w:r>
        <w:rPr>
          <w:rFonts w:hint="eastAsia" w:ascii="方正楷体_GBK" w:hAnsi="方正楷体_GBK" w:eastAsia="方正楷体_GBK" w:cs="方正楷体_GBK"/>
          <w:bCs/>
          <w:color w:val="auto"/>
          <w:kern w:val="2"/>
          <w:sz w:val="32"/>
          <w:szCs w:val="32"/>
          <w:shd w:val="clear" w:color="auto" w:fill="FFFFFF"/>
        </w:rPr>
        <w:t>三是明确部门行业指导监管职责。</w:t>
      </w:r>
      <w:r>
        <w:rPr>
          <w:rFonts w:hint="eastAsia"/>
          <w:sz w:val="32"/>
          <w:szCs w:val="20"/>
        </w:rPr>
        <w:t>县农业农村委负责项目的审批，负责项目产业发展的技术指导，负责组织项目验收牵头。县财政局负责项目资金拨付</w:t>
      </w:r>
      <w:r>
        <w:rPr>
          <w:rFonts w:hint="eastAsia"/>
          <w:color w:val="auto"/>
          <w:sz w:val="32"/>
          <w:szCs w:val="32"/>
        </w:rPr>
        <w:t>。</w:t>
      </w:r>
    </w:p>
    <w:p>
      <w:pPr>
        <w:spacing w:line="596"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七、存在的问题及工作建议</w:t>
      </w:r>
    </w:p>
    <w:p>
      <w:pPr>
        <w:spacing w:line="596"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无</w:t>
      </w:r>
    </w:p>
    <w:p>
      <w:pPr>
        <w:widowControl/>
        <w:spacing w:before="180" w:after="180" w:line="390" w:lineRule="atLeast"/>
        <w:ind w:firstLine="4499" w:firstLineChars="1406"/>
        <w:jc w:val="left"/>
        <w:rPr>
          <w:rFonts w:ascii="方正仿宋_GBK" w:eastAsia="方正仿宋_GBK" w:cs="方正小标宋_GBK"/>
          <w:color w:val="000000"/>
          <w:kern w:val="0"/>
          <w:sz w:val="32"/>
          <w:szCs w:val="20"/>
        </w:rPr>
      </w:pPr>
    </w:p>
    <w:p>
      <w:pPr>
        <w:widowControl/>
        <w:spacing w:before="180" w:after="180" w:line="390" w:lineRule="atLeast"/>
        <w:ind w:firstLine="4499" w:firstLineChars="1406"/>
        <w:jc w:val="left"/>
        <w:rPr>
          <w:rFonts w:hint="default" w:ascii="方正仿宋_GBK" w:eastAsia="方正仿宋_GBK" w:cs="方正小标宋_GBK"/>
          <w:color w:val="000000"/>
          <w:kern w:val="0"/>
          <w:sz w:val="32"/>
          <w:szCs w:val="20"/>
          <w:lang w:val="en-US" w:eastAsia="zh-CN"/>
        </w:rPr>
      </w:pPr>
      <w:r>
        <w:rPr>
          <w:rFonts w:hint="eastAsia" w:ascii="方正仿宋_GBK" w:eastAsia="方正仿宋_GBK" w:cs="方正小标宋_GBK"/>
          <w:color w:val="000000"/>
          <w:kern w:val="0"/>
          <w:sz w:val="32"/>
          <w:szCs w:val="20"/>
        </w:rPr>
        <w:t>奉节县农业</w:t>
      </w:r>
      <w:r>
        <w:rPr>
          <w:rFonts w:hint="eastAsia" w:ascii="方正仿宋_GBK" w:eastAsia="方正仿宋_GBK" w:cs="方正小标宋_GBK"/>
          <w:color w:val="000000"/>
          <w:kern w:val="0"/>
          <w:sz w:val="32"/>
          <w:szCs w:val="20"/>
          <w:lang w:val="en-US" w:eastAsia="zh-CN"/>
        </w:rPr>
        <w:t>农村委员会</w:t>
      </w:r>
    </w:p>
    <w:p>
      <w:pPr>
        <w:widowControl/>
        <w:spacing w:before="180" w:after="180" w:line="390" w:lineRule="atLeast"/>
        <w:ind w:firstLine="645"/>
        <w:jc w:val="left"/>
        <w:rPr>
          <w:rFonts w:ascii="方正仿宋_GBK" w:eastAsia="方正仿宋_GBK" w:cs="方正小标宋_GBK"/>
          <w:color w:val="000000"/>
          <w:kern w:val="0"/>
          <w:sz w:val="32"/>
          <w:szCs w:val="20"/>
        </w:rPr>
      </w:pPr>
      <w:r>
        <w:rPr>
          <w:rFonts w:hint="eastAsia" w:ascii="方正仿宋_GBK" w:eastAsia="方正仿宋_GBK" w:cs="方正小标宋_GBK"/>
          <w:color w:val="000000"/>
          <w:kern w:val="0"/>
          <w:sz w:val="32"/>
          <w:szCs w:val="20"/>
        </w:rPr>
        <w:t xml:space="preserve">                          202</w:t>
      </w:r>
      <w:r>
        <w:rPr>
          <w:rFonts w:hint="eastAsia" w:ascii="方正仿宋_GBK" w:eastAsia="方正仿宋_GBK" w:cs="方正小标宋_GBK"/>
          <w:color w:val="000000"/>
          <w:kern w:val="0"/>
          <w:sz w:val="32"/>
          <w:szCs w:val="20"/>
          <w:lang w:val="en-US" w:eastAsia="zh-CN"/>
        </w:rPr>
        <w:t>4</w:t>
      </w:r>
      <w:r>
        <w:rPr>
          <w:rFonts w:hint="eastAsia" w:ascii="方正仿宋_GBK" w:eastAsia="方正仿宋_GBK" w:cs="方正小标宋_GBK"/>
          <w:color w:val="000000"/>
          <w:kern w:val="0"/>
          <w:sz w:val="32"/>
          <w:szCs w:val="20"/>
        </w:rPr>
        <w:t>年</w:t>
      </w:r>
      <w:r>
        <w:rPr>
          <w:rFonts w:hint="eastAsia" w:ascii="方正仿宋_GBK" w:eastAsia="方正仿宋_GBK" w:cs="方正小标宋_GBK"/>
          <w:color w:val="000000"/>
          <w:kern w:val="0"/>
          <w:sz w:val="32"/>
          <w:szCs w:val="20"/>
          <w:lang w:val="en-US" w:eastAsia="zh-CN"/>
        </w:rPr>
        <w:t>1</w:t>
      </w:r>
      <w:r>
        <w:rPr>
          <w:rFonts w:hint="eastAsia" w:ascii="方正仿宋_GBK" w:eastAsia="方正仿宋_GBK" w:cs="方正小标宋_GBK"/>
          <w:color w:val="000000"/>
          <w:kern w:val="0"/>
          <w:sz w:val="32"/>
          <w:szCs w:val="20"/>
        </w:rPr>
        <w:t>月</w:t>
      </w:r>
      <w:r>
        <w:rPr>
          <w:rFonts w:hint="eastAsia" w:ascii="方正仿宋_GBK" w:eastAsia="方正仿宋_GBK" w:cs="方正小标宋_GBK"/>
          <w:color w:val="000000"/>
          <w:kern w:val="0"/>
          <w:sz w:val="32"/>
          <w:szCs w:val="20"/>
          <w:lang w:val="en-US" w:eastAsia="zh-CN"/>
        </w:rPr>
        <w:t>23</w:t>
      </w:r>
      <w:r>
        <w:rPr>
          <w:rFonts w:hint="eastAsia" w:ascii="方正仿宋_GBK" w:eastAsia="方正仿宋_GBK" w:cs="方正小标宋_GBK"/>
          <w:color w:val="000000"/>
          <w:kern w:val="0"/>
          <w:sz w:val="32"/>
          <w:szCs w:val="20"/>
        </w:rPr>
        <w:t>日</w:t>
      </w:r>
    </w:p>
    <w:p>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VhMzI1NmU2OGMzNDYwNmRlMTVmOGE0YTVlNmExMTkifQ=="/>
  </w:docVars>
  <w:rsids>
    <w:rsidRoot w:val="45857CAD"/>
    <w:rsid w:val="000069C3"/>
    <w:rsid w:val="00256B91"/>
    <w:rsid w:val="005E3F5B"/>
    <w:rsid w:val="01633BC0"/>
    <w:rsid w:val="02526249"/>
    <w:rsid w:val="036C7E22"/>
    <w:rsid w:val="057E74F5"/>
    <w:rsid w:val="07B514BC"/>
    <w:rsid w:val="08552F90"/>
    <w:rsid w:val="088F37C7"/>
    <w:rsid w:val="08A6175E"/>
    <w:rsid w:val="0A7B2255"/>
    <w:rsid w:val="0BA92DF2"/>
    <w:rsid w:val="0CE20369"/>
    <w:rsid w:val="0EA7186A"/>
    <w:rsid w:val="104644D5"/>
    <w:rsid w:val="106043C7"/>
    <w:rsid w:val="15400323"/>
    <w:rsid w:val="1565422D"/>
    <w:rsid w:val="15D96B3F"/>
    <w:rsid w:val="16105F47"/>
    <w:rsid w:val="17103D25"/>
    <w:rsid w:val="179F6CB2"/>
    <w:rsid w:val="17E256C1"/>
    <w:rsid w:val="189A2440"/>
    <w:rsid w:val="19017DC9"/>
    <w:rsid w:val="19923117"/>
    <w:rsid w:val="19D41982"/>
    <w:rsid w:val="1A1B4EBB"/>
    <w:rsid w:val="1A1C76A9"/>
    <w:rsid w:val="1A277D03"/>
    <w:rsid w:val="1A606D71"/>
    <w:rsid w:val="1B4D72F6"/>
    <w:rsid w:val="1BEA548C"/>
    <w:rsid w:val="1D085BCA"/>
    <w:rsid w:val="1D2F73FA"/>
    <w:rsid w:val="1D5C4168"/>
    <w:rsid w:val="1DBC7BB1"/>
    <w:rsid w:val="1E556C82"/>
    <w:rsid w:val="1FEE4BA4"/>
    <w:rsid w:val="21035780"/>
    <w:rsid w:val="22E201F3"/>
    <w:rsid w:val="233F7E6C"/>
    <w:rsid w:val="234C2589"/>
    <w:rsid w:val="24437A7E"/>
    <w:rsid w:val="25333A00"/>
    <w:rsid w:val="26094761"/>
    <w:rsid w:val="26802C75"/>
    <w:rsid w:val="26EC030B"/>
    <w:rsid w:val="26FE3B9A"/>
    <w:rsid w:val="2A181417"/>
    <w:rsid w:val="2C0954BB"/>
    <w:rsid w:val="2D102879"/>
    <w:rsid w:val="2E7D7A9A"/>
    <w:rsid w:val="2F0B44E3"/>
    <w:rsid w:val="30814B0B"/>
    <w:rsid w:val="31046251"/>
    <w:rsid w:val="317A39CD"/>
    <w:rsid w:val="31B9703B"/>
    <w:rsid w:val="33705E1F"/>
    <w:rsid w:val="337E22EA"/>
    <w:rsid w:val="355C7A3C"/>
    <w:rsid w:val="35C12962"/>
    <w:rsid w:val="35EA1EB9"/>
    <w:rsid w:val="35F76384"/>
    <w:rsid w:val="36913CE5"/>
    <w:rsid w:val="36AA02AD"/>
    <w:rsid w:val="372907BF"/>
    <w:rsid w:val="37A4253C"/>
    <w:rsid w:val="37A46F52"/>
    <w:rsid w:val="3A830B2E"/>
    <w:rsid w:val="3A9934A9"/>
    <w:rsid w:val="3AFA0DF0"/>
    <w:rsid w:val="3B237173"/>
    <w:rsid w:val="3BC35686"/>
    <w:rsid w:val="3C8632C7"/>
    <w:rsid w:val="3E03620E"/>
    <w:rsid w:val="3E3839DE"/>
    <w:rsid w:val="404E573A"/>
    <w:rsid w:val="421F113C"/>
    <w:rsid w:val="42336996"/>
    <w:rsid w:val="426E5C20"/>
    <w:rsid w:val="42A47B39"/>
    <w:rsid w:val="42D91C81"/>
    <w:rsid w:val="437454B8"/>
    <w:rsid w:val="45857CAD"/>
    <w:rsid w:val="459C0CF6"/>
    <w:rsid w:val="47102C0C"/>
    <w:rsid w:val="488E2B78"/>
    <w:rsid w:val="489857A5"/>
    <w:rsid w:val="4B11183E"/>
    <w:rsid w:val="4B9009B5"/>
    <w:rsid w:val="4CB701C3"/>
    <w:rsid w:val="4F8333B6"/>
    <w:rsid w:val="4FC347E7"/>
    <w:rsid w:val="52522E68"/>
    <w:rsid w:val="529214B7"/>
    <w:rsid w:val="535D3873"/>
    <w:rsid w:val="54CB4E56"/>
    <w:rsid w:val="54E56216"/>
    <w:rsid w:val="56156687"/>
    <w:rsid w:val="56B51C18"/>
    <w:rsid w:val="56C41E5B"/>
    <w:rsid w:val="57664CC0"/>
    <w:rsid w:val="5AE42ACB"/>
    <w:rsid w:val="5CBF10FA"/>
    <w:rsid w:val="5E330421"/>
    <w:rsid w:val="5E345B18"/>
    <w:rsid w:val="5F145C25"/>
    <w:rsid w:val="5F8E3006"/>
    <w:rsid w:val="622569FD"/>
    <w:rsid w:val="62F13FD7"/>
    <w:rsid w:val="64091B59"/>
    <w:rsid w:val="647E7AED"/>
    <w:rsid w:val="65644F35"/>
    <w:rsid w:val="668D2269"/>
    <w:rsid w:val="669A19D9"/>
    <w:rsid w:val="66CA7019"/>
    <w:rsid w:val="66EC3434"/>
    <w:rsid w:val="67DA2938"/>
    <w:rsid w:val="69076303"/>
    <w:rsid w:val="6B5830B0"/>
    <w:rsid w:val="6FB46AB9"/>
    <w:rsid w:val="70CE5958"/>
    <w:rsid w:val="734A7C80"/>
    <w:rsid w:val="74F811F5"/>
    <w:rsid w:val="75BF3AC1"/>
    <w:rsid w:val="78436C2C"/>
    <w:rsid w:val="797A042B"/>
    <w:rsid w:val="7A4425A7"/>
    <w:rsid w:val="7E2272E3"/>
    <w:rsid w:val="7F0D23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next w:val="1"/>
    <w:autoRedefine/>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 w:type="paragraph" w:styleId="3">
    <w:name w:val="footer"/>
    <w:basedOn w:val="1"/>
    <w:link w:val="9"/>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jc w:val="left"/>
    </w:pPr>
    <w:rPr>
      <w:kern w:val="0"/>
      <w:sz w:val="24"/>
    </w:rPr>
  </w:style>
  <w:style w:type="character" w:customStyle="1" w:styleId="8">
    <w:name w:val="页眉 Char"/>
    <w:basedOn w:val="7"/>
    <w:link w:val="4"/>
    <w:autoRedefine/>
    <w:qFormat/>
    <w:uiPriority w:val="0"/>
    <w:rPr>
      <w:rFonts w:ascii="Calibri" w:hAnsi="Calibri" w:eastAsia="宋体" w:cs="Times New Roman"/>
      <w:kern w:val="2"/>
      <w:sz w:val="18"/>
      <w:szCs w:val="18"/>
    </w:rPr>
  </w:style>
  <w:style w:type="character" w:customStyle="1" w:styleId="9">
    <w:name w:val="页脚 Char"/>
    <w:basedOn w:val="7"/>
    <w:link w:val="3"/>
    <w:autoRedefine/>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174</Words>
  <Characters>992</Characters>
  <Lines>8</Lines>
  <Paragraphs>2</Paragraphs>
  <TotalTime>6</TotalTime>
  <ScaleCrop>false</ScaleCrop>
  <LinksUpToDate>false</LinksUpToDate>
  <CharactersWithSpaces>1164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2022-12-16T02:51:00Z</dcterms:created>
  <dc:creator>Administrator</dc:creator>
  <cp:lastModifiedBy>Administrator</cp:lastModifiedBy>
  <dcterms:modified xsi:type="dcterms:W3CDTF">2024-01-23T08:35:14Z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2EC57268A37044AA86223B9E1146BF20</vt:lpwstr>
  </property>
</Properties>
</file>