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黑体" w:hAnsi="黑体" w:eastAsia="黑体" w:cs="黑体"/>
          <w:b/>
          <w:sz w:val="32"/>
          <w:szCs w:val="32"/>
          <w:lang w:eastAsia="zh-CN"/>
        </w:rPr>
      </w:pPr>
      <w:r>
        <w:rPr>
          <w:rFonts w:hint="eastAsia" w:ascii="黑体" w:hAnsi="黑体" w:eastAsia="黑体" w:cs="黑体"/>
          <w:b/>
          <w:sz w:val="32"/>
          <w:szCs w:val="32"/>
          <w:lang w:eastAsia="zh-CN"/>
        </w:rPr>
        <w:t>重庆百盐投资（集团）有限公司</w:t>
      </w:r>
    </w:p>
    <w:p>
      <w:pPr>
        <w:spacing w:line="600" w:lineRule="exact"/>
        <w:jc w:val="center"/>
        <w:rPr>
          <w:rFonts w:hint="eastAsia" w:ascii="黑体" w:hAnsi="黑体" w:eastAsia="黑体" w:cs="黑体"/>
          <w:b/>
          <w:sz w:val="32"/>
          <w:szCs w:val="32"/>
        </w:rPr>
      </w:pPr>
      <w:r>
        <w:rPr>
          <w:rFonts w:hint="eastAsia" w:ascii="黑体" w:hAnsi="黑体" w:eastAsia="黑体" w:cs="黑体"/>
          <w:b/>
          <w:sz w:val="32"/>
          <w:szCs w:val="32"/>
          <w:lang w:val="en-US" w:eastAsia="zh-CN"/>
        </w:rPr>
        <w:t>关于朱衣棚户区改造政府购买服务A区项目支出</w:t>
      </w:r>
      <w:r>
        <w:rPr>
          <w:rFonts w:hint="eastAsia" w:ascii="黑体" w:hAnsi="黑体" w:eastAsia="黑体" w:cs="黑体"/>
          <w:b/>
          <w:sz w:val="32"/>
          <w:szCs w:val="32"/>
        </w:rPr>
        <w:t>自评报告</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40" w:firstLineChars="200"/>
        <w:textAlignment w:val="auto"/>
        <w:rPr>
          <w:rFonts w:hint="eastAsia" w:ascii="仿宋" w:hAnsi="仿宋" w:eastAsia="仿宋" w:cs="仿宋"/>
          <w:bCs/>
          <w:sz w:val="32"/>
          <w:szCs w:val="32"/>
        </w:rPr>
      </w:pPr>
      <w:bookmarkStart w:id="0" w:name="_GoBack"/>
      <w:bookmarkEnd w:id="0"/>
      <w:r>
        <w:rPr>
          <w:rFonts w:hint="eastAsia" w:ascii="仿宋" w:hAnsi="仿宋" w:eastAsia="仿宋" w:cs="仿宋"/>
          <w:bCs/>
          <w:sz w:val="32"/>
          <w:szCs w:val="32"/>
        </w:rPr>
        <w:t>一、绩效目标分解下达情况</w:t>
      </w:r>
    </w:p>
    <w:p>
      <w:pPr>
        <w:keepNext w:val="0"/>
        <w:keepLines w:val="0"/>
        <w:pageBreakBefore w:val="0"/>
        <w:widowControl w:val="0"/>
        <w:kinsoku/>
        <w:overflowPunct/>
        <w:topLinePunct w:val="0"/>
        <w:autoSpaceDE/>
        <w:autoSpaceDN/>
        <w:bidi w:val="0"/>
        <w:adjustRightInd/>
        <w:snapToGrid/>
        <w:ind w:firstLine="640" w:firstLineChars="200"/>
        <w:jc w:val="left"/>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（一）整体情况</w:t>
      </w:r>
    </w:p>
    <w:p>
      <w:pPr>
        <w:keepNext w:val="0"/>
        <w:keepLines w:val="0"/>
        <w:pageBreakBefore w:val="0"/>
        <w:widowControl w:val="0"/>
        <w:kinsoku/>
        <w:overflowPunct/>
        <w:topLinePunct w:val="0"/>
        <w:autoSpaceDE/>
        <w:autoSpaceDN/>
        <w:bidi w:val="0"/>
        <w:adjustRightInd/>
        <w:snapToGrid/>
        <w:ind w:firstLine="640" w:firstLineChars="200"/>
        <w:jc w:val="left"/>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highlight w:val="none"/>
        </w:rPr>
        <w:t>奉节县</w:t>
      </w:r>
      <w:r>
        <w:rPr>
          <w:rFonts w:hint="eastAsia" w:ascii="仿宋" w:hAnsi="仿宋" w:eastAsia="仿宋" w:cs="仿宋"/>
          <w:b w:val="0"/>
          <w:bCs w:val="0"/>
          <w:sz w:val="32"/>
          <w:szCs w:val="32"/>
          <w:highlight w:val="none"/>
          <w:lang w:eastAsia="zh-CN"/>
        </w:rPr>
        <w:t>朱衣棚户区改造项目由重庆百盐投资（集团）有限公司所属管辖的奉节县三峡库区生态产业发展有限公司具体实施。</w:t>
      </w:r>
    </w:p>
    <w:p>
      <w:pPr>
        <w:keepNext w:val="0"/>
        <w:keepLines w:val="0"/>
        <w:pageBreakBefore w:val="0"/>
        <w:widowControl w:val="0"/>
        <w:numPr>
          <w:ilvl w:val="0"/>
          <w:numId w:val="1"/>
        </w:numPr>
        <w:kinsoku/>
        <w:overflowPunct/>
        <w:topLinePunct w:val="0"/>
        <w:autoSpaceDE/>
        <w:autoSpaceDN/>
        <w:bidi w:val="0"/>
        <w:adjustRightInd/>
        <w:snapToGrid/>
        <w:ind w:firstLine="640" w:firstLineChars="200"/>
        <w:jc w:val="left"/>
        <w:textAlignment w:val="auto"/>
        <w:outlineLvl w:val="0"/>
        <w:rPr>
          <w:rFonts w:hint="eastAsia" w:ascii="仿宋" w:hAnsi="仿宋" w:eastAsia="仿宋" w:cs="仿宋"/>
          <w:b w:val="0"/>
          <w:bCs w:val="0"/>
          <w:sz w:val="32"/>
          <w:szCs w:val="32"/>
        </w:rPr>
      </w:pPr>
      <w:r>
        <w:rPr>
          <w:rFonts w:hint="eastAsia" w:ascii="仿宋" w:hAnsi="仿宋" w:eastAsia="仿宋" w:cs="仿宋"/>
          <w:b w:val="0"/>
          <w:bCs w:val="0"/>
          <w:sz w:val="32"/>
          <w:szCs w:val="32"/>
        </w:rPr>
        <w:t>县财政下达转移支付预算和绩效目标情况</w:t>
      </w:r>
    </w:p>
    <w:p>
      <w:pPr>
        <w:keepNext w:val="0"/>
        <w:keepLines w:val="0"/>
        <w:pageBreakBefore w:val="0"/>
        <w:widowControl w:val="0"/>
        <w:numPr>
          <w:ilvl w:val="0"/>
          <w:numId w:val="0"/>
        </w:numPr>
        <w:kinsoku/>
        <w:overflowPunct/>
        <w:topLinePunct w:val="0"/>
        <w:autoSpaceDE/>
        <w:autoSpaceDN/>
        <w:bidi w:val="0"/>
        <w:adjustRightInd/>
        <w:snapToGrid/>
        <w:ind w:firstLine="640" w:firstLineChars="200"/>
        <w:jc w:val="left"/>
        <w:textAlignment w:val="auto"/>
        <w:outlineLvl w:val="0"/>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1.按照政府购买协议，县政府在2021年需支付我司政府购买服务资金5000万元，县财政以奉节财建【2021】167号文件资金计划5000万元，且资金已拨付到百盐集团。</w:t>
      </w:r>
    </w:p>
    <w:p>
      <w:pPr>
        <w:keepNext w:val="0"/>
        <w:keepLines w:val="0"/>
        <w:pageBreakBefore w:val="0"/>
        <w:widowControl w:val="0"/>
        <w:numPr>
          <w:ilvl w:val="0"/>
          <w:numId w:val="0"/>
        </w:numPr>
        <w:kinsoku/>
        <w:overflowPunct/>
        <w:topLinePunct w:val="0"/>
        <w:autoSpaceDE/>
        <w:autoSpaceDN/>
        <w:bidi w:val="0"/>
        <w:adjustRightInd/>
        <w:snapToGrid/>
        <w:ind w:firstLine="640" w:firstLineChars="200"/>
        <w:jc w:val="left"/>
        <w:textAlignment w:val="auto"/>
        <w:outlineLvl w:val="0"/>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2.按照</w:t>
      </w:r>
      <w:r>
        <w:rPr>
          <w:rFonts w:hint="eastAsia" w:ascii="仿宋" w:hAnsi="仿宋" w:eastAsia="仿宋" w:cs="仿宋"/>
          <w:b w:val="0"/>
          <w:bCs w:val="0"/>
          <w:sz w:val="32"/>
          <w:szCs w:val="32"/>
          <w:highlight w:val="none"/>
          <w:lang w:eastAsia="zh-CN"/>
        </w:rPr>
        <w:t>奉节发改投【2017】38号的要求，</w:t>
      </w:r>
      <w:r>
        <w:rPr>
          <w:rFonts w:hint="eastAsia" w:ascii="仿宋" w:hAnsi="仿宋" w:eastAsia="仿宋" w:cs="仿宋"/>
          <w:color w:val="000000"/>
          <w:sz w:val="32"/>
          <w:szCs w:val="32"/>
          <w:lang w:val="en-US" w:eastAsia="zh-CN"/>
        </w:rPr>
        <w:t>该项目绩效目标：（1）建设内容。范围内农村房屋及附属设施共计396099㎡，其中：拆除房屋296099㎡，拆迁安置2148户，3655人；（2）投资情况。估计总投资189373.26万元，其中：建设投资175035.85万元，建设期利息14337.41万元。建设投资包刮工程费用3079.43万元，工程建设其他费158990.8万元，基本预备费12965.62万元。资金来源自筹39373.26万元及申请贷款150000万元。　</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40" w:firstLineChars="200"/>
        <w:textAlignment w:val="auto"/>
        <w:rPr>
          <w:rFonts w:hint="eastAsia" w:ascii="仿宋" w:hAnsi="仿宋" w:eastAsia="仿宋" w:cs="仿宋"/>
          <w:bCs/>
          <w:sz w:val="32"/>
          <w:szCs w:val="32"/>
        </w:rPr>
      </w:pPr>
      <w:r>
        <w:rPr>
          <w:rFonts w:hint="eastAsia" w:ascii="仿宋" w:hAnsi="仿宋" w:eastAsia="仿宋" w:cs="仿宋"/>
          <w:bCs/>
          <w:sz w:val="32"/>
          <w:szCs w:val="32"/>
        </w:rPr>
        <w:t>二、绩效目标完成情况分析</w:t>
      </w:r>
    </w:p>
    <w:p>
      <w:pPr>
        <w:keepNext w:val="0"/>
        <w:keepLines w:val="0"/>
        <w:pageBreakBefore w:val="0"/>
        <w:widowControl w:val="0"/>
        <w:kinsoku/>
        <w:overflowPunct/>
        <w:topLinePunct w:val="0"/>
        <w:autoSpaceDE/>
        <w:autoSpaceDN/>
        <w:bidi w:val="0"/>
        <w:adjustRightInd/>
        <w:snapToGrid/>
        <w:ind w:firstLine="640" w:firstLineChars="200"/>
        <w:jc w:val="left"/>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（一）资金投入情况分析</w:t>
      </w:r>
    </w:p>
    <w:p>
      <w:pPr>
        <w:keepNext w:val="0"/>
        <w:keepLines w:val="0"/>
        <w:pageBreakBefore w:val="0"/>
        <w:widowControl w:val="0"/>
        <w:kinsoku/>
        <w:overflowPunct/>
        <w:topLinePunct w:val="0"/>
        <w:autoSpaceDE/>
        <w:autoSpaceDN/>
        <w:bidi w:val="0"/>
        <w:adjustRightInd/>
        <w:snapToGrid/>
        <w:ind w:firstLine="640" w:firstLineChars="200"/>
        <w:jc w:val="left"/>
        <w:textAlignment w:val="auto"/>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eastAsia="zh-CN"/>
        </w:rPr>
        <w:t>当年财政给付资金</w:t>
      </w:r>
      <w:r>
        <w:rPr>
          <w:rFonts w:hint="eastAsia" w:ascii="仿宋" w:hAnsi="仿宋" w:eastAsia="仿宋" w:cs="仿宋"/>
          <w:b w:val="0"/>
          <w:bCs w:val="0"/>
          <w:sz w:val="32"/>
          <w:szCs w:val="32"/>
          <w:lang w:val="en-US" w:eastAsia="zh-CN"/>
        </w:rPr>
        <w:t>5000万元，实际</w:t>
      </w:r>
      <w:r>
        <w:rPr>
          <w:rFonts w:hint="eastAsia" w:ascii="仿宋" w:hAnsi="仿宋" w:eastAsia="仿宋" w:cs="仿宋"/>
          <w:b w:val="0"/>
          <w:bCs w:val="0"/>
          <w:sz w:val="32"/>
          <w:szCs w:val="32"/>
          <w:highlight w:val="none"/>
          <w:lang w:eastAsia="zh-CN"/>
        </w:rPr>
        <w:t>重庆百盐投资（集团）有限公司所属管辖的奉节县三峡库区生态产业发展有限公司投入</w:t>
      </w:r>
      <w:r>
        <w:rPr>
          <w:rFonts w:hint="eastAsia" w:ascii="仿宋" w:hAnsi="仿宋" w:eastAsia="仿宋" w:cs="仿宋"/>
          <w:b w:val="0"/>
          <w:bCs w:val="0"/>
          <w:sz w:val="32"/>
          <w:szCs w:val="32"/>
          <w:highlight w:val="none"/>
          <w:lang w:val="en-US" w:eastAsia="zh-CN"/>
        </w:rPr>
        <w:t>12099.9万元，占实际到位资金242%。</w:t>
      </w:r>
    </w:p>
    <w:p>
      <w:pPr>
        <w:keepNext w:val="0"/>
        <w:keepLines w:val="0"/>
        <w:pageBreakBefore w:val="0"/>
        <w:widowControl w:val="0"/>
        <w:kinsoku/>
        <w:overflowPunct/>
        <w:topLinePunct w:val="0"/>
        <w:autoSpaceDE/>
        <w:autoSpaceDN/>
        <w:bidi w:val="0"/>
        <w:adjustRightInd/>
        <w:snapToGrid/>
        <w:ind w:firstLine="640" w:firstLineChars="200"/>
        <w:jc w:val="left"/>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（二）总体绩效目标完成情况分析</w:t>
      </w:r>
    </w:p>
    <w:p>
      <w:pPr>
        <w:keepNext w:val="0"/>
        <w:keepLines w:val="0"/>
        <w:pageBreakBefore w:val="0"/>
        <w:widowControl w:val="0"/>
        <w:kinsoku/>
        <w:overflowPunct/>
        <w:topLinePunct w:val="0"/>
        <w:autoSpaceDE/>
        <w:autoSpaceDN/>
        <w:bidi w:val="0"/>
        <w:adjustRightInd/>
        <w:snapToGrid/>
        <w:ind w:firstLine="640" w:firstLineChars="200"/>
        <w:jc w:val="left"/>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rPr>
        <w:t>已按照年初设定目标已全部完成</w:t>
      </w:r>
      <w:r>
        <w:rPr>
          <w:rFonts w:hint="eastAsia" w:ascii="仿宋" w:hAnsi="仿宋" w:eastAsia="仿宋" w:cs="仿宋"/>
          <w:b w:val="0"/>
          <w:bCs w:val="0"/>
          <w:sz w:val="32"/>
          <w:szCs w:val="32"/>
          <w:lang w:eastAsia="zh-CN"/>
        </w:rPr>
        <w:t>。</w:t>
      </w:r>
    </w:p>
    <w:p>
      <w:pPr>
        <w:keepNext w:val="0"/>
        <w:keepLines w:val="0"/>
        <w:pageBreakBefore w:val="0"/>
        <w:widowControl w:val="0"/>
        <w:kinsoku/>
        <w:overflowPunct/>
        <w:topLinePunct w:val="0"/>
        <w:autoSpaceDE/>
        <w:autoSpaceDN/>
        <w:bidi w:val="0"/>
        <w:adjustRightInd/>
        <w:snapToGrid/>
        <w:ind w:firstLine="640" w:firstLineChars="200"/>
        <w:jc w:val="left"/>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（三）绩效指标完成情况分析</w:t>
      </w:r>
    </w:p>
    <w:p>
      <w:pPr>
        <w:keepNext w:val="0"/>
        <w:keepLines w:val="0"/>
        <w:pageBreakBefore w:val="0"/>
        <w:widowControl w:val="0"/>
        <w:kinsoku/>
        <w:overflowPunct/>
        <w:topLinePunct w:val="0"/>
        <w:autoSpaceDE/>
        <w:autoSpaceDN/>
        <w:bidi w:val="0"/>
        <w:adjustRightInd/>
        <w:snapToGrid/>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1.产出指标。</w:t>
      </w:r>
    </w:p>
    <w:p>
      <w:pPr>
        <w:keepNext w:val="0"/>
        <w:keepLines w:val="0"/>
        <w:pageBreakBefore w:val="0"/>
        <w:widowControl w:val="0"/>
        <w:numPr>
          <w:ilvl w:val="0"/>
          <w:numId w:val="0"/>
        </w:numPr>
        <w:kinsoku/>
        <w:overflowPunct/>
        <w:topLinePunct w:val="0"/>
        <w:autoSpaceDE/>
        <w:autoSpaceDN/>
        <w:bidi w:val="0"/>
        <w:adjustRightInd/>
        <w:snapToGrid/>
        <w:ind w:firstLine="640" w:firstLineChars="200"/>
        <w:jc w:val="left"/>
        <w:textAlignment w:val="auto"/>
        <w:outlineLvl w:val="0"/>
        <w:rPr>
          <w:rFonts w:hint="eastAsia" w:ascii="仿宋" w:hAnsi="仿宋" w:eastAsia="仿宋" w:cs="仿宋"/>
          <w:color w:val="000000"/>
          <w:sz w:val="32"/>
          <w:szCs w:val="32"/>
          <w:lang w:val="en-US" w:eastAsia="zh-CN"/>
        </w:rPr>
      </w:pP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lang w:eastAsia="zh-CN"/>
        </w:rPr>
        <w:t>数量指</w:t>
      </w:r>
      <w:r>
        <w:rPr>
          <w:rFonts w:hint="eastAsia" w:ascii="仿宋" w:hAnsi="仿宋" w:eastAsia="仿宋" w:cs="仿宋"/>
          <w:color w:val="000000"/>
          <w:sz w:val="32"/>
          <w:szCs w:val="32"/>
          <w:lang w:val="en-US" w:eastAsia="zh-CN"/>
        </w:rPr>
        <w:t>标：范围内农村房屋及附属设施共计拆除房屋296099㎡，拆迁安置2148户，3655人，实际完成拆除房屋297000㎡，拆迁安置2500户，4001人（共30分，项各分别为10分）；</w:t>
      </w:r>
    </w:p>
    <w:p>
      <w:pPr>
        <w:keepNext w:val="0"/>
        <w:keepLines w:val="0"/>
        <w:pageBreakBefore w:val="0"/>
        <w:widowControl w:val="0"/>
        <w:numPr>
          <w:ilvl w:val="0"/>
          <w:numId w:val="0"/>
        </w:numPr>
        <w:kinsoku/>
        <w:overflowPunct/>
        <w:topLinePunct w:val="0"/>
        <w:autoSpaceDE/>
        <w:autoSpaceDN/>
        <w:bidi w:val="0"/>
        <w:adjustRightInd/>
        <w:snapToGrid/>
        <w:ind w:firstLine="640" w:firstLineChars="200"/>
        <w:jc w:val="left"/>
        <w:textAlignment w:val="auto"/>
        <w:outlineLvl w:val="0"/>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（2）质量指标：验收合格率100%（10分）；</w:t>
      </w:r>
    </w:p>
    <w:p>
      <w:pPr>
        <w:keepNext w:val="0"/>
        <w:keepLines w:val="0"/>
        <w:pageBreakBefore w:val="0"/>
        <w:widowControl w:val="0"/>
        <w:numPr>
          <w:ilvl w:val="0"/>
          <w:numId w:val="0"/>
        </w:numPr>
        <w:kinsoku/>
        <w:overflowPunct/>
        <w:topLinePunct w:val="0"/>
        <w:autoSpaceDE/>
        <w:autoSpaceDN/>
        <w:bidi w:val="0"/>
        <w:adjustRightInd/>
        <w:snapToGrid/>
        <w:ind w:firstLine="640" w:firstLineChars="200"/>
        <w:jc w:val="left"/>
        <w:textAlignment w:val="auto"/>
        <w:outlineLvl w:val="0"/>
        <w:rPr>
          <w:rFonts w:hint="default"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（3）时效指标：完工及时率（10分）。</w:t>
      </w:r>
    </w:p>
    <w:p>
      <w:pPr>
        <w:keepNext w:val="0"/>
        <w:keepLines w:val="0"/>
        <w:pageBreakBefore w:val="0"/>
        <w:widowControl w:val="0"/>
        <w:kinsoku/>
        <w:overflowPunct/>
        <w:topLinePunct w:val="0"/>
        <w:autoSpaceDE/>
        <w:autoSpaceDN/>
        <w:bidi w:val="0"/>
        <w:adjustRightInd/>
        <w:snapToGrid/>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2.效益指标。</w:t>
      </w:r>
    </w:p>
    <w:p>
      <w:pPr>
        <w:keepNext w:val="0"/>
        <w:keepLines w:val="0"/>
        <w:pageBreakBefore w:val="0"/>
        <w:widowControl w:val="0"/>
        <w:kinsoku/>
        <w:overflowPunct/>
        <w:topLinePunct w:val="0"/>
        <w:autoSpaceDE/>
        <w:autoSpaceDN/>
        <w:bidi w:val="0"/>
        <w:adjustRightInd/>
        <w:snapToGrid/>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（1）经济效益指标：带动当地经济50000万元，实际完成55000万元，占110%（15分）</w:t>
      </w:r>
    </w:p>
    <w:p>
      <w:pPr>
        <w:keepNext w:val="0"/>
        <w:keepLines w:val="0"/>
        <w:pageBreakBefore w:val="0"/>
        <w:widowControl w:val="0"/>
        <w:kinsoku/>
        <w:overflowPunct/>
        <w:topLinePunct w:val="0"/>
        <w:autoSpaceDE/>
        <w:autoSpaceDN/>
        <w:bidi w:val="0"/>
        <w:adjustRightInd/>
        <w:snapToGrid/>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（2）社会效益指标：就业人数5000人，实际完成5600人，占112%（15）。</w:t>
      </w:r>
    </w:p>
    <w:p>
      <w:pPr>
        <w:keepNext w:val="0"/>
        <w:keepLines w:val="0"/>
        <w:pageBreakBefore w:val="0"/>
        <w:widowControl w:val="0"/>
        <w:kinsoku/>
        <w:overflowPunct/>
        <w:topLinePunct w:val="0"/>
        <w:autoSpaceDE/>
        <w:autoSpaceDN/>
        <w:bidi w:val="0"/>
        <w:adjustRightInd/>
        <w:snapToGrid/>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3.满意度指标。（1）服务对象满意度指标。居民满意度</w:t>
      </w:r>
      <w:r>
        <w:rPr>
          <w:rFonts w:hint="eastAsia" w:ascii="宋体" w:hAnsi="宋体" w:eastAsia="宋体" w:cs="宋体"/>
          <w:b w:val="0"/>
          <w:bCs w:val="0"/>
          <w:sz w:val="32"/>
          <w:szCs w:val="32"/>
          <w:lang w:val="en-US" w:eastAsia="zh-CN"/>
        </w:rPr>
        <w:t>≧</w:t>
      </w:r>
      <w:r>
        <w:rPr>
          <w:rFonts w:hint="eastAsia" w:ascii="仿宋" w:hAnsi="仿宋" w:eastAsia="仿宋" w:cs="仿宋"/>
          <w:b w:val="0"/>
          <w:bCs w:val="0"/>
          <w:sz w:val="32"/>
          <w:szCs w:val="32"/>
          <w:lang w:val="en-US" w:eastAsia="zh-CN"/>
        </w:rPr>
        <w:t>90%，实际为90%（10分）。</w:t>
      </w:r>
    </w:p>
    <w:p>
      <w:pPr>
        <w:spacing w:line="600" w:lineRule="exact"/>
        <w:ind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特此报告</w:t>
      </w:r>
    </w:p>
    <w:p>
      <w:pPr>
        <w:spacing w:line="600" w:lineRule="exact"/>
        <w:jc w:val="center"/>
        <w:rPr>
          <w:rFonts w:hint="eastAsia" w:ascii="仿宋" w:hAnsi="仿宋" w:eastAsia="仿宋" w:cs="仿宋"/>
          <w:b w:val="0"/>
          <w:bCs/>
          <w:sz w:val="32"/>
          <w:szCs w:val="32"/>
          <w:lang w:eastAsia="zh-CN"/>
        </w:rPr>
      </w:pPr>
      <w:r>
        <w:rPr>
          <w:rFonts w:hint="eastAsia" w:ascii="仿宋" w:hAnsi="仿宋" w:eastAsia="仿宋" w:cs="仿宋"/>
          <w:b w:val="0"/>
          <w:bCs/>
          <w:sz w:val="32"/>
          <w:szCs w:val="32"/>
          <w:lang w:val="en-US" w:eastAsia="zh-CN"/>
        </w:rPr>
        <w:t xml:space="preserve">                   </w:t>
      </w:r>
      <w:r>
        <w:rPr>
          <w:rFonts w:hint="eastAsia" w:ascii="仿宋" w:hAnsi="仿宋" w:eastAsia="仿宋" w:cs="仿宋"/>
          <w:b w:val="0"/>
          <w:bCs/>
          <w:sz w:val="32"/>
          <w:szCs w:val="32"/>
          <w:lang w:eastAsia="zh-CN"/>
        </w:rPr>
        <w:t>重庆百盐投资（集团）有限公司</w:t>
      </w:r>
    </w:p>
    <w:p>
      <w:pPr>
        <w:pStyle w:val="2"/>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 xml:space="preserve">                            2022年4月18日</w:t>
      </w:r>
    </w:p>
    <w:tbl>
      <w:tblPr>
        <w:tblStyle w:val="3"/>
        <w:tblW w:w="936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510"/>
        <w:gridCol w:w="350"/>
        <w:gridCol w:w="1390"/>
        <w:gridCol w:w="1200"/>
        <w:gridCol w:w="1200"/>
        <w:gridCol w:w="1215"/>
        <w:gridCol w:w="1140"/>
        <w:gridCol w:w="1110"/>
        <w:gridCol w:w="12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70" w:hRule="atLeast"/>
        </w:trPr>
        <w:tc>
          <w:tcPr>
            <w:tcW w:w="9361" w:type="dxa"/>
            <w:gridSpan w:val="9"/>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70" w:hRule="atLeast"/>
        </w:trPr>
        <w:tc>
          <w:tcPr>
            <w:tcW w:w="9361" w:type="dxa"/>
            <w:gridSpan w:val="9"/>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00" w:hRule="atLeast"/>
        </w:trPr>
        <w:tc>
          <w:tcPr>
            <w:tcW w:w="8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项目名称</w:t>
            </w:r>
          </w:p>
        </w:tc>
        <w:tc>
          <w:tcPr>
            <w:tcW w:w="3790"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奉节县朱衣片区A区棚户改造项目</w:t>
            </w:r>
          </w:p>
        </w:tc>
        <w:tc>
          <w:tcPr>
            <w:tcW w:w="2355"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项目负责人</w:t>
            </w:r>
          </w:p>
        </w:tc>
        <w:tc>
          <w:tcPr>
            <w:tcW w:w="2356"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李坤伟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00" w:hRule="atLeast"/>
        </w:trPr>
        <w:tc>
          <w:tcPr>
            <w:tcW w:w="8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主管部门</w:t>
            </w:r>
          </w:p>
        </w:tc>
        <w:tc>
          <w:tcPr>
            <w:tcW w:w="3790"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奉节县住房和建设委员会</w:t>
            </w:r>
          </w:p>
        </w:tc>
        <w:tc>
          <w:tcPr>
            <w:tcW w:w="2355"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实施单位</w:t>
            </w:r>
          </w:p>
        </w:tc>
        <w:tc>
          <w:tcPr>
            <w:tcW w:w="235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奉节县三峡库区生态产业发展有限公司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70" w:hRule="atLeast"/>
        </w:trPr>
        <w:tc>
          <w:tcPr>
            <w:tcW w:w="8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预算执行     （万元）</w:t>
            </w:r>
          </w:p>
        </w:tc>
        <w:tc>
          <w:tcPr>
            <w:tcW w:w="2590" w:type="dxa"/>
            <w:gridSpan w:val="2"/>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资金性质</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全年预算数</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全年执行数</w:t>
            </w:r>
          </w:p>
        </w:tc>
        <w:tc>
          <w:tcPr>
            <w:tcW w:w="11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分值</w:t>
            </w:r>
          </w:p>
        </w:tc>
        <w:tc>
          <w:tcPr>
            <w:tcW w:w="1110"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执行率</w:t>
            </w:r>
          </w:p>
        </w:tc>
        <w:tc>
          <w:tcPr>
            <w:tcW w:w="12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00" w:hRule="atLeast"/>
        </w:trPr>
        <w:tc>
          <w:tcPr>
            <w:tcW w:w="8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3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年度项目总预算</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5000</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12099.9</w:t>
            </w:r>
          </w:p>
        </w:tc>
        <w:tc>
          <w:tcPr>
            <w:tcW w:w="1140"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110" w:type="dxa"/>
            <w:vMerge w:val="restar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242.00%</w:t>
            </w:r>
          </w:p>
        </w:tc>
        <w:tc>
          <w:tcPr>
            <w:tcW w:w="1246"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00" w:hRule="atLeast"/>
        </w:trPr>
        <w:tc>
          <w:tcPr>
            <w:tcW w:w="8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390"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其中：财政拨款</w:t>
            </w:r>
          </w:p>
        </w:tc>
        <w:tc>
          <w:tcPr>
            <w:tcW w:w="1200" w:type="dxa"/>
            <w:tcBorders>
              <w:top w:val="single" w:color="000000" w:sz="4" w:space="0"/>
              <w:left w:val="nil"/>
              <w:bottom w:val="single" w:color="000000" w:sz="4" w:space="0"/>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5000</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5000</w:t>
            </w: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110" w:type="dxa"/>
            <w:vMerge w:val="continue"/>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24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00" w:hRule="atLeast"/>
        </w:trPr>
        <w:tc>
          <w:tcPr>
            <w:tcW w:w="8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390"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其它资金</w:t>
            </w:r>
          </w:p>
        </w:tc>
        <w:tc>
          <w:tcPr>
            <w:tcW w:w="1200" w:type="dxa"/>
            <w:tcBorders>
              <w:top w:val="single" w:color="000000" w:sz="4" w:space="0"/>
              <w:left w:val="nil"/>
              <w:bottom w:val="single" w:color="000000" w:sz="4" w:space="0"/>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7099.9</w:t>
            </w: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110" w:type="dxa"/>
            <w:vMerge w:val="continue"/>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24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00" w:hRule="atLeast"/>
        </w:trPr>
        <w:tc>
          <w:tcPr>
            <w:tcW w:w="8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年度总体目标</w:t>
            </w:r>
          </w:p>
        </w:tc>
        <w:tc>
          <w:tcPr>
            <w:tcW w:w="5005"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年初设定目标</w:t>
            </w:r>
          </w:p>
        </w:tc>
        <w:tc>
          <w:tcPr>
            <w:tcW w:w="3496"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年度总体完成情况综述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360" w:hRule="atLeast"/>
        </w:trPr>
        <w:tc>
          <w:tcPr>
            <w:tcW w:w="8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500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建设内容。范围内农村房屋及附属设施共计396099㎡，其中：拆除房屋296099㎡，拆迁安置2148户，3655人；（2）投资情况。估计总投资189373.26万元，其中：建设投资175035.85万元，建设期利息14337.41万元。建设投资包刮工程费用3079.43万元，工程建设其他费158990.8万元，基本预备费12965.62万元。资金来源自筹39373.26万元及申请贷款150000万元。</w:t>
            </w:r>
          </w:p>
        </w:tc>
        <w:tc>
          <w:tcPr>
            <w:tcW w:w="349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16"/>
                <w:szCs w:val="16"/>
                <w:u w:val="none"/>
                <w:lang w:val="en-US" w:eastAsia="zh-CN"/>
              </w:rPr>
            </w:pPr>
            <w:r>
              <w:rPr>
                <w:rFonts w:hint="eastAsia" w:ascii="宋体" w:hAnsi="宋体" w:eastAsia="宋体" w:cs="宋体"/>
                <w:i w:val="0"/>
                <w:color w:val="000000"/>
                <w:kern w:val="0"/>
                <w:sz w:val="16"/>
                <w:szCs w:val="16"/>
                <w:u w:val="none"/>
                <w:lang w:val="en-US" w:eastAsia="zh-CN" w:bidi="ar"/>
              </w:rPr>
              <w:t>已拆迁房屋及附属设施297000平方米，安置2148户，3655人。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25" w:hRule="atLeast"/>
        </w:trPr>
        <w:tc>
          <w:tcPr>
            <w:tcW w:w="5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绩效指标</w:t>
            </w:r>
          </w:p>
        </w:tc>
        <w:tc>
          <w:tcPr>
            <w:tcW w:w="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一级指标</w:t>
            </w:r>
          </w:p>
        </w:tc>
        <w:tc>
          <w:tcPr>
            <w:tcW w:w="13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二级指标</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三级指标</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年度指标值</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分值</w:t>
            </w:r>
          </w:p>
        </w:tc>
        <w:tc>
          <w:tcPr>
            <w:tcW w:w="1140"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实际完成值</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得分</w:t>
            </w:r>
          </w:p>
        </w:tc>
        <w:tc>
          <w:tcPr>
            <w:tcW w:w="12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未完成原因及拟采取的措施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产出指标（50分）</w:t>
            </w:r>
          </w:p>
        </w:tc>
        <w:tc>
          <w:tcPr>
            <w:tcW w:w="13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数量指标</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ascii="方正仿宋_GBK" w:hAnsi="方正仿宋_GBK" w:eastAsia="方正仿宋_GBK" w:cs="方正仿宋_GBK"/>
                <w:i w:val="0"/>
                <w:color w:val="000000"/>
                <w:sz w:val="16"/>
                <w:szCs w:val="16"/>
                <w:u w:val="none"/>
              </w:rPr>
            </w:pPr>
            <w:r>
              <w:rPr>
                <w:rFonts w:hint="eastAsia" w:ascii="方正仿宋_GBK" w:hAnsi="方正仿宋_GBK" w:eastAsia="方正仿宋_GBK" w:cs="方正仿宋_GBK"/>
                <w:i w:val="0"/>
                <w:color w:val="000000"/>
                <w:kern w:val="0"/>
                <w:sz w:val="16"/>
                <w:szCs w:val="16"/>
                <w:u w:val="none"/>
                <w:lang w:val="en-US" w:eastAsia="zh-CN" w:bidi="ar"/>
              </w:rPr>
              <w:t>房屋及附属设施</w:t>
            </w:r>
          </w:p>
        </w:tc>
        <w:tc>
          <w:tcPr>
            <w:tcW w:w="1200" w:type="dxa"/>
            <w:tcBorders>
              <w:top w:val="nil"/>
              <w:left w:val="nil"/>
              <w:bottom w:val="single" w:color="000000" w:sz="8" w:space="0"/>
              <w:right w:val="single" w:color="000000" w:sz="8"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方正仿宋_GBK" w:hAnsi="方正仿宋_GBK" w:eastAsia="方正仿宋_GBK" w:cs="方正仿宋_GBK"/>
                <w:i w:val="0"/>
                <w:color w:val="000000"/>
                <w:sz w:val="16"/>
                <w:szCs w:val="16"/>
                <w:u w:val="none"/>
              </w:rPr>
            </w:pPr>
            <w:r>
              <w:rPr>
                <w:rFonts w:hint="eastAsia" w:ascii="方正仿宋_GBK" w:hAnsi="方正仿宋_GBK" w:eastAsia="方正仿宋_GBK" w:cs="方正仿宋_GBK"/>
                <w:i w:val="0"/>
                <w:color w:val="000000"/>
                <w:kern w:val="0"/>
                <w:sz w:val="16"/>
                <w:szCs w:val="16"/>
                <w:u w:val="none"/>
                <w:lang w:val="en-US" w:eastAsia="zh-CN" w:bidi="ar"/>
              </w:rPr>
              <w:t>≥296099㎡</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1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6"/>
                <w:szCs w:val="16"/>
                <w:u w:val="none"/>
              </w:rPr>
            </w:pPr>
            <w:r>
              <w:rPr>
                <w:rFonts w:ascii="宋体" w:hAnsi="宋体" w:eastAsia="宋体" w:cs="宋体"/>
                <w:i w:val="0"/>
                <w:color w:val="000000"/>
                <w:kern w:val="0"/>
                <w:sz w:val="16"/>
                <w:szCs w:val="16"/>
                <w:u w:val="none"/>
                <w:lang w:val="en-US" w:eastAsia="zh-CN" w:bidi="ar"/>
              </w:rPr>
              <w:t>297000</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2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3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6"/>
                <w:szCs w:val="16"/>
                <w:u w:val="none"/>
              </w:rPr>
            </w:pPr>
            <w:r>
              <w:rPr>
                <w:rFonts w:hint="eastAsia" w:ascii="方正仿宋_GBK" w:hAnsi="方正仿宋_GBK" w:eastAsia="方正仿宋_GBK" w:cs="方正仿宋_GBK"/>
                <w:i w:val="0"/>
                <w:color w:val="000000"/>
                <w:kern w:val="0"/>
                <w:sz w:val="16"/>
                <w:szCs w:val="16"/>
                <w:u w:val="none"/>
                <w:lang w:val="en-US" w:eastAsia="zh-CN" w:bidi="ar"/>
              </w:rPr>
              <w:t>拆迁安户</w:t>
            </w:r>
          </w:p>
        </w:tc>
        <w:tc>
          <w:tcPr>
            <w:tcW w:w="120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6"/>
                <w:szCs w:val="16"/>
                <w:u w:val="none"/>
              </w:rPr>
            </w:pPr>
            <w:r>
              <w:rPr>
                <w:rFonts w:hint="eastAsia" w:ascii="方正仿宋_GBK" w:hAnsi="方正仿宋_GBK" w:eastAsia="方正仿宋_GBK" w:cs="方正仿宋_GBK"/>
                <w:i w:val="0"/>
                <w:color w:val="000000"/>
                <w:kern w:val="0"/>
                <w:sz w:val="16"/>
                <w:szCs w:val="16"/>
                <w:u w:val="none"/>
                <w:lang w:val="en-US" w:eastAsia="zh-CN" w:bidi="ar"/>
              </w:rPr>
              <w:t>≥2148户</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1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6"/>
                <w:szCs w:val="16"/>
                <w:u w:val="none"/>
              </w:rPr>
            </w:pPr>
            <w:r>
              <w:rPr>
                <w:rFonts w:ascii="宋体" w:hAnsi="宋体" w:eastAsia="宋体" w:cs="宋体"/>
                <w:i w:val="0"/>
                <w:color w:val="000000"/>
                <w:kern w:val="0"/>
                <w:sz w:val="16"/>
                <w:szCs w:val="16"/>
                <w:u w:val="none"/>
                <w:lang w:val="en-US" w:eastAsia="zh-CN" w:bidi="ar"/>
              </w:rPr>
              <w:t>2500</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2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3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6"/>
                <w:szCs w:val="16"/>
                <w:u w:val="none"/>
              </w:rPr>
            </w:pPr>
            <w:r>
              <w:rPr>
                <w:rFonts w:hint="eastAsia" w:ascii="方正仿宋_GBK" w:hAnsi="方正仿宋_GBK" w:eastAsia="方正仿宋_GBK" w:cs="方正仿宋_GBK"/>
                <w:i w:val="0"/>
                <w:color w:val="000000"/>
                <w:kern w:val="0"/>
                <w:sz w:val="16"/>
                <w:szCs w:val="16"/>
                <w:u w:val="none"/>
                <w:lang w:val="en-US" w:eastAsia="zh-CN" w:bidi="ar"/>
              </w:rPr>
              <w:t>拆迁安人</w:t>
            </w:r>
          </w:p>
        </w:tc>
        <w:tc>
          <w:tcPr>
            <w:tcW w:w="120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6"/>
                <w:szCs w:val="16"/>
                <w:u w:val="none"/>
              </w:rPr>
            </w:pPr>
            <w:r>
              <w:rPr>
                <w:rFonts w:hint="eastAsia" w:ascii="方正仿宋_GBK" w:hAnsi="方正仿宋_GBK" w:eastAsia="方正仿宋_GBK" w:cs="方正仿宋_GBK"/>
                <w:i w:val="0"/>
                <w:color w:val="000000"/>
                <w:kern w:val="0"/>
                <w:sz w:val="16"/>
                <w:szCs w:val="16"/>
                <w:u w:val="none"/>
                <w:lang w:val="en-US" w:eastAsia="zh-CN" w:bidi="ar"/>
              </w:rPr>
              <w:t>≥3655人</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1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6"/>
                <w:szCs w:val="16"/>
                <w:u w:val="none"/>
              </w:rPr>
            </w:pPr>
            <w:r>
              <w:rPr>
                <w:rFonts w:ascii="宋体" w:hAnsi="宋体" w:eastAsia="宋体" w:cs="宋体"/>
                <w:i w:val="0"/>
                <w:color w:val="000000"/>
                <w:kern w:val="0"/>
                <w:sz w:val="16"/>
                <w:szCs w:val="16"/>
                <w:u w:val="none"/>
                <w:lang w:val="en-US" w:eastAsia="zh-CN" w:bidi="ar"/>
              </w:rPr>
              <w:t>4001</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2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3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lang w:val="en-US" w:eastAsia="zh-CN"/>
              </w:rPr>
            </w:pPr>
            <w:r>
              <w:rPr>
                <w:rFonts w:hint="eastAsia" w:ascii="宋体" w:hAnsi="宋体" w:eastAsia="宋体" w:cs="宋体"/>
                <w:i w:val="0"/>
                <w:color w:val="000000"/>
                <w:sz w:val="16"/>
                <w:szCs w:val="16"/>
                <w:u w:val="none"/>
                <w:lang w:val="en-US" w:eastAsia="zh-CN"/>
              </w:rPr>
              <w:t>质量指标</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lang w:eastAsia="zh-CN"/>
              </w:rPr>
            </w:pPr>
            <w:r>
              <w:rPr>
                <w:rFonts w:hint="eastAsia" w:ascii="宋体" w:hAnsi="宋体" w:eastAsia="宋体" w:cs="宋体"/>
                <w:i w:val="0"/>
                <w:color w:val="000000"/>
                <w:sz w:val="16"/>
                <w:szCs w:val="16"/>
                <w:u w:val="none"/>
                <w:lang w:eastAsia="zh-CN"/>
              </w:rPr>
              <w:t>验收合格率</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宋体" w:hAnsi="宋体" w:eastAsia="宋体" w:cs="宋体"/>
                <w:i w:val="0"/>
                <w:color w:val="000000"/>
                <w:sz w:val="16"/>
                <w:szCs w:val="16"/>
                <w:u w:val="none"/>
                <w:lang w:val="en-US" w:eastAsia="zh-CN"/>
              </w:rPr>
            </w:pPr>
            <w:r>
              <w:rPr>
                <w:rFonts w:hint="eastAsia" w:ascii="宋体" w:hAnsi="宋体" w:eastAsia="宋体" w:cs="宋体"/>
                <w:i w:val="0"/>
                <w:color w:val="000000"/>
                <w:sz w:val="16"/>
                <w:szCs w:val="16"/>
                <w:u w:val="none"/>
                <w:lang w:val="en-US" w:eastAsia="zh-CN"/>
              </w:rPr>
              <w:t>100%</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140"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2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3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时效指标</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完工及时率</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6"/>
                <w:szCs w:val="16"/>
                <w:u w:val="none"/>
                <w:lang w:val="en-US"/>
              </w:rPr>
            </w:pPr>
            <w:r>
              <w:rPr>
                <w:rFonts w:hint="eastAsia" w:ascii="宋体" w:hAnsi="宋体" w:eastAsia="宋体" w:cs="宋体"/>
                <w:i w:val="0"/>
                <w:color w:val="000000"/>
                <w:kern w:val="0"/>
                <w:sz w:val="16"/>
                <w:szCs w:val="16"/>
                <w:u w:val="none"/>
                <w:lang w:val="en-US" w:eastAsia="zh-CN" w:bidi="ar"/>
              </w:rPr>
              <w:t>100%</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6"/>
                <w:szCs w:val="16"/>
                <w:u w:val="none"/>
                <w:lang w:val="en-US"/>
              </w:rPr>
            </w:pPr>
            <w:r>
              <w:rPr>
                <w:rFonts w:hint="eastAsia" w:ascii="宋体" w:hAnsi="宋体" w:eastAsia="宋体" w:cs="宋体"/>
                <w:i w:val="0"/>
                <w:color w:val="000000"/>
                <w:kern w:val="0"/>
                <w:sz w:val="16"/>
                <w:szCs w:val="16"/>
                <w:u w:val="none"/>
                <w:lang w:val="en-US" w:eastAsia="zh-CN" w:bidi="ar"/>
              </w:rPr>
              <w:t>10</w:t>
            </w:r>
          </w:p>
        </w:tc>
        <w:tc>
          <w:tcPr>
            <w:tcW w:w="1140"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6"/>
                <w:szCs w:val="16"/>
                <w:u w:val="none"/>
                <w:lang w:val="en-US"/>
              </w:rPr>
            </w:pPr>
            <w:r>
              <w:rPr>
                <w:rFonts w:hint="eastAsia" w:ascii="宋体" w:hAnsi="宋体" w:eastAsia="宋体" w:cs="宋体"/>
                <w:i w:val="0"/>
                <w:color w:val="000000"/>
                <w:kern w:val="0"/>
                <w:sz w:val="16"/>
                <w:szCs w:val="16"/>
                <w:u w:val="none"/>
                <w:lang w:val="en-US" w:eastAsia="zh-CN" w:bidi="ar"/>
              </w:rPr>
              <w:t>100%</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6"/>
                <w:szCs w:val="16"/>
                <w:u w:val="none"/>
                <w:lang w:val="en-US"/>
              </w:rPr>
            </w:pPr>
            <w:r>
              <w:rPr>
                <w:rFonts w:hint="eastAsia" w:ascii="宋体" w:hAnsi="宋体" w:eastAsia="宋体" w:cs="宋体"/>
                <w:i w:val="0"/>
                <w:color w:val="000000"/>
                <w:kern w:val="0"/>
                <w:sz w:val="16"/>
                <w:szCs w:val="16"/>
                <w:u w:val="none"/>
                <w:lang w:val="en-US" w:eastAsia="zh-CN" w:bidi="ar"/>
              </w:rPr>
              <w:t>10</w:t>
            </w:r>
          </w:p>
        </w:tc>
        <w:tc>
          <w:tcPr>
            <w:tcW w:w="12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50" w:type="dxa"/>
            <w:vMerge w:val="restart"/>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效益指标（30分）</w:t>
            </w:r>
          </w:p>
        </w:tc>
        <w:tc>
          <w:tcPr>
            <w:tcW w:w="13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经济效益指标</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带动当地经济增收</w:t>
            </w:r>
          </w:p>
        </w:tc>
        <w:tc>
          <w:tcPr>
            <w:tcW w:w="1200" w:type="dxa"/>
            <w:tcBorders>
              <w:top w:val="nil"/>
              <w:left w:val="nil"/>
              <w:bottom w:val="single" w:color="000000" w:sz="8" w:space="0"/>
              <w:right w:val="single" w:color="000000" w:sz="8"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方正仿宋_GBK" w:hAnsi="方正仿宋_GBK" w:eastAsia="方正仿宋_GBK" w:cs="方正仿宋_GBK"/>
                <w:i w:val="0"/>
                <w:color w:val="000000"/>
                <w:sz w:val="16"/>
                <w:szCs w:val="16"/>
                <w:u w:val="none"/>
              </w:rPr>
            </w:pPr>
            <w:r>
              <w:rPr>
                <w:rFonts w:hint="eastAsia" w:ascii="方正仿宋_GBK" w:hAnsi="方正仿宋_GBK" w:eastAsia="方正仿宋_GBK" w:cs="方正仿宋_GBK"/>
                <w:i w:val="0"/>
                <w:color w:val="000000"/>
                <w:kern w:val="0"/>
                <w:sz w:val="16"/>
                <w:szCs w:val="16"/>
                <w:u w:val="none"/>
                <w:lang w:val="en-US" w:eastAsia="zh-CN" w:bidi="ar"/>
              </w:rPr>
              <w:t>≥50000万元</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w:t>
            </w:r>
          </w:p>
        </w:tc>
        <w:tc>
          <w:tcPr>
            <w:tcW w:w="1140"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55000</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w:t>
            </w:r>
          </w:p>
        </w:tc>
        <w:tc>
          <w:tcPr>
            <w:tcW w:w="12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50"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3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社会效益指标</w:t>
            </w:r>
          </w:p>
        </w:tc>
        <w:tc>
          <w:tcPr>
            <w:tcW w:w="1200" w:type="dxa"/>
            <w:tcBorders>
              <w:top w:val="nil"/>
              <w:left w:val="nil"/>
              <w:bottom w:val="single" w:color="000000" w:sz="8" w:space="0"/>
              <w:right w:val="single" w:color="000000" w:sz="8"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方正仿宋_GBK" w:hAnsi="方正仿宋_GBK" w:eastAsia="方正仿宋_GBK" w:cs="方正仿宋_GBK"/>
                <w:i w:val="0"/>
                <w:color w:val="000000"/>
                <w:sz w:val="16"/>
                <w:szCs w:val="16"/>
                <w:u w:val="none"/>
              </w:rPr>
            </w:pPr>
            <w:r>
              <w:rPr>
                <w:rFonts w:hint="eastAsia" w:ascii="方正仿宋_GBK" w:hAnsi="方正仿宋_GBK" w:eastAsia="方正仿宋_GBK" w:cs="方正仿宋_GBK"/>
                <w:i w:val="0"/>
                <w:color w:val="000000"/>
                <w:kern w:val="0"/>
                <w:sz w:val="16"/>
                <w:szCs w:val="16"/>
                <w:u w:val="none"/>
                <w:lang w:val="en-US" w:eastAsia="zh-CN" w:bidi="ar"/>
              </w:rPr>
              <w:t>带动就业人数</w:t>
            </w:r>
          </w:p>
        </w:tc>
        <w:tc>
          <w:tcPr>
            <w:tcW w:w="1200" w:type="dxa"/>
            <w:tcBorders>
              <w:top w:val="nil"/>
              <w:left w:val="nil"/>
              <w:bottom w:val="single" w:color="000000" w:sz="8" w:space="0"/>
              <w:right w:val="nil"/>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方正仿宋_GBK" w:hAnsi="方正仿宋_GBK" w:eastAsia="方正仿宋_GBK" w:cs="方正仿宋_GBK"/>
                <w:i w:val="0"/>
                <w:color w:val="000000"/>
                <w:sz w:val="16"/>
                <w:szCs w:val="16"/>
                <w:u w:val="none"/>
              </w:rPr>
            </w:pPr>
            <w:r>
              <w:rPr>
                <w:rFonts w:hint="eastAsia" w:ascii="方正仿宋_GBK" w:hAnsi="方正仿宋_GBK" w:eastAsia="方正仿宋_GBK" w:cs="方正仿宋_GBK"/>
                <w:i w:val="0"/>
                <w:color w:val="000000"/>
                <w:kern w:val="0"/>
                <w:sz w:val="16"/>
                <w:szCs w:val="16"/>
                <w:u w:val="none"/>
                <w:lang w:val="en-US" w:eastAsia="zh-CN" w:bidi="ar"/>
              </w:rPr>
              <w:t>≥5000人</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5600</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w:t>
            </w:r>
          </w:p>
        </w:tc>
        <w:tc>
          <w:tcPr>
            <w:tcW w:w="12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42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满意度指标（10分）</w:t>
            </w:r>
          </w:p>
        </w:tc>
        <w:tc>
          <w:tcPr>
            <w:tcW w:w="13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服务对象满意度指标</w:t>
            </w:r>
          </w:p>
        </w:tc>
        <w:tc>
          <w:tcPr>
            <w:tcW w:w="1200" w:type="dxa"/>
            <w:tcBorders>
              <w:top w:val="nil"/>
              <w:left w:val="nil"/>
              <w:bottom w:val="single" w:color="000000" w:sz="8" w:space="0"/>
              <w:right w:val="single" w:color="000000" w:sz="8"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方正仿宋_GBK" w:hAnsi="方正仿宋_GBK" w:eastAsia="方正仿宋_GBK" w:cs="方正仿宋_GBK"/>
                <w:i w:val="0"/>
                <w:color w:val="000000"/>
                <w:sz w:val="16"/>
                <w:szCs w:val="16"/>
                <w:u w:val="none"/>
              </w:rPr>
            </w:pPr>
            <w:r>
              <w:rPr>
                <w:rFonts w:hint="eastAsia" w:ascii="方正仿宋_GBK" w:hAnsi="方正仿宋_GBK" w:cs="方正仿宋_GBK"/>
                <w:i w:val="0"/>
                <w:color w:val="000000"/>
                <w:kern w:val="0"/>
                <w:sz w:val="16"/>
                <w:szCs w:val="16"/>
                <w:u w:val="none"/>
                <w:lang w:val="en-US" w:eastAsia="zh-CN" w:bidi="ar"/>
              </w:rPr>
              <w:t>受益</w:t>
            </w:r>
            <w:r>
              <w:rPr>
                <w:rFonts w:hint="eastAsia" w:ascii="方正仿宋_GBK" w:hAnsi="方正仿宋_GBK" w:eastAsia="方正仿宋_GBK" w:cs="方正仿宋_GBK"/>
                <w:i w:val="0"/>
                <w:color w:val="000000"/>
                <w:kern w:val="0"/>
                <w:sz w:val="16"/>
                <w:szCs w:val="16"/>
                <w:u w:val="none"/>
                <w:lang w:val="en-US" w:eastAsia="zh-CN" w:bidi="ar"/>
              </w:rPr>
              <w:t>对象满意度</w:t>
            </w:r>
          </w:p>
        </w:tc>
        <w:tc>
          <w:tcPr>
            <w:tcW w:w="1200" w:type="dxa"/>
            <w:tcBorders>
              <w:top w:val="nil"/>
              <w:left w:val="nil"/>
              <w:bottom w:val="single" w:color="000000" w:sz="8" w:space="0"/>
              <w:right w:val="single" w:color="000000" w:sz="8"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方正仿宋_GBK" w:hAnsi="方正仿宋_GBK" w:eastAsia="方正仿宋_GBK" w:cs="方正仿宋_GBK"/>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r>
              <w:rPr>
                <w:rFonts w:hint="eastAsia" w:ascii="方正仿宋_GBK" w:hAnsi="方正仿宋_GBK" w:cs="方正仿宋_GBK"/>
                <w:i w:val="0"/>
                <w:color w:val="000000"/>
                <w:kern w:val="0"/>
                <w:sz w:val="16"/>
                <w:szCs w:val="16"/>
                <w:u w:val="none"/>
                <w:lang w:val="en-US" w:eastAsia="zh-CN" w:bidi="ar"/>
              </w:rPr>
              <w:t>90</w:t>
            </w:r>
            <w:r>
              <w:rPr>
                <w:rFonts w:hint="eastAsia" w:ascii="方正仿宋_GBK" w:hAnsi="方正仿宋_GBK" w:eastAsia="方正仿宋_GBK" w:cs="方正仿宋_GBK"/>
                <w:i w:val="0"/>
                <w:color w:val="000000"/>
                <w:kern w:val="0"/>
                <w:sz w:val="16"/>
                <w:szCs w:val="16"/>
                <w:u w:val="none"/>
                <w:lang w:val="en-US" w:eastAsia="zh-CN" w:bidi="ar"/>
              </w:rPr>
              <w:t>%</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140"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90%</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6"/>
                <w:szCs w:val="16"/>
                <w:u w:val="none"/>
                <w:lang w:val="en-US"/>
              </w:rPr>
            </w:pPr>
            <w:r>
              <w:rPr>
                <w:rFonts w:hint="eastAsia" w:ascii="宋体" w:hAnsi="宋体" w:eastAsia="宋体" w:cs="宋体"/>
                <w:i w:val="0"/>
                <w:color w:val="000000"/>
                <w:kern w:val="0"/>
                <w:sz w:val="16"/>
                <w:szCs w:val="16"/>
                <w:u w:val="none"/>
                <w:lang w:val="en-US" w:eastAsia="zh-CN" w:bidi="ar"/>
              </w:rPr>
              <w:t>10</w:t>
            </w:r>
          </w:p>
        </w:tc>
        <w:tc>
          <w:tcPr>
            <w:tcW w:w="12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80" w:hRule="atLeast"/>
        </w:trPr>
        <w:tc>
          <w:tcPr>
            <w:tcW w:w="3450"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合      计</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b/>
                <w:i w:val="0"/>
                <w:color w:val="000000"/>
                <w:sz w:val="16"/>
                <w:szCs w:val="16"/>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b/>
                <w:i w:val="0"/>
                <w:color w:val="000000"/>
                <w:sz w:val="16"/>
                <w:szCs w:val="16"/>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宋体" w:hAnsi="宋体" w:eastAsia="宋体" w:cs="宋体"/>
                <w:b/>
                <w:i w:val="0"/>
                <w:color w:val="000000"/>
                <w:sz w:val="16"/>
                <w:szCs w:val="16"/>
                <w:u w:val="none"/>
                <w:lang w:val="en-US" w:eastAsia="zh-CN"/>
              </w:rPr>
            </w:pPr>
            <w:r>
              <w:rPr>
                <w:rFonts w:hint="eastAsia" w:ascii="宋体" w:hAnsi="宋体" w:eastAsia="宋体" w:cs="宋体"/>
                <w:b/>
                <w:i w:val="0"/>
                <w:color w:val="000000"/>
                <w:sz w:val="16"/>
                <w:szCs w:val="16"/>
                <w:u w:val="none"/>
                <w:lang w:val="en-US" w:eastAsia="zh-CN"/>
              </w:rPr>
              <w:t>100</w:t>
            </w:r>
          </w:p>
        </w:tc>
        <w:tc>
          <w:tcPr>
            <w:tcW w:w="12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b/>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70" w:hRule="atLeast"/>
        </w:trPr>
        <w:tc>
          <w:tcPr>
            <w:tcW w:w="51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35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139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120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120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1215"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114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111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1246"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70" w:hRule="atLeast"/>
        </w:trPr>
        <w:tc>
          <w:tcPr>
            <w:tcW w:w="3450" w:type="dxa"/>
            <w:gridSpan w:val="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填报单位：重庆百盐投资（集团）有限公司</w:t>
            </w:r>
          </w:p>
        </w:tc>
        <w:tc>
          <w:tcPr>
            <w:tcW w:w="3555" w:type="dxa"/>
            <w:gridSpan w:val="3"/>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单位负责人：谭顶国</w:t>
            </w:r>
          </w:p>
        </w:tc>
        <w:tc>
          <w:tcPr>
            <w:tcW w:w="2356" w:type="dxa"/>
            <w:gridSpan w:val="2"/>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填表人：万秋月</w:t>
            </w:r>
          </w:p>
        </w:tc>
      </w:tr>
    </w:tbl>
    <w:p>
      <w:pPr>
        <w:pStyle w:val="2"/>
        <w:rPr>
          <w:rFonts w:hint="eastAsia"/>
          <w:lang w:val="en-US" w:eastAsia="zh-CN"/>
        </w:rPr>
      </w:pPr>
    </w:p>
    <w:p>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F984CF"/>
    <w:multiLevelType w:val="singleLevel"/>
    <w:tmpl w:val="23F984CF"/>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BC33F8"/>
    <w:rsid w:val="09D6662C"/>
    <w:rsid w:val="0AC736EC"/>
    <w:rsid w:val="0C3D6CAD"/>
    <w:rsid w:val="0C4F5747"/>
    <w:rsid w:val="14BD3B56"/>
    <w:rsid w:val="1C05239D"/>
    <w:rsid w:val="25EA1E26"/>
    <w:rsid w:val="25F978E4"/>
    <w:rsid w:val="26C4274B"/>
    <w:rsid w:val="27016286"/>
    <w:rsid w:val="2D811081"/>
    <w:rsid w:val="3A5A353E"/>
    <w:rsid w:val="3CBF28C8"/>
    <w:rsid w:val="40CB380F"/>
    <w:rsid w:val="4A765CCF"/>
    <w:rsid w:val="4CEC4501"/>
    <w:rsid w:val="56BB0C5D"/>
    <w:rsid w:val="58E43292"/>
    <w:rsid w:val="5C810F52"/>
    <w:rsid w:val="5FBA6F49"/>
    <w:rsid w:val="62546637"/>
    <w:rsid w:val="67E3553E"/>
    <w:rsid w:val="6B5E05C9"/>
    <w:rsid w:val="6CAC2A3E"/>
    <w:rsid w:val="6DBF650D"/>
    <w:rsid w:val="6FF713F5"/>
    <w:rsid w:val="75F8048D"/>
    <w:rsid w:val="76024BB7"/>
    <w:rsid w:val="7D643150"/>
    <w:rsid w:val="7E1354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2022-03-17T03:06:00Z</dcterms:created>
  <dc:creator>hp</dc:creator>
  <cp:lastModifiedBy>Administrator</cp:lastModifiedBy>
  <dcterms:modified xsi:type="dcterms:W3CDTF">2022-05-31T01:23:53Z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D676FFF71565405EBEA7B2C073165A1F</vt:lpwstr>
  </property>
</Properties>
</file>