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722" w:firstLineChars="200"/>
        <w:jc w:val="center"/>
        <w:rPr>
          <w:rFonts w:hint="default" w:ascii="Times New Roman" w:hAns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奉节县大树镇人民政府</w:t>
      </w:r>
    </w:p>
    <w:p>
      <w:pPr>
        <w:spacing w:line="600" w:lineRule="exact"/>
        <w:ind w:firstLine="722" w:firstLineChars="200"/>
        <w:jc w:val="center"/>
        <w:rPr>
          <w:rFonts w:hint="default" w:ascii="Times New Roman" w:hAnsi="Times New Roman" w:eastAsia="方正仿宋_GBK" w:cs="Times New Roman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  <w:t>部门（单位）整体支出预算绩效自评报告</w:t>
      </w:r>
    </w:p>
    <w:p>
      <w:pPr>
        <w:pStyle w:val="2"/>
        <w:ind w:firstLine="640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ind w:firstLine="642" w:firstLineChars="200"/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一、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概况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（一）基本情况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预算编制范围包括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大树镇人民政府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机关及所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属村社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、居委会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共计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个单位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将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全乡镇机关和村社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作为一级预算单位，具体为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党政办、党建办、人大办、经济发展办公室、民政和社会事务办公室、平安建设办公室、规划建设管理环保办公室、财政办、应急管理办公室、乡村振兴办公室、农业服务中心、文化服务中心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劳动就业和社会保障服务所、退役军人服务站、综合行政执法大队、特色产业发展中心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；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老龙村、石堰社区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个村和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个居委会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。我单位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核定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人员编制数为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（其中行政编制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人，事业编制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，实际在职在岗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65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遗属补助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人。公务用车编制数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台，实际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台。房屋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建筑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面积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8682.24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平方米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，使用面积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382.72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平方米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基本职责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1．党政办公室。主要负责综合协调、文秘、法制、武装、机要保密、政务公开、档案、机关后勤等职责。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2．党建工作办公室。主要负责基层党建、纪检、组织人事、宣传、统战、民宗侨台、机构编制、群团等职责。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3．人大</w:t>
      </w:r>
      <w:r>
        <w:rPr>
          <w:rFonts w:hint="eastAsia" w:cs="Times New Roman"/>
          <w:color w:val="auto"/>
          <w:sz w:val="32"/>
          <w:szCs w:val="32"/>
          <w:lang w:eastAsia="zh-CN"/>
        </w:rPr>
        <w:t>常委会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办公室。主要负责人大主席团日常工作，联系并组织人大代表开展活动等职责。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4．经济发展办公室（挂统计办公室、农村经营管理办公室牌子）。主要负责经济发展规划、农村经营管理、工业和信息化、交通、水利、林业、商务、经济社会统计等职责。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5．民政和社会事务办公室（挂卫生健康办公室牌子）。主要负责民政、教育、卫生健康、科技、文化旅游、体育、残疾人事业、劳动就业、社会保障、医疗保障、老龄事业发展等职责。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6．平安建设办公室。主要负责信访、人民调解、社会治安综合治理、防范和处理邪教等职责。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7．规划建设管理环保办公室。主要负责村镇规划、村镇建设、市政公用、市容环卫、生态环境保护、人居环境整治、物业管理等职责。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8．财政办公室。主要负责财政收支、预决算、总会计、惠农资金兑付、财政资金监督检查、绩效评价、村级财务管理等职责。</w:t>
      </w:r>
    </w:p>
    <w:p>
      <w:pPr>
        <w:autoSpaceDN w:val="0"/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9．应急管理办公室。主要负责安全生产综合监管、应急管理、消防管理等职责，协助开展煤矿、非煤矿山、危险化学品、烟花爆竹等安全生产日常监管工作。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</w:rPr>
        <w:t>10．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乡村振兴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办公室。主要负责贫困对象识别、扶贫开发项目管理、资金管理、信息统计和动态监测，统筹社会扶贫、产业扶贫、科技扶贫、就业扶贫、金融扶贫、宣传培训等扶贫开发工作职责。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．农业服务中心。将农业服务中心、畜牧兽医站、水利管理站职责整合，重新组建农业服务中心，主要承担农业、畜牧业、林业、渔业、水利、农业机械、农产品质量检测、动植物疫病防控防治、畜牧兽医等技术推广和服务工作。不再保留畜牧兽医站、水利管理站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．文化服务中心。将综合文化站更名为文化服务中心，主要承担文化、体育等事业发展和公共服务工作。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．劳动就业和社会保障服务所。将劳动就业和社会保障服务中心更名为劳动就业和社会保障服务所，主要承担劳动就业服务、职业培训、劳务输出、农民工监测、社会保险、医疗保险、人才服务等工作。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．退役军人服务站。主要承担退役军人就业创业扶持、优抚帮扶、走访慰问、信访接待、权益保障等事务性工作。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．综合行政执法大队。将规划建设管理环保所的行政执法职责，以及分散在综合办事机构和事业单位的农林水利、卫生健康、文化旅游、民政管理等领域的行政执法职责整合，组建综合行政执法大队，与综合行政执法办公室实行统筹运行的机制。不再保留规划建设管理环保所。</w:t>
      </w:r>
    </w:p>
    <w:p>
      <w:pPr>
        <w:pStyle w:val="2"/>
        <w:ind w:firstLine="640" w:firstLineChars="20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>．特色产业发展中心。将脐橙管理站的职责，以及农业服务中心承担的油橄榄、中药材、山羊等特色优势种植养殖业发展和技术服务，综合文化站承担的乡村旅游发展等职责整合，组建特色产业发展中心，主要承担脐橙、油橄榄、中药材、山羊、蔬菜、小水果、乡村旅游等特色优势产业的发展研究、技术推广和服务工作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（三）年度主要工作概述</w:t>
      </w:r>
    </w:p>
    <w:p>
      <w:pPr>
        <w:spacing w:line="600" w:lineRule="exact"/>
        <w:ind w:firstLine="960" w:firstLineChars="3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巩固脱贫成果，有效衔接乡村振兴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一是强化动态监测。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重点监测“脱贫不稳定户、边缘易致贫户、农村低保户、因病因灾因意外事故导致收入骤减支出骤增户”四类人员家庭收入情况、“两不愁三保障”、家庭子女就学等情况，目前新识别边缘易致贫户1户，全镇共计5户风险未消除监测对象。针对监测对象建立动态监测台账，累计排查住房、医疗、就学等问题18项，存在困难已全部解决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二是强化帮扶举措。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完成脱贫户、边缘易致贫户“一户一方案、一人一措施”制定并录入全国防返贫监测信息系统，根据监测对象的返贫致贫风险、资源条件、发展需求和真实意愿，优化完善帮扶措施。对1286户脱贫户及“四类人群”开展拉网式走访，共享突发性大额医疗支出、自然灾害、收入骤减、支出骤增等信息，及时消除致贫返贫风险。通过“雨露计划”累计培训6名脱贫劳动力，大树村扶贫车间吸纳就业困难人员17人。积极宣传小额信贷业务，鼓励困难群体发展产业，做到应贷尽贷、合规使用，全镇无逾期情况发生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三是强化兜底保障。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全镇925人已脱贫人口获低保保障待遇，176人获农村特困供养保障待遇。组建“农业服务队”16支，为辖区输送劳动力近800人，解决全镇剩余农村劳动力就业稳岗工作。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实施“四精”管护，实现农民稳定增收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一是精准发展壮大产业。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大力推进“六园一基地”建设，按照“小规模、多品种、高品质、好价钱”产业发展思路，打造脐橙、中药材、蚕桑、花椒、茶叶、小水果6个产业园和生猪生产基地，全镇16个村（社区）规模化发展脐橙8000亩、中药材5000亩、蚕桑5000亩、花椒5000亩、老鹰茶白茶各300亩、三红蜜柚、脆李等小水果5000亩，生猪出栏15000头。稳定粮食种植面积、产量，打造上磨、庙岭、兰靛等粮食生产基地，培育种粮大户15家，储备化肥1000吨、农药300公斤、农膜15吨、种子10000公斤，完成农作物种植2.5万亩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二是精心管护提升产业。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加强新型农业经营主体培育，新发展县级龙头企业1家，新培育家庭农场5个、示范合作社2个。打造槽木200亩蚕桑产业高标准化示范基地，辐射带动青莲片区、大树片区、槽木片农户建设优质基地1000亩，打造“短平快”智能蚕桑高收入产业，提高农业生产智能水平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三是精深加工延伸产业。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大力培育农产品加工市场主体，新培育加工企业5家。引进大树村花椒、蜜柚产业基地配套冷链设施，解决加工企业用地和冷链等难题。以农产品加工关键环节和瓶颈制约为重点，提升脐橙、脆李、黄桃、蜜柚等果蔬冷藏技术，推进科技与产业发展深度融合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加强党的建设，坚持党建引领发展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一是加强思想政治建设。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抓实政治教育，以习近平新时代中国特色社会主义思想为主线，深入学习贯彻市委、县委全会精神，今年来组织召开专题党委会4次、党委中心组学习会17次、镇村干部会20次。抓好主题教育，深入开展“两学一做”“不忘初心、牢记使命”“党史学习教育”等系列主题教育和主题活动，今年来邀请专家、宣讲团到镇宣讲3场次，班子成员讲党课48场次、召开院坝会60余场次、撰写心得体会10篇、调研报告10篇。抓细日常教育，扎实开展党员日常教育培训，认真督促各党组织扎实开展“三会一课”“主题党日”“组织生活会”等活动，督促党员干部积极参加“学习强国”等平台学习。今年来组织开展业务培训4场次，督促检查16次，召开党建工作现场会2场次，各村（社区）为群众办实事500余件，党员干部为群众办实事300余件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二是加强班子队伍建设。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着力班子建设，积极维护班子团结，督促班子成员认真落实“一岗双责”职责，严格执行“三重一大”议事决策等制度，针对班子成员履职情况开展谈心谈话20次。调优干部队伍，有序推进村（社区）两委换届及村（居）民小组优化调整工作，新进16名18岁以下、大专及以上学历村（社区）干部，选优配强68名村（居）民小组长。强化队伍建设，新发展党员9名，培养入党积极分子40名，回引培养优秀农民工10名，常态储备村（社区）后备干部12名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三是加强基层阵地建设。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建强服务阵地，规范建设村（社区）便民服务中心，完成石堰社区、老龙村等2个党群服务中心标准化建设。建强文化阵地，以创建关山村乡村振兴示范村为契机，打造文化院坝2处、文化长廊1处。建强网络阵地，运用“两微一端”等网络平台发布动态1万余条，有效处置网络舆情130件。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重视乡村建设，加强建设用地管控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一是住房保障稳人心。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有序推进2021年危房改造工作，完成D级危房改造10户21万元、C级危房改造1户0.75万元。完成2020年农村危房改造对象的回头看、资料整理、系统录入，完成2016—2020年危房改造和搬迁的资料整理归档工作。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二是住房安全满民意。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完成2010年至2018年期间户籍制度改革、农房收储及复垦未包装项目遗留问题的处理，其中户籍制度改革36户，农房收储57户，复垦4户，共计97户。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三是地灾防治抚民愁。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开展地质灾害群测群防监测人员培训会6次，发放避险明白卡和工作明白卡1500份，加强对全镇73个地灾隐患点、城镇危房的排查及监测工作，修订地质灾害应急预案，签订地灾监测目标责任书16份。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四是房屋建设严管理。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加强农房建设审批管理，现场踏勘60户，审批发放乡村建设规划许可证60个、审批建筑面积1.242万平方米。宣传基本农田保护政策，发放永久基本农田保护明白卡8000余份。加强风貌管控，积极引导建房户使用农房建设通用图集进行建设，确保改造规范、风貌统一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五是环境保护提村容。</w:t>
      </w:r>
      <w:r>
        <w:rPr>
          <w:rFonts w:hint="default" w:ascii="Times New Roman" w:hAnsi="Times New Roman" w:eastAsia="方正仿宋_GBK" w:cs="Times New Roman"/>
          <w:color w:val="auto"/>
          <w:sz w:val="32"/>
        </w:rPr>
        <w:t>落实垃圾分类工作，购买分类垃圾桶100个，张贴横幅、宣传标语40余条。按照“摊齐门、车归位、街整洁、人守规”要求常态化开展“马路办公”，落实门前“三包”划分责任，石堰、庙岭两个场镇内的垃圾、牛皮癣、车辆乱停乱放基本得到遏制。</w:t>
      </w:r>
    </w:p>
    <w:p>
      <w:pPr>
        <w:spacing w:line="600" w:lineRule="exact"/>
        <w:ind w:firstLine="320" w:firstLineChars="100"/>
        <w:jc w:val="left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完善社会救助，民生保障落到实处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一是落实低保资助。</w:t>
      </w:r>
      <w:r>
        <w:rPr>
          <w:rFonts w:hint="default" w:ascii="Times New Roman" w:hAnsi="Times New Roman" w:eastAsia="方正仿宋_GBK" w:cs="Times New Roman"/>
          <w:color w:val="auto"/>
          <w:sz w:val="32"/>
        </w:rPr>
        <w:t>新增农村低保7户13人、停发63户185人、动态调整110人，享受农村低保人数440户925人，全年发放低保金共计518.73万元；享受城市低保9户15人，全年发放低保金共计8.9685万元；落实低保大学生学费资助7名，资助金额5.16万元。落实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特困人员供养176人，其中分散供养167人，集中供养9人，发放供养金196.453万元；新增特困人员4人，死亡停发3人，入住福利院特困人员2人。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二是落实医疗救助。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落实低保、特困、孤儿、民政建档等对象资助参合1400人次38.12万元；申报“同舟共济”救助项目4人，救助金额5.5万元；开展临时救助117人次，救助金额35.2万元；申请孤儿助学金4人次4万元。精</w:t>
      </w:r>
      <w:r>
        <w:rPr>
          <w:rFonts w:hint="eastAsia" w:cs="Times New Roman"/>
          <w:color w:val="auto"/>
          <w:sz w:val="32"/>
          <w:szCs w:val="32"/>
          <w:lang w:eastAsia="zh-CN"/>
        </w:rPr>
        <w:t>简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退休老职工8人，全年补助金额4.8万元；原襄渝铁路建设伤残民兵民工救济补助人员16人，全年补助金额18.48万元。</w:t>
      </w:r>
      <w:r>
        <w:rPr>
          <w:rFonts w:hint="default" w:ascii="Times New Roman" w:hAnsi="Times New Roman" w:eastAsia="方正楷体_GBK" w:cs="Times New Roman"/>
          <w:color w:val="auto"/>
          <w:sz w:val="32"/>
          <w:szCs w:val="32"/>
        </w:rPr>
        <w:t>三是落实残疾救助。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新办残疾证120本，更换三代残疾证986人次；申领发放护理床、轮椅、手仗等残疾人辅具120件，为12名听力残疾对象适配助听器总价值8.4万元；完成680名残疾人合作医疗资助工作，资助总金额12.24万元。申报重度残疾人护理补贴293人，月发放补助资金2.147万元；贫困残疾人生活补贴222人，月发放补助资金1.554万元；高龄失能养老服务补贴43人，月发放补助资金0.86万元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（四）绩效目标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（五）年度预决算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我单位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收入为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万元，年中追加收入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2475.91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万元，全年总收入为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4231.65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万元；全年总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支出为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4231.65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基本支出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1838.78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工资福利支出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1067.90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万元、商品和服务支出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423.74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万元、对个人和家庭的补助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347.14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），项目支出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2392.87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1、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年初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万元，其中：财政拨款收入年初预算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（一般公共预算收入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lang w:eastAsia="zh-CN"/>
        </w:rPr>
        <w:t>年中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追加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专项资金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2392.87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（一般公共预算收入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2084.67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万元，政府基金预算收入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308.2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），共计收入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4231.65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预算支出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万元，基本支出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元（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工资福利支出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1067.90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万元、商品和服务支出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423.74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万元、对个人和家庭的补助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264.1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共计支出为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1755.74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ind w:firstLine="642" w:firstLineChars="200"/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基本支出：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年度我镇基本支出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1838.78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人员支出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1515.70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万元，公用支出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323.07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年三公经费支出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15.26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15.36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万元），同比去年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持平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。其中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公务接待费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3.36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3.36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万元），同比去年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持平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，公务用车运行维护费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11.9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万元（预算为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万元），同比上年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持平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项目支出：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年财政拨款项目支出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2392.87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，同比上年增加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11.03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。 </w:t>
      </w:r>
    </w:p>
    <w:p>
      <w:pPr>
        <w:ind w:firstLine="642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三、整体支出绩效情况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财务管理制度建设情况：资金拨付严格按程序申报、审批，合理合规使用资金，确保财政资金安全。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资产管理：按照要求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及时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报送资产情况报表，确保各项资产核算准确、</w:t>
      </w:r>
      <w:r>
        <w:rPr>
          <w:rFonts w:hint="eastAsia" w:cs="Times New Roman"/>
          <w:color w:val="auto"/>
          <w:sz w:val="32"/>
          <w:szCs w:val="32"/>
          <w:lang w:eastAsia="zh-CN"/>
        </w:rPr>
        <w:t>账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实相符、管理到位。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预决算公开：在县人民政府门户网站上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按时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进行了预决算公开。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（四）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“三公经费”控制情况：能严格遵守各项规章制度，严控“三公”经费支出，“三公经费”减少，并及时在县人民政府门户网站上对“三公”经费情况进行公示。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（五）政府采购情况：</w:t>
      </w:r>
    </w:p>
    <w:p>
      <w:pPr>
        <w:numPr>
          <w:ilvl w:val="0"/>
          <w:numId w:val="2"/>
        </w:num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认真履行职责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情况：</w:t>
      </w:r>
    </w:p>
    <w:p>
      <w:pPr>
        <w:numPr>
          <w:ilvl w:val="0"/>
          <w:numId w:val="3"/>
        </w:numPr>
        <w:ind w:left="640" w:leftChars="0" w:firstLine="0" w:firstLineChars="0"/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</w:rPr>
        <w:t>评价结论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及分析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通过认真开展单位整体支出绩效目标自评，综合评分99分，评价结果为优。</w:t>
      </w:r>
    </w:p>
    <w:p>
      <w:pPr>
        <w:numPr>
          <w:ilvl w:val="0"/>
          <w:numId w:val="0"/>
        </w:numPr>
        <w:ind w:left="640" w:leftChars="0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（一）经济性分析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执行绩效评价体系，从以下几个方面提升了我单位的绩效工作：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。</w:t>
      </w:r>
    </w:p>
    <w:p>
      <w:pPr>
        <w:numPr>
          <w:ilvl w:val="0"/>
          <w:numId w:val="0"/>
        </w:numPr>
        <w:ind w:left="640" w:leftChars="0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（二）效益性分析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2021年，我单位的绩效评价工作在县财政局的坚强领导下，在县审计局、镇纪委的监督指导下，在社会各界的大力支持下，深入挖掘增收潜力，坚持稳增长、调结构、促改革、惠民生、防风险，各项支出得到较好保障，为建设大树的发展提供了坚强保障。</w:t>
      </w:r>
    </w:p>
    <w:p>
      <w:pPr>
        <w:ind w:firstLine="642" w:firstLineChars="200"/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、存在的问题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预决算项目支出编制需进一步明确、精细化。同时项目执行率需进一步提高。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ind w:firstLine="642" w:firstLineChars="200"/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</w:rPr>
        <w:t>、改进措施和有关建议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合理安排会计岗位，适当增加会计人员，增加业务知识培训，加强决算工作与账务处理工作衔接。        </w:t>
      </w: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1N2MwODdmNTc5ZmNhN2U3ZTAxM2EwMDhlYTMyMzEifQ=="/>
  </w:docVars>
  <w:rsids>
    <w:rsidRoot w:val="00000000"/>
    <w:rsid w:val="0136681C"/>
    <w:rsid w:val="0B5D4083"/>
    <w:rsid w:val="123C676E"/>
    <w:rsid w:val="142439FF"/>
    <w:rsid w:val="2500391B"/>
    <w:rsid w:val="358909F6"/>
    <w:rsid w:val="39914D8E"/>
    <w:rsid w:val="3DD104BB"/>
    <w:rsid w:val="45D94652"/>
    <w:rsid w:val="494850D3"/>
    <w:rsid w:val="596C3FFC"/>
    <w:rsid w:val="5BAF28E3"/>
    <w:rsid w:val="5F3538F6"/>
    <w:rsid w:val="698407A8"/>
    <w:rsid w:val="759D0104"/>
    <w:rsid w:val="7E582285"/>
    <w:rsid w:val="7FF7DA90"/>
    <w:rsid w:val="B6E1E67F"/>
    <w:rsid w:val="E4D7FC7D"/>
    <w:rsid w:val="FFA6D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5737</Words>
  <Characters>6167</Characters>
  <Lines>0</Lines>
  <Paragraphs>0</Paragraphs>
  <TotalTime>5</TotalTime>
  <ScaleCrop>false</ScaleCrop>
  <LinksUpToDate>false</LinksUpToDate>
  <CharactersWithSpaces>6167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2022-07-20T07:20:00Z</dcterms:created>
  <dc:creator>Administrator</dc:creator>
  <cp:lastModifiedBy>guest</cp:lastModifiedBy>
  <dcterms:modified xsi:type="dcterms:W3CDTF">2023-08-23T15:07:14Z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BBFD2B43C23D4290B0F14257BA4A07E3</vt:lpwstr>
  </property>
</Properties>
</file>