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2023年草堂镇桂兴村易地搬迁后续扶持扶贫车间加工配套项目建设支出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Times New Roman" w:hAnsi="Times New Roman" w:eastAsia="方正仿宋_GBK" w:cs="Times New Roman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（奉节县草堂镇人民政府）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</w:t>
      </w:r>
      <w:r>
        <w:rPr>
          <w:rFonts w:hint="eastAsia" w:cs="Times New Roman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（奉节财农〔202</w:t>
      </w:r>
      <w:r>
        <w:rPr>
          <w:rFonts w:hint="eastAsia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〕</w:t>
      </w:r>
      <w:r>
        <w:rPr>
          <w:rFonts w:hint="eastAsia" w:cs="Times New Roman"/>
          <w:sz w:val="32"/>
          <w:szCs w:val="32"/>
          <w:lang w:val="en-US" w:eastAsia="zh-CN"/>
        </w:rPr>
        <w:t>272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号）</w:t>
      </w:r>
      <w:r>
        <w:rPr>
          <w:rFonts w:hint="eastAsia" w:cs="Times New Roman"/>
          <w:sz w:val="32"/>
          <w:szCs w:val="32"/>
          <w:lang w:eastAsia="zh-CN"/>
        </w:rPr>
        <w:t>文件中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，下达资金预算时同步下达了绩效目标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我</w:t>
      </w:r>
      <w:r>
        <w:rPr>
          <w:rFonts w:hint="eastAsia" w:cs="Times New Roman"/>
          <w:sz w:val="32"/>
          <w:szCs w:val="32"/>
          <w:lang w:val="en-US" w:eastAsia="zh-CN"/>
        </w:rPr>
        <w:t>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根据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下达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的绩效目标开展自评。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color w:val="000000"/>
          <w:sz w:val="32"/>
          <w:szCs w:val="32"/>
          <w:lang w:val="en-US" w:eastAsia="zh-CN"/>
        </w:rPr>
        <w:t>1、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</w:p>
    <w:p>
      <w:pPr>
        <w:spacing w:line="600" w:lineRule="exact"/>
        <w:ind w:firstLine="640" w:firstLineChars="200"/>
        <w:rPr>
          <w:rFonts w:hint="eastAsia" w:cs="Times New Roman"/>
          <w:color w:val="000000"/>
          <w:sz w:val="32"/>
          <w:szCs w:val="32"/>
          <w:lang w:val="en-US" w:eastAsia="zh-CN"/>
        </w:rPr>
      </w:pPr>
      <w:r>
        <w:rPr>
          <w:rFonts w:hint="eastAsia" w:cs="Times New Roman"/>
          <w:color w:val="000000"/>
          <w:sz w:val="32"/>
          <w:szCs w:val="32"/>
          <w:lang w:val="en-US" w:eastAsia="zh-CN"/>
        </w:rPr>
        <w:t>2023年3月16日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2023年草堂镇桂兴村易地搬迁后续扶持扶贫车间加工配套项目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收到项目资金239万元，共计到位239万元。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项目资金执行情况</w:t>
      </w:r>
    </w:p>
    <w:p>
      <w:pPr>
        <w:pStyle w:val="2"/>
        <w:ind w:firstLine="640" w:firstLineChars="200"/>
        <w:rPr>
          <w:rFonts w:hint="eastAsia" w:asci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cs="Times New Roman"/>
          <w:sz w:val="32"/>
          <w:szCs w:val="32"/>
          <w:lang w:val="en-US" w:eastAsia="zh-CN"/>
        </w:rPr>
        <w:t>2023年6月8日支付项目资金120万元，2023年7月14日支付项目资金72万元，2023年11月15日支付项目资金12万元，2023年12月20日支付项目资金26.2958万元，共计支付230.2958万元。因项目审计结果为223.230946万元，其他建设费用为15.3813万元，结算后最终剩余项目资金0.387754万元。</w:t>
      </w:r>
    </w:p>
    <w:p>
      <w:pPr>
        <w:pStyle w:val="2"/>
        <w:numPr>
          <w:ilvl w:val="0"/>
          <w:numId w:val="1"/>
        </w:numPr>
        <w:ind w:left="0" w:leftChars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项目资金管理情况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2023年草堂镇桂兴村易地搬迁后续扶持扶贫车间加工配套项目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共计支出资金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230.2958万元</w:t>
      </w:r>
      <w:r>
        <w:rPr>
          <w:rFonts w:hint="eastAsia" w:cs="Times New Roman"/>
          <w:sz w:val="32"/>
          <w:szCs w:val="32"/>
          <w:lang w:val="en-US" w:eastAsia="zh-CN"/>
        </w:rPr>
        <w:t>，其中包括：项目设计费用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8.4376万元；项目设计图审查费用0.5万元；项目概审费用0.7728万元;项目监理费用4.58万元；项目施工费用216万元。草堂镇严格规范资金申报、拨付、支出、收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回等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流程，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项目资金管理情况良好。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default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2023年草堂镇桂兴村易地搬迁后续扶持扶贫车间加工配套项目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预算执行率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 w:bidi="ar-SA"/>
        </w:rPr>
        <w:t>96.36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%，执行率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 w:bidi="ar-SA"/>
        </w:rPr>
        <w:t>正常，其他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绩效目标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完成情况与预期一致。实施过程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中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县发展与改革委员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、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草堂镇人民政府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、项目监理定期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进行了督查检查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，严格按照项目绩效目标申报的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数量指标</w:t>
      </w:r>
      <w:r>
        <w:rPr>
          <w:rFonts w:hint="eastAsia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质量指标</w:t>
      </w:r>
      <w:r>
        <w:rPr>
          <w:rFonts w:hint="eastAsia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时效指标</w:t>
      </w:r>
      <w:r>
        <w:rPr>
          <w:rFonts w:hint="eastAsia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成本指标</w:t>
      </w: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>执行。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项目建成后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充分发挥了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经济效益</w:t>
      </w:r>
      <w:r>
        <w:rPr>
          <w:rFonts w:hint="eastAsia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社会效益</w:t>
      </w:r>
      <w:r>
        <w:rPr>
          <w:rFonts w:hint="eastAsia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可持续影响</w:t>
      </w:r>
      <w:r>
        <w:rPr>
          <w:rFonts w:hint="eastAsia" w:cs="Times New Roman"/>
          <w:sz w:val="32"/>
          <w:szCs w:val="32"/>
          <w:lang w:eastAsia="zh-CN"/>
        </w:rPr>
        <w:t>等效益指标，群众满意度较高。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数量指标：已按照项目建设内容完成新建车间附属设施一套，车间扩建200平方米，储存设备一套；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质量指标：项目（工程）验收合格率达到100%；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时效指标：项目（工程）完成及时率达到100%；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成本指标：项目支出资金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230.2958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万元，</w:t>
      </w:r>
      <w:r>
        <w:rPr>
          <w:rFonts w:hint="default" w:ascii="Arial" w:hAnsi="Arial" w:eastAsia="方正仿宋_GBK" w:cs="Arial"/>
          <w:color w:val="000000"/>
          <w:sz w:val="32"/>
          <w:szCs w:val="32"/>
          <w:lang w:val="en-US" w:eastAsia="zh-CN"/>
        </w:rPr>
        <w:t>≤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预期总投资239万元；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（2）效益情况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经济效益指标：项目建成后为周边农户提供多个就业务工岗位，可达到带动农户人均增收≥500元；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社会效益指标：可带动周边脱贫户、监测对象≥43人务工就业；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生态效益指标：无；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可持续影响指标：根据项目质检报告该项目使用年限预计在15年以上；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（3）满意度情况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color w:val="000000"/>
          <w:sz w:val="32"/>
          <w:szCs w:val="32"/>
          <w:lang w:val="en-US" w:eastAsia="zh-CN"/>
        </w:rPr>
        <w:t>对周边脱贫户、监测户就该项目建设进行满意度调查，满意度结果达100%，达到受益脱贫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人口满意度≥95%。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99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rPr>
          <w:rFonts w:hint="eastAsia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本项目总投资239万元，最终支出项目资金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238.612246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万元，项目预算执行率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 w:bidi="ar-SA"/>
        </w:rPr>
        <w:t>96.36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%，执行率未达100%。主要原因是项目实施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 w:bidi="ar-SA"/>
        </w:rPr>
        <w:t>完成后，审计结算周期过长，未及时申请拨付项目尾款，导致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资金使用情况相对总投资整体偏低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。今后要结合实际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 w:bidi="ar-SA"/>
        </w:rPr>
        <w:t>把握项目项目建设周期，及时申请拨付项目款项，确保预算执行率达到100%。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5"/>
        <w:jc w:val="left"/>
        <w:textAlignment w:val="baseline"/>
        <w:rPr>
          <w:rFonts w:hint="eastAsia" w:ascii="Times New Roman" w:hAnsi="Times New Roman" w:eastAsia="方正黑体_GBK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bCs/>
          <w:kern w:val="2"/>
          <w:sz w:val="32"/>
          <w:szCs w:val="32"/>
          <w:lang w:val="en-US" w:eastAsia="zh-CN" w:bidi="ar-SA"/>
        </w:rPr>
        <w:t>五、绩效自评结果拟应用和公开情况</w:t>
      </w:r>
    </w:p>
    <w:p>
      <w:pPr>
        <w:pStyle w:val="2"/>
        <w:ind w:firstLine="640" w:firstLineChars="200"/>
        <w:jc w:val="both"/>
        <w:rPr>
          <w:rFonts w:hint="eastAsia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通过对2023年草堂镇桂兴村易地搬迁后续扶持扶贫车间加工配套项目绩效自评，我镇初步认定该项目绩效完成情况较好，现将该项目绩效自评总结报告按照上级部门有关规定进行公开公示，接受群众监督。</w:t>
      </w:r>
    </w:p>
    <w:p>
      <w:pPr>
        <w:jc w:val="right"/>
        <w:rPr>
          <w:rFonts w:hint="eastAsia"/>
          <w:lang w:val="en-US" w:eastAsia="zh-CN"/>
        </w:rPr>
      </w:pPr>
    </w:p>
    <w:p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草堂镇人民政府</w:t>
      </w:r>
    </w:p>
    <w:p>
      <w:pPr>
        <w:pStyle w:val="2"/>
        <w:jc w:val="right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20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20"/>
          <w:lang w:val="en-US" w:eastAsia="zh-CN" w:bidi="ar-SA"/>
        </w:rPr>
        <w:t>202</w:t>
      </w:r>
      <w:r>
        <w:rPr>
          <w:rFonts w:hint="eastAsia" w:ascii="Times New Roman" w:cs="Times New Roman"/>
          <w:color w:val="auto"/>
          <w:kern w:val="2"/>
          <w:sz w:val="32"/>
          <w:szCs w:val="20"/>
          <w:lang w:val="en-US" w:eastAsia="zh-CN" w:bidi="ar-SA"/>
        </w:rPr>
        <w:t>4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20"/>
          <w:lang w:val="en-US" w:eastAsia="zh-CN" w:bidi="ar-SA"/>
        </w:rPr>
        <w:t>年</w:t>
      </w:r>
      <w:r>
        <w:rPr>
          <w:rFonts w:hint="eastAsia" w:ascii="Times New Roman" w:cs="Times New Roman"/>
          <w:color w:val="auto"/>
          <w:kern w:val="2"/>
          <w:sz w:val="32"/>
          <w:szCs w:val="20"/>
          <w:lang w:val="en-US" w:eastAsia="zh-CN" w:bidi="ar-SA"/>
        </w:rPr>
        <w:t>3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20"/>
          <w:lang w:val="en-US" w:eastAsia="zh-CN" w:bidi="ar-SA"/>
        </w:rPr>
        <w:t>月</w:t>
      </w:r>
      <w:r>
        <w:rPr>
          <w:rFonts w:hint="eastAsia" w:ascii="Times New Roman" w:cs="Times New Roman"/>
          <w:color w:val="auto"/>
          <w:kern w:val="2"/>
          <w:sz w:val="32"/>
          <w:szCs w:val="20"/>
          <w:lang w:val="en-US" w:eastAsia="zh-CN" w:bidi="ar-SA"/>
        </w:rPr>
        <w:t>2</w:t>
      </w:r>
      <w:bookmarkStart w:id="0" w:name="_GoBack"/>
      <w:bookmarkEnd w:id="0"/>
      <w:r>
        <w:rPr>
          <w:rFonts w:hint="eastAsia" w:ascii="Times New Roman" w:cs="Times New Roman"/>
          <w:color w:val="auto"/>
          <w:kern w:val="2"/>
          <w:sz w:val="32"/>
          <w:szCs w:val="20"/>
          <w:lang w:val="en-US" w:eastAsia="zh-CN" w:bidi="ar-SA"/>
        </w:rPr>
        <w:t>1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20"/>
          <w:lang w:val="en-US" w:eastAsia="zh-CN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4D6DD3"/>
    <w:multiLevelType w:val="singleLevel"/>
    <w:tmpl w:val="D84D6DD3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09D3DAB2"/>
    <w:multiLevelType w:val="singleLevel"/>
    <w:tmpl w:val="09D3DAB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MTA3OWYwYzJiM2E0OWYxOTE5YzVkMzQ1OTg0MmMifQ=="/>
  </w:docVars>
  <w:rsids>
    <w:rsidRoot w:val="23D5754D"/>
    <w:rsid w:val="07313E06"/>
    <w:rsid w:val="1A5068E5"/>
    <w:rsid w:val="1B7071CD"/>
    <w:rsid w:val="23D5754D"/>
    <w:rsid w:val="25E329EF"/>
    <w:rsid w:val="36FF3374"/>
    <w:rsid w:val="43EA6480"/>
    <w:rsid w:val="46B70AB3"/>
    <w:rsid w:val="479B3366"/>
    <w:rsid w:val="5203054B"/>
    <w:rsid w:val="58F35BDE"/>
    <w:rsid w:val="5E585DD2"/>
    <w:rsid w:val="5F455AC0"/>
    <w:rsid w:val="61013ADF"/>
    <w:rsid w:val="733A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1311</Words>
  <Characters>1483</Characters>
  <Lines>0</Lines>
  <Paragraphs>0</Paragraphs>
  <TotalTime>9</TotalTime>
  <ScaleCrop>false</ScaleCrop>
  <LinksUpToDate>false</LinksUpToDate>
  <CharactersWithSpaces>1484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2023-02-28T03:53:00Z</dcterms:created>
  <dc:creator>成某某</dc:creator>
  <cp:lastModifiedBy>成某某</cp:lastModifiedBy>
  <cp:lastPrinted>2024-01-30T03:38:00Z</cp:lastPrinted>
  <dcterms:modified xsi:type="dcterms:W3CDTF">2024-03-21T07:39:40Z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BDFB03E87C7B49978F0171B0E9C0C6AF</vt:lpwstr>
  </property>
</Properties>
</file>