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村（社区）服务群众专项经费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（一）县财政下达项目绩效目标情况。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奉节县财政局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2023年年度预算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，在下达资金预算时同步下达了绩效目标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，现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我们根据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下达的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绩效目标开展自评。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项目资金到位情况（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收到项目资金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共计到位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）；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项目资金执行情况（202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支付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万元，共计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支付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万元）；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项目资金管理情况（项目资金专款专用，无挪用、截留行为，资金拨付流程合规。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outlineLvl w:val="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  <w:lang w:eastAsia="zh-CN"/>
        </w:rPr>
        <w:t>（二）</w:t>
      </w:r>
      <w:r>
        <w:rPr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按时全面完成了村（社区）服务群众专项经费，保障14个村（社区）正常工作运行。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其中包含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12个行政村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，2个社区，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对于经费的发放准确率100%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经费发放的及时率100%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保障21个村（社区）工作正常运行，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ascii="Times New Roman" w:hAnsi="Times New Roman" w:eastAsia="仿宋_GB2312" w:cs="Times New Roman"/>
          <w:color w:val="000000"/>
          <w:szCs w:val="32"/>
        </w:rPr>
        <w:t>优</w:t>
      </w:r>
      <w:r>
        <w:rPr>
          <w:rFonts w:hint="eastAsia" w:ascii="Times New Roman" w:hAnsi="Times New Roman" w:eastAsia="仿宋_GB2312" w:cs="Times New Roman"/>
          <w:color w:val="000000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从自评整体结果分析，未偏离绩效目标。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</w:p>
    <w:p>
      <w:pPr>
        <w:ind w:firstLine="640" w:firstLineChars="200"/>
      </w:pPr>
    </w:p>
    <w:p>
      <w:pPr>
        <w:pStyle w:val="2"/>
      </w:pP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镇人民政府</w:t>
      </w:r>
    </w:p>
    <w:p>
      <w:pPr>
        <w:ind w:firstLine="5440" w:firstLineChars="1700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TM3ZWJkYThjYmI2MzUyZTcxNThiOWUwNTI0YmYifQ=="/>
  </w:docVars>
  <w:rsids>
    <w:rsidRoot w:val="602A1CF9"/>
    <w:rsid w:val="0FCB26C9"/>
    <w:rsid w:val="14304C1C"/>
    <w:rsid w:val="14D97074"/>
    <w:rsid w:val="16C33DB1"/>
    <w:rsid w:val="17CB7320"/>
    <w:rsid w:val="38AF0E95"/>
    <w:rsid w:val="558A2FCA"/>
    <w:rsid w:val="602A1CF9"/>
    <w:rsid w:val="683E63BF"/>
    <w:rsid w:val="77225323"/>
    <w:rsid w:val="7D93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794</Words>
  <Characters>917</Characters>
  <Lines>0</Lines>
  <Paragraphs>0</Paragraphs>
  <TotalTime>180</TotalTime>
  <ScaleCrop>false</ScaleCrop>
  <LinksUpToDate>false</LinksUpToDate>
  <CharactersWithSpaces>956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2023-02-28T03:12:00Z</dcterms:created>
  <dc:creator>Administrator</dc:creator>
  <cp:lastModifiedBy>Administrator</cp:lastModifiedBy>
  <dcterms:modified xsi:type="dcterms:W3CDTF">2024-03-21T04:25:59Z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D010D4E862074F118B932538D8CBA480_13</vt:lpwstr>
  </property>
</Properties>
</file>