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_GBK" w:eastAsia="方正小标宋_GBK" w:cs="方正小标宋_GBK"/>
          <w:sz w:val="36"/>
          <w:szCs w:val="36"/>
        </w:rPr>
      </w:pPr>
      <w:bookmarkStart w:id="1182" w:name="_GoBack"/>
      <w:bookmarkEnd w:id="1182"/>
    </w:p>
    <w:p>
      <w:pPr>
        <w:spacing w:line="594" w:lineRule="exact"/>
        <w:ind w:firstLine="0" w:firstLineChars="0"/>
        <w:jc w:val="center"/>
        <w:rPr>
          <w:rFonts w:ascii="方正小标宋_GBK" w:eastAsia="方正小标宋_GBK" w:cs="方正小标宋_GBK"/>
          <w:sz w:val="44"/>
          <w:szCs w:val="44"/>
        </w:rPr>
      </w:pPr>
      <w:r>
        <w:rPr>
          <w:rFonts w:hint="eastAsia" w:ascii="方正小标宋_GBK" w:eastAsia="方正小标宋_GBK" w:cs="方正小标宋_GBK"/>
          <w:sz w:val="44"/>
          <w:szCs w:val="44"/>
        </w:rPr>
        <w:t>奉节县生态文明建设示范县建设规划</w:t>
      </w:r>
    </w:p>
    <w:p>
      <w:pPr>
        <w:spacing w:line="594" w:lineRule="exact"/>
        <w:ind w:firstLine="0" w:firstLineChars="0"/>
        <w:jc w:val="center"/>
        <w:rPr>
          <w:rFonts w:ascii="方正小标宋_GBK" w:eastAsia="方正小标宋_GBK" w:cs="方正小标宋_GBK"/>
          <w:sz w:val="44"/>
          <w:szCs w:val="44"/>
        </w:rPr>
      </w:pPr>
      <w:r>
        <w:rPr>
          <w:rFonts w:hint="eastAsia" w:ascii="方正小标宋_GBK" w:eastAsia="方正小标宋_GBK" w:cs="方正小标宋_GBK"/>
          <w:sz w:val="44"/>
          <w:szCs w:val="44"/>
        </w:rPr>
        <w:t>（</w:t>
      </w:r>
      <w:r>
        <w:rPr>
          <w:rFonts w:ascii="方正小标宋_GBK" w:eastAsia="方正小标宋_GBK" w:cs="方正小标宋_GBK"/>
          <w:sz w:val="44"/>
          <w:szCs w:val="44"/>
        </w:rPr>
        <w:t>2022</w:t>
      </w:r>
      <w:r>
        <w:rPr>
          <w:rFonts w:hint="eastAsia" w:ascii="方正小标宋_GBK" w:eastAsia="方正小标宋_GBK" w:cs="方正小标宋_GBK"/>
          <w:sz w:val="44"/>
          <w:szCs w:val="44"/>
        </w:rPr>
        <w:t>—</w:t>
      </w:r>
      <w:r>
        <w:rPr>
          <w:rFonts w:ascii="方正小标宋_GBK" w:eastAsia="方正小标宋_GBK" w:cs="方正小标宋_GBK"/>
          <w:sz w:val="44"/>
          <w:szCs w:val="44"/>
        </w:rPr>
        <w:t>2030年）</w:t>
      </w:r>
    </w:p>
    <w:p>
      <w:pPr>
        <w:spacing w:line="594" w:lineRule="exact"/>
        <w:jc w:val="center"/>
        <w:rPr>
          <w:rFonts w:ascii="方正小标宋_GBK" w:eastAsia="方正小标宋_GBK" w:cs="方正小标宋_GBK"/>
          <w:sz w:val="36"/>
          <w:szCs w:val="36"/>
        </w:rPr>
      </w:pPr>
      <w:r>
        <w:rPr>
          <w:rFonts w:hint="eastAsia" w:ascii="方正小标宋_GBK" w:eastAsia="方正小标宋_GBK" w:cs="方正小标宋_GBK"/>
          <w:sz w:val="36"/>
          <w:szCs w:val="36"/>
        </w:rPr>
        <w:drawing>
          <wp:anchor distT="0" distB="0" distL="114300" distR="114300" simplePos="0" relativeHeight="251659264" behindDoc="0" locked="0" layoutInCell="1" allowOverlap="1">
            <wp:simplePos x="0" y="0"/>
            <wp:positionH relativeFrom="column">
              <wp:posOffset>-998855</wp:posOffset>
            </wp:positionH>
            <wp:positionV relativeFrom="paragraph">
              <wp:posOffset>304800</wp:posOffset>
            </wp:positionV>
            <wp:extent cx="7564120" cy="4976495"/>
            <wp:effectExtent l="0" t="0" r="0" b="0"/>
            <wp:wrapNone/>
            <wp:docPr id="1" name="图片 1" descr="奉节-白帝城·瞿塘峡5A级景区（红叶映夔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奉节-白帝城·瞿塘峡5A级景区（红叶映夔门）"/>
                    <pic:cNvPicPr>
                      <a:picLocks noChangeAspect="1"/>
                    </pic:cNvPicPr>
                  </pic:nvPicPr>
                  <pic:blipFill>
                    <a:blip r:embed="rId13"/>
                    <a:stretch>
                      <a:fillRect/>
                    </a:stretch>
                  </pic:blipFill>
                  <pic:spPr>
                    <a:xfrm>
                      <a:off x="0" y="0"/>
                      <a:ext cx="7564119" cy="4976495"/>
                    </a:xfrm>
                    <a:prstGeom prst="rect">
                      <a:avLst/>
                    </a:prstGeom>
                    <a:noFill/>
                    <a:ln w="9525" cap="flat" cmpd="sng">
                      <a:noFill/>
                      <a:prstDash val="solid"/>
                      <a:miter/>
                    </a:ln>
                  </pic:spPr>
                </pic:pic>
              </a:graphicData>
            </a:graphic>
          </wp:anchor>
        </w:drawing>
      </w:r>
    </w:p>
    <w:p>
      <w:pPr>
        <w:spacing w:line="594" w:lineRule="exact"/>
        <w:jc w:val="center"/>
        <w:rPr>
          <w:rFonts w:ascii="方正小标宋_GBK" w:eastAsia="方正小标宋_GBK" w:cs="方正小标宋_GBK"/>
          <w:sz w:val="36"/>
          <w:szCs w:val="36"/>
        </w:rPr>
      </w:pPr>
    </w:p>
    <w:p>
      <w:pPr>
        <w:spacing w:line="594" w:lineRule="exact"/>
        <w:jc w:val="center"/>
        <w:rPr>
          <w:rFonts w:ascii="方正小标宋_GBK" w:eastAsia="方正小标宋_GBK" w:cs="方正小标宋_GBK"/>
          <w:sz w:val="36"/>
          <w:szCs w:val="36"/>
        </w:rPr>
      </w:pPr>
    </w:p>
    <w:p>
      <w:pPr>
        <w:jc w:val="center"/>
        <w:rPr>
          <w:rFonts w:ascii="方正小标宋_GBK" w:eastAsia="方正小标宋_GBK" w:cs="方正小标宋_GBK"/>
          <w:sz w:val="36"/>
          <w:szCs w:val="36"/>
        </w:rPr>
      </w:pPr>
    </w:p>
    <w:p>
      <w:pPr>
        <w:spacing w:line="594" w:lineRule="exact"/>
        <w:jc w:val="center"/>
        <w:rPr>
          <w:rFonts w:ascii="方正小标宋_GBK" w:eastAsia="方正小标宋_GBK" w:cs="方正小标宋_GBK"/>
          <w:sz w:val="36"/>
          <w:szCs w:val="36"/>
        </w:rPr>
      </w:pPr>
    </w:p>
    <w:p>
      <w:pPr>
        <w:spacing w:line="594" w:lineRule="exact"/>
        <w:jc w:val="center"/>
        <w:rPr>
          <w:rFonts w:ascii="方正小标宋_GBK" w:eastAsia="方正小标宋_GBK" w:cs="方正小标宋_GBK"/>
          <w:sz w:val="36"/>
          <w:szCs w:val="36"/>
        </w:rPr>
      </w:pPr>
    </w:p>
    <w:p>
      <w:pPr>
        <w:spacing w:line="594" w:lineRule="exact"/>
        <w:jc w:val="center"/>
        <w:rPr>
          <w:rFonts w:ascii="方正小标宋_GBK" w:eastAsia="方正小标宋_GBK" w:cs="方正小标宋_GBK"/>
          <w:sz w:val="36"/>
          <w:szCs w:val="36"/>
        </w:rPr>
      </w:pPr>
    </w:p>
    <w:p>
      <w:pPr>
        <w:spacing w:line="594" w:lineRule="exact"/>
        <w:jc w:val="center"/>
        <w:rPr>
          <w:rFonts w:ascii="方正小标宋_GBK" w:eastAsia="方正小标宋_GBK" w:cs="方正小标宋_GBK"/>
          <w:sz w:val="36"/>
          <w:szCs w:val="36"/>
        </w:rPr>
      </w:pPr>
    </w:p>
    <w:p>
      <w:pPr>
        <w:spacing w:line="594" w:lineRule="exact"/>
        <w:jc w:val="center"/>
        <w:rPr>
          <w:rFonts w:ascii="方正小标宋_GBK" w:eastAsia="方正小标宋_GBK" w:cs="方正小标宋_GBK"/>
          <w:sz w:val="36"/>
          <w:szCs w:val="36"/>
        </w:rPr>
      </w:pPr>
    </w:p>
    <w:p>
      <w:pPr>
        <w:spacing w:line="594" w:lineRule="exact"/>
        <w:jc w:val="center"/>
        <w:rPr>
          <w:rFonts w:ascii="方正小标宋_GBK" w:eastAsia="方正小标宋_GBK" w:cs="方正小标宋_GBK"/>
          <w:sz w:val="36"/>
          <w:szCs w:val="36"/>
        </w:rPr>
      </w:pPr>
    </w:p>
    <w:p>
      <w:pPr>
        <w:spacing w:line="594" w:lineRule="exact"/>
        <w:jc w:val="center"/>
        <w:rPr>
          <w:rFonts w:ascii="方正小标宋_GBK" w:eastAsia="方正小标宋_GBK" w:cs="方正小标宋_GBK"/>
          <w:sz w:val="36"/>
          <w:szCs w:val="36"/>
        </w:rPr>
      </w:pPr>
    </w:p>
    <w:p>
      <w:pPr>
        <w:spacing w:line="594" w:lineRule="exact"/>
        <w:jc w:val="center"/>
        <w:rPr>
          <w:rFonts w:ascii="方正小标宋_GBK" w:eastAsia="方正小标宋_GBK" w:cs="方正小标宋_GBK"/>
          <w:sz w:val="36"/>
          <w:szCs w:val="36"/>
        </w:rPr>
      </w:pPr>
    </w:p>
    <w:p>
      <w:pPr>
        <w:spacing w:line="594" w:lineRule="exact"/>
        <w:jc w:val="center"/>
        <w:rPr>
          <w:rFonts w:ascii="方正小标宋_GBK" w:eastAsia="方正小标宋_GBK" w:cs="方正小标宋_GBK"/>
          <w:sz w:val="36"/>
          <w:szCs w:val="36"/>
        </w:rPr>
      </w:pPr>
    </w:p>
    <w:p>
      <w:pPr>
        <w:spacing w:line="594" w:lineRule="exact"/>
        <w:ind w:firstLine="0" w:firstLineChars="0"/>
        <w:rPr>
          <w:rFonts w:ascii="方正小标宋_GBK" w:eastAsia="方正小标宋_GBK" w:cs="方正小标宋_GBK"/>
          <w:sz w:val="36"/>
          <w:szCs w:val="36"/>
        </w:rPr>
      </w:pPr>
    </w:p>
    <w:p>
      <w:pPr>
        <w:spacing w:line="594" w:lineRule="exact"/>
        <w:jc w:val="center"/>
        <w:rPr>
          <w:rFonts w:ascii="方正楷体_GBK" w:eastAsia="方正楷体_GBK" w:cs="方正小标宋_GBK"/>
          <w:sz w:val="36"/>
          <w:szCs w:val="36"/>
        </w:rPr>
      </w:pPr>
      <w:r>
        <w:rPr>
          <w:rFonts w:hint="eastAsia" w:ascii="方正楷体_GBK" w:eastAsia="方正楷体_GBK" w:cs="方正小标宋_GBK"/>
          <w:sz w:val="36"/>
          <w:szCs w:val="36"/>
        </w:rPr>
        <w:t>奉节县人民政府</w:t>
      </w:r>
    </w:p>
    <w:p>
      <w:pPr>
        <w:spacing w:line="594" w:lineRule="exact"/>
        <w:jc w:val="center"/>
        <w:rPr>
          <w:rFonts w:ascii="方正楷体_GBK" w:eastAsia="方正楷体_GBK" w:cs="方正小标宋_GBK"/>
          <w:sz w:val="36"/>
          <w:szCs w:val="36"/>
        </w:rPr>
        <w:sectPr>
          <w:pgSz w:w="11906" w:h="16838"/>
          <w:pgMar w:top="2098" w:right="1474" w:bottom="1984" w:left="1587" w:header="851" w:footer="992" w:gutter="0"/>
          <w:cols w:space="720" w:num="1"/>
          <w:docGrid w:type="lines" w:linePitch="439" w:charSpace="0"/>
        </w:sectPr>
      </w:pPr>
      <w:r>
        <w:rPr>
          <w:rFonts w:hint="eastAsia" w:ascii="方正楷体_GBK" w:eastAsia="方正楷体_GBK" w:cs="方正小标宋_GBK"/>
          <w:sz w:val="36"/>
          <w:szCs w:val="36"/>
        </w:rPr>
        <w:t>二〇二二年十月</w:t>
      </w:r>
    </w:p>
    <w:p>
      <w:pPr>
        <w:pStyle w:val="34"/>
        <w:sectPr>
          <w:pgSz w:w="11906" w:h="16838"/>
          <w:pgMar w:top="2098" w:right="1474" w:bottom="1984" w:left="1587" w:header="851" w:footer="992" w:gutter="0"/>
          <w:cols w:space="720" w:num="1"/>
          <w:docGrid w:type="lines" w:linePitch="439" w:charSpace="0"/>
        </w:sectPr>
      </w:pPr>
    </w:p>
    <w:p>
      <w:pPr>
        <w:pStyle w:val="4"/>
        <w:numPr>
          <w:ilvl w:val="0"/>
          <w:numId w:val="0"/>
        </w:numPr>
        <w:spacing w:line="594" w:lineRule="exact"/>
        <w:ind w:left="432"/>
        <w:rPr>
          <w:sz w:val="36"/>
          <w:szCs w:val="48"/>
        </w:rPr>
      </w:pPr>
      <w:bookmarkStart w:id="0" w:name="_Toc30358"/>
      <w:bookmarkStart w:id="1" w:name="_Toc17091"/>
      <w:bookmarkStart w:id="2" w:name="_Toc1140"/>
      <w:bookmarkStart w:id="3" w:name="_Toc29006"/>
      <w:bookmarkStart w:id="4" w:name="_Toc28621"/>
      <w:bookmarkStart w:id="5" w:name="_Toc14457"/>
      <w:bookmarkStart w:id="6" w:name="_Toc15992"/>
      <w:bookmarkStart w:id="7" w:name="_Toc32389"/>
      <w:bookmarkStart w:id="8" w:name="_Toc5979"/>
      <w:r>
        <w:rPr>
          <w:rFonts w:hint="eastAsia"/>
          <w:sz w:val="36"/>
          <w:szCs w:val="48"/>
        </w:rPr>
        <w:t>前 言</w:t>
      </w:r>
      <w:bookmarkEnd w:id="0"/>
      <w:bookmarkEnd w:id="1"/>
      <w:bookmarkEnd w:id="2"/>
      <w:bookmarkEnd w:id="3"/>
      <w:bookmarkEnd w:id="4"/>
      <w:bookmarkEnd w:id="5"/>
      <w:bookmarkEnd w:id="6"/>
      <w:bookmarkEnd w:id="7"/>
      <w:bookmarkEnd w:id="8"/>
    </w:p>
    <w:p/>
    <w:p>
      <w:pPr>
        <w:spacing w:line="594" w:lineRule="exact"/>
        <w:rPr>
          <w:rFonts w:ascii="方正仿宋_GBK" w:cs="方正仿宋_GBK"/>
          <w:szCs w:val="32"/>
          <w:shd w:val="clear" w:color="auto" w:fill="FFFFFF"/>
        </w:rPr>
      </w:pPr>
      <w:r>
        <w:rPr>
          <w:rFonts w:hint="eastAsia" w:ascii="方正仿宋_GBK" w:cs="方正仿宋_GBK"/>
          <w:szCs w:val="32"/>
          <w:shd w:val="clear" w:color="auto" w:fill="FFFFFF"/>
        </w:rPr>
        <w:t>党的十八大以来，以习近平同志为核心的党中央把生态文明建设摆在治国理政的突出位置，谋划开展了一系列根本性、开创性、长远性工作，推动生态文明建设从认识到实践发生了历史性、 转折性、全局性变化，探索形成了习近平生态文明思想。习近平生态文明思想，作为习近平新时代中国特色社会主义思想的重要内容，为生态文明建设指明了方向、目标、途径和原则。“生态文明建设示范区”建设是践行习近平生态文明思想、统筹推进“五位一体”总体布局，加快构建生态文明体系的重要平台和载体。</w:t>
      </w:r>
    </w:p>
    <w:p>
      <w:pPr>
        <w:spacing w:line="594" w:lineRule="exact"/>
        <w:rPr>
          <w:rFonts w:ascii="方正仿宋_GBK" w:cs="方正仿宋_GBK"/>
          <w:szCs w:val="32"/>
          <w:shd w:val="clear" w:color="auto" w:fill="FFFFFF"/>
        </w:rPr>
      </w:pPr>
      <w:r>
        <w:rPr>
          <w:rFonts w:hint="eastAsia" w:ascii="方正仿宋_GBK" w:cs="方正仿宋_GBK"/>
          <w:szCs w:val="32"/>
          <w:shd w:val="clear" w:color="auto" w:fill="FFFFFF"/>
        </w:rPr>
        <w:t>奉节县位于长江三峡库区腹心，是重庆市的东大门。奉节历史悠久，古称夔州，因“奉公守节”而得名，距今有</w:t>
      </w:r>
      <w:r>
        <w:rPr>
          <w:rFonts w:cs="Times New Roman"/>
          <w:szCs w:val="32"/>
          <w:shd w:val="clear" w:color="auto" w:fill="FFFFFF"/>
        </w:rPr>
        <w:t>23</w:t>
      </w:r>
      <w:r>
        <w:rPr>
          <w:rFonts w:hint="eastAsia" w:cs="Times New Roman"/>
          <w:szCs w:val="32"/>
          <w:shd w:val="clear" w:color="auto" w:fill="FFFFFF"/>
        </w:rPr>
        <w:t>0</w:t>
      </w:r>
      <w:r>
        <w:rPr>
          <w:rFonts w:cs="Times New Roman"/>
          <w:szCs w:val="32"/>
          <w:shd w:val="clear" w:color="auto" w:fill="FFFFFF"/>
        </w:rPr>
        <w:t>0余</w:t>
      </w:r>
      <w:r>
        <w:rPr>
          <w:rFonts w:hint="eastAsia" w:ascii="方正仿宋_GBK" w:cs="方正仿宋_GBK"/>
          <w:szCs w:val="32"/>
          <w:shd w:val="clear" w:color="auto" w:fill="FFFFFF"/>
        </w:rPr>
        <w:t>年的建制史，是中国最古老的县城之一</w:t>
      </w:r>
      <w:r>
        <w:rPr>
          <w:rFonts w:ascii="方正仿宋_GBK" w:cs="方正仿宋_GBK"/>
          <w:szCs w:val="32"/>
          <w:shd w:val="clear" w:color="auto" w:fill="FFFFFF"/>
        </w:rPr>
        <w:t>，</w:t>
      </w:r>
      <w:r>
        <w:rPr>
          <w:rFonts w:hint="eastAsia" w:ascii="方正仿宋_GBK" w:cs="方正仿宋_GBK"/>
          <w:szCs w:val="32"/>
          <w:shd w:val="clear" w:color="auto" w:fill="FFFFFF"/>
        </w:rPr>
        <w:t>县城在历史上长期为郡、州、府治地，是历代渝东政治、经济、军事、文化中心。奉节资源丰富，属国家重点生态功能区，拥有“一江碧水、两岸青山”</w:t>
      </w:r>
      <w:r>
        <w:rPr>
          <w:rFonts w:hint="eastAsia" w:cs="Times New Roman"/>
          <w:szCs w:val="32"/>
          <w:shd w:val="clear" w:color="auto" w:fill="FFFFFF"/>
        </w:rPr>
        <w:t>，</w:t>
      </w:r>
      <w:r>
        <w:rPr>
          <w:rFonts w:hint="eastAsia" w:ascii="方正仿宋_GBK" w:cs="方正仿宋_GBK"/>
          <w:szCs w:val="32"/>
          <w:shd w:val="clear" w:color="auto" w:fill="FFFFFF"/>
        </w:rPr>
        <w:t>动植物种类众多，生物多样性丰富。奉节景观秀丽，有雄甲天下的长江三峡夔门，第五套人民</w:t>
      </w:r>
      <w:r>
        <w:rPr>
          <w:rFonts w:cs="Times New Roman"/>
          <w:szCs w:val="32"/>
          <w:shd w:val="clear" w:color="auto" w:fill="FFFFFF"/>
        </w:rPr>
        <w:t>币10元</w:t>
      </w:r>
      <w:r>
        <w:rPr>
          <w:rFonts w:hint="eastAsia" w:ascii="方正仿宋_GBK" w:cs="方正仿宋_GBK"/>
          <w:szCs w:val="32"/>
          <w:shd w:val="clear" w:color="auto" w:fill="FFFFFF"/>
        </w:rPr>
        <w:t>面额纸币的背景图案取于这里，有世界之最的小寨天坑及天井峡地缝，有著名的瞿塘峡摩岩石刻，</w:t>
      </w:r>
      <w:r>
        <w:rPr>
          <w:rFonts w:hint="eastAsia" w:cs="Times New Roman"/>
          <w:szCs w:val="32"/>
          <w:shd w:val="clear" w:color="auto" w:fill="FFFFFF"/>
        </w:rPr>
        <w:t>有</w:t>
      </w:r>
      <w:r>
        <w:rPr>
          <w:rFonts w:cs="Times New Roman"/>
          <w:szCs w:val="32"/>
          <w:shd w:val="clear" w:color="auto" w:fill="FFFFFF"/>
        </w:rPr>
        <w:t>250万年前的古象化石博物馆，有永安宫、八阵图等三国文化为代表的历史遗迹，有长江三峡</w:t>
      </w:r>
      <w:r>
        <w:rPr>
          <w:rFonts w:hint="eastAsia" w:ascii="方正仿宋_GBK" w:cs="方正仿宋_GBK"/>
          <w:szCs w:val="32"/>
          <w:shd w:val="clear" w:color="auto" w:fill="FFFFFF"/>
        </w:rPr>
        <w:t>“高峡平湖”壮丽景观。</w:t>
      </w:r>
    </w:p>
    <w:p>
      <w:pPr>
        <w:spacing w:line="594" w:lineRule="exact"/>
        <w:rPr>
          <w:rFonts w:ascii="方正仿宋_GBK" w:cs="方正仿宋_GBK"/>
          <w:szCs w:val="32"/>
          <w:shd w:val="clear" w:color="auto" w:fill="FFFFFF"/>
        </w:rPr>
      </w:pPr>
      <w:r>
        <w:rPr>
          <w:rFonts w:hint="eastAsia"/>
        </w:rPr>
        <w:t>近年来，奉节县深入贯彻落实习近平生态文明思想，认真贯彻党的十九大和十九届历次全会精神，全面落实市委市政府决策部署，坚持“共抓大保护，不搞大开发”方针，践行“绿水青山就是金山银山”的发展理念，</w:t>
      </w:r>
      <w:r>
        <w:rPr>
          <w:rFonts w:hint="eastAsia" w:ascii="方正仿宋_GBK" w:cs="方正仿宋_GBK"/>
          <w:szCs w:val="32"/>
          <w:shd w:val="clear" w:color="auto" w:fill="FFFFFF"/>
        </w:rPr>
        <w:t>先后获得“国家园林县城”“国家卫生县城”“国家全域旅游示范区”“中国天然氧吧”“中国气候宜居县”“中国最美山水生态文化旅游名城”</w:t>
      </w:r>
      <w:r>
        <w:rPr>
          <w:rFonts w:hint="eastAsia"/>
        </w:rPr>
        <w:t>、</w:t>
      </w:r>
      <w:r>
        <w:rPr>
          <w:rFonts w:hint="eastAsia" w:ascii="方正仿宋_GBK" w:cs="方正仿宋_GBK"/>
          <w:szCs w:val="32"/>
          <w:shd w:val="clear" w:color="auto" w:fill="FFFFFF"/>
        </w:rPr>
        <w:t>首批国家创新型县等称号。</w:t>
      </w:r>
    </w:p>
    <w:p>
      <w:pPr>
        <w:spacing w:line="594" w:lineRule="exact"/>
      </w:pPr>
      <w:r>
        <w:rPr>
          <w:rFonts w:hint="eastAsia"/>
        </w:rPr>
        <w:t>奉节县始终把修复长江生态环境摆在压倒性位置，大力实施生态优先、绿色发展战略，科学、有序、强力推动污染防治攻坚战工作，深入实施环保“五大行动”，持续深化河长制，着力修补长江两岸“天窗、断档”，纵深推进“绿满夔州·花漾奉节”。2021年，</w:t>
      </w:r>
      <w:r>
        <w:t>全县</w:t>
      </w:r>
      <w:r>
        <w:rPr>
          <w:rFonts w:hint="eastAsia"/>
        </w:rPr>
        <w:t>空气优良天数达到350天，水环境质量持续向好，饮用水水源地水质达到100%，森林覆盖率从2015年的48%提高到63.4%，生态文明建设示范县建设基础扎实。</w:t>
      </w:r>
    </w:p>
    <w:p>
      <w:pPr>
        <w:spacing w:line="594" w:lineRule="exact"/>
        <w:rPr>
          <w:rFonts w:hint="eastAsia" w:cs="Times New Roman"/>
          <w:szCs w:val="32"/>
          <w:shd w:val="clear" w:color="auto" w:fill="FFFFFF"/>
        </w:rPr>
        <w:sectPr>
          <w:footerReference r:id="rId5" w:type="default"/>
          <w:pgSz w:w="11906" w:h="16838"/>
          <w:pgMar w:top="2098" w:right="1474" w:bottom="1984" w:left="1587" w:header="851" w:footer="1474" w:gutter="0"/>
          <w:pgNumType w:fmt="lowerRoman" w:start="1"/>
          <w:cols w:space="720" w:num="1"/>
          <w:docGrid w:type="lines" w:linePitch="439" w:charSpace="0"/>
        </w:sectPr>
      </w:pPr>
      <w:r>
        <w:rPr>
          <w:rFonts w:hint="eastAsia" w:ascii="方正仿宋_GBK" w:cs="方正仿宋_GBK"/>
          <w:szCs w:val="32"/>
          <w:shd w:val="clear" w:color="auto" w:fill="FFFFFF"/>
        </w:rPr>
        <w:t>为扎实推进生态文明建设，全面落实《奉节县国民经济和社会发展第十四个五年规划和二〇三五年远景目标纲要》，围绕全县“</w:t>
      </w:r>
      <w:r>
        <w:rPr>
          <w:rFonts w:cs="Times New Roman"/>
          <w:szCs w:val="32"/>
          <w:shd w:val="clear" w:color="auto" w:fill="FFFFFF"/>
        </w:rPr>
        <w:t>1239</w:t>
      </w:r>
      <w:r>
        <w:rPr>
          <w:rFonts w:hint="eastAsia" w:ascii="方正仿宋_GBK" w:cs="方正仿宋_GBK"/>
          <w:szCs w:val="32"/>
          <w:shd w:val="clear" w:color="auto" w:fill="FFFFFF"/>
        </w:rPr>
        <w:t>”发展思路，有序推进奉节县国、市两级生态文明示范县建设工作，根据《生态环境部关于印发&lt;国家生态文明建设示范市县建设指标&gt;&lt;国家生态文明建设示范市县管理规程&gt;和&lt;“绿水青山就是金山银山”实践创新基地建设管理规程（试行）&gt;的通知》（环生态〔</w:t>
      </w:r>
      <w:r>
        <w:rPr>
          <w:rFonts w:cs="Times New Roman"/>
          <w:szCs w:val="32"/>
          <w:shd w:val="clear" w:color="auto" w:fill="FFFFFF"/>
        </w:rPr>
        <w:t>2019</w:t>
      </w:r>
      <w:r>
        <w:rPr>
          <w:rFonts w:hint="eastAsia" w:ascii="方正仿宋_GBK" w:cs="方正仿宋_GBK"/>
          <w:szCs w:val="32"/>
          <w:shd w:val="clear" w:color="auto" w:fill="FFFFFF"/>
        </w:rPr>
        <w:t>〕</w:t>
      </w:r>
      <w:r>
        <w:rPr>
          <w:rFonts w:cs="Times New Roman"/>
          <w:szCs w:val="32"/>
          <w:shd w:val="clear" w:color="auto" w:fill="FFFFFF"/>
        </w:rPr>
        <w:t>76</w:t>
      </w:r>
      <w:r>
        <w:rPr>
          <w:rFonts w:hint="eastAsia" w:ascii="方正仿宋_GBK" w:cs="方正仿宋_GBK"/>
          <w:szCs w:val="32"/>
          <w:shd w:val="clear" w:color="auto" w:fill="FFFFFF"/>
        </w:rPr>
        <w:t>号）、《重庆市生态环境局办公室关于印发&lt;重庆市生态文明建设示范区县管理规程及建设指标&gt;等三项制度的通知》（渝环办〔</w:t>
      </w:r>
      <w:r>
        <w:rPr>
          <w:rFonts w:hint="eastAsia" w:cs="Times New Roman"/>
          <w:szCs w:val="32"/>
          <w:shd w:val="clear" w:color="auto" w:fill="FFFFFF"/>
        </w:rPr>
        <w:t>2020</w:t>
      </w:r>
      <w:r>
        <w:rPr>
          <w:rFonts w:hint="eastAsia" w:ascii="方正仿宋_GBK" w:cs="方正仿宋_GBK"/>
          <w:szCs w:val="32"/>
          <w:shd w:val="clear" w:color="auto" w:fill="FFFFFF"/>
        </w:rPr>
        <w:t>〕</w:t>
      </w:r>
      <w:r>
        <w:rPr>
          <w:rFonts w:hint="eastAsia" w:cs="Times New Roman"/>
          <w:szCs w:val="32"/>
          <w:shd w:val="clear" w:color="auto" w:fill="FFFFFF"/>
        </w:rPr>
        <w:t>8</w:t>
      </w:r>
      <w:r>
        <w:rPr>
          <w:rFonts w:hint="eastAsia" w:ascii="方正仿宋_GBK" w:cs="方正仿宋_GBK"/>
          <w:szCs w:val="32"/>
          <w:shd w:val="clear" w:color="auto" w:fill="FFFFFF"/>
        </w:rPr>
        <w:t>号）等文件要求，制定本规划，规划基准年为</w:t>
      </w:r>
      <w:r>
        <w:rPr>
          <w:rFonts w:cs="Times New Roman"/>
          <w:szCs w:val="32"/>
          <w:shd w:val="clear" w:color="auto" w:fill="FFFFFF"/>
        </w:rPr>
        <w:t>2021年，规划期为2022-2030年。</w:t>
      </w:r>
    </w:p>
    <w:p>
      <w:pPr>
        <w:ind w:firstLine="0" w:firstLineChars="0"/>
        <w:jc w:val="center"/>
        <w:rPr>
          <w:rFonts w:ascii="方正小标宋_GBK" w:eastAsia="方正小标宋_GBK" w:cs="方正小标宋_GBK"/>
          <w:sz w:val="36"/>
          <w:szCs w:val="36"/>
        </w:rPr>
      </w:pPr>
      <w:r>
        <w:rPr>
          <w:rFonts w:hint="eastAsia" w:ascii="方正小标宋_GBK" w:eastAsia="方正小标宋_GBK" w:cs="方正小标宋_GBK"/>
          <w:sz w:val="36"/>
          <w:szCs w:val="36"/>
        </w:rPr>
        <w:t>目录</w:t>
      </w:r>
    </w:p>
    <w:p>
      <w:pPr>
        <w:spacing w:line="594" w:lineRule="exact"/>
      </w:pPr>
    </w:p>
    <w:p>
      <w:pPr>
        <w:pStyle w:val="21"/>
        <w:tabs>
          <w:tab w:val="right" w:leader="dot" w:pos="8845"/>
        </w:tabs>
      </w:pPr>
      <w:r>
        <w:rPr>
          <w:rFonts w:hint="eastAsia" w:eastAsia="方正楷体_GBK"/>
        </w:rPr>
        <w:fldChar w:fldCharType="begin"/>
      </w:r>
      <w:r>
        <w:rPr>
          <w:rFonts w:hint="eastAsia" w:eastAsia="方正楷体_GBK"/>
        </w:rPr>
        <w:instrText xml:space="preserve">TOC \o "1-3" \h \u </w:instrText>
      </w:r>
      <w:r>
        <w:rPr>
          <w:rFonts w:hint="eastAsia" w:eastAsia="方正楷体_GBK"/>
        </w:rPr>
        <w:fldChar w:fldCharType="separate"/>
      </w:r>
      <w:r>
        <w:fldChar w:fldCharType="begin"/>
      </w:r>
      <w:r>
        <w:instrText xml:space="preserve">Hyperlink \l "_Toc30358"</w:instrText>
      </w:r>
      <w:r>
        <w:fldChar w:fldCharType="separate"/>
      </w:r>
      <w:r>
        <w:rPr>
          <w:rFonts w:hint="eastAsia"/>
          <w:szCs w:val="48"/>
        </w:rPr>
        <w:t>前 言</w:t>
      </w:r>
      <w:r>
        <w:tab/>
      </w:r>
      <w:r>
        <w:fldChar w:fldCharType="begin"/>
      </w:r>
      <w:r>
        <w:instrText xml:space="preserve"> PAGEREF _Toc30358 \h </w:instrText>
      </w:r>
      <w:r>
        <w:fldChar w:fldCharType="separate"/>
      </w:r>
      <w:r>
        <w:t>i</w:t>
      </w:r>
      <w:r>
        <w:fldChar w:fldCharType="end"/>
      </w:r>
      <w:r>
        <w:fldChar w:fldCharType="end"/>
      </w:r>
    </w:p>
    <w:p>
      <w:pPr>
        <w:pStyle w:val="21"/>
        <w:tabs>
          <w:tab w:val="right" w:leader="dot" w:pos="8845"/>
        </w:tabs>
      </w:pPr>
      <w:r>
        <w:fldChar w:fldCharType="begin"/>
      </w:r>
      <w:r>
        <w:instrText xml:space="preserve">Hyperlink \l "_Toc12737"</w:instrText>
      </w:r>
      <w:r>
        <w:fldChar w:fldCharType="separate"/>
      </w:r>
      <w:r>
        <w:rPr>
          <w:rFonts w:hint="eastAsia" w:ascii="宋体" w:hAnsi="宋体" w:cs="宋体"/>
          <w:szCs w:val="32"/>
        </w:rPr>
        <w:t xml:space="preserve">第一章 </w:t>
      </w:r>
      <w:r>
        <w:rPr>
          <w:rFonts w:hint="eastAsia"/>
        </w:rPr>
        <w:t>建设</w:t>
      </w:r>
      <w:r>
        <w:t>基础及形势</w:t>
      </w:r>
      <w:r>
        <w:rPr>
          <w:rFonts w:hint="eastAsia"/>
        </w:rPr>
        <w:t>分析</w:t>
      </w:r>
      <w:r>
        <w:tab/>
      </w:r>
      <w:r>
        <w:fldChar w:fldCharType="begin"/>
      </w:r>
      <w:r>
        <w:instrText xml:space="preserve"> PAGEREF _Toc12737 \h </w:instrText>
      </w:r>
      <w:r>
        <w:fldChar w:fldCharType="separate"/>
      </w:r>
      <w:r>
        <w:t>1</w:t>
      </w:r>
      <w:r>
        <w:fldChar w:fldCharType="end"/>
      </w:r>
      <w:r>
        <w:fldChar w:fldCharType="end"/>
      </w:r>
    </w:p>
    <w:p>
      <w:pPr>
        <w:pStyle w:val="24"/>
        <w:tabs>
          <w:tab w:val="right" w:leader="dot" w:pos="8845"/>
        </w:tabs>
      </w:pPr>
      <w:r>
        <w:fldChar w:fldCharType="begin"/>
      </w:r>
      <w:r>
        <w:instrText xml:space="preserve">Hyperlink \l "_Toc2679"</w:instrText>
      </w:r>
      <w:r>
        <w:fldChar w:fldCharType="separate"/>
      </w:r>
      <w:r>
        <w:rPr>
          <w:rFonts w:hint="eastAsia" w:ascii="宋体" w:hAnsi="宋体" w:cs="宋体"/>
        </w:rPr>
        <w:t xml:space="preserve">第一节 </w:t>
      </w:r>
      <w:r>
        <w:rPr>
          <w:rFonts w:hint="eastAsia"/>
        </w:rPr>
        <w:t>区域特征</w:t>
      </w:r>
      <w:r>
        <w:tab/>
      </w:r>
      <w:r>
        <w:fldChar w:fldCharType="begin"/>
      </w:r>
      <w:r>
        <w:instrText xml:space="preserve"> PAGEREF _Toc2679 \h </w:instrText>
      </w:r>
      <w:r>
        <w:fldChar w:fldCharType="separate"/>
      </w:r>
      <w:r>
        <w:t>1</w:t>
      </w:r>
      <w:r>
        <w:fldChar w:fldCharType="end"/>
      </w:r>
      <w:r>
        <w:fldChar w:fldCharType="end"/>
      </w:r>
    </w:p>
    <w:p>
      <w:pPr>
        <w:pStyle w:val="24"/>
        <w:tabs>
          <w:tab w:val="right" w:leader="dot" w:pos="8845"/>
        </w:tabs>
      </w:pPr>
      <w:r>
        <w:fldChar w:fldCharType="begin"/>
      </w:r>
      <w:r>
        <w:instrText xml:space="preserve">Hyperlink \l "_Toc18143"</w:instrText>
      </w:r>
      <w:r>
        <w:fldChar w:fldCharType="separate"/>
      </w:r>
      <w:r>
        <w:rPr>
          <w:rFonts w:hint="eastAsia" w:ascii="宋体" w:hAnsi="宋体" w:cs="宋体"/>
        </w:rPr>
        <w:t xml:space="preserve">第二节 </w:t>
      </w:r>
      <w:r>
        <w:rPr>
          <w:rFonts w:hint="eastAsia"/>
        </w:rPr>
        <w:t>工作基础</w:t>
      </w:r>
      <w:r>
        <w:tab/>
      </w:r>
      <w:r>
        <w:fldChar w:fldCharType="begin"/>
      </w:r>
      <w:r>
        <w:instrText xml:space="preserve"> PAGEREF _Toc18143 \h </w:instrText>
      </w:r>
      <w:r>
        <w:fldChar w:fldCharType="separate"/>
      </w:r>
      <w:r>
        <w:t>6</w:t>
      </w:r>
      <w:r>
        <w:fldChar w:fldCharType="end"/>
      </w:r>
      <w:r>
        <w:fldChar w:fldCharType="end"/>
      </w:r>
    </w:p>
    <w:p>
      <w:pPr>
        <w:pStyle w:val="24"/>
        <w:tabs>
          <w:tab w:val="right" w:leader="dot" w:pos="8845"/>
        </w:tabs>
      </w:pPr>
      <w:r>
        <w:fldChar w:fldCharType="begin"/>
      </w:r>
      <w:r>
        <w:instrText xml:space="preserve">Hyperlink \l "_Toc20092"</w:instrText>
      </w:r>
      <w:r>
        <w:fldChar w:fldCharType="separate"/>
      </w:r>
      <w:r>
        <w:rPr>
          <w:rFonts w:hint="eastAsia" w:ascii="宋体" w:hAnsi="宋体" w:cs="宋体"/>
        </w:rPr>
        <w:t xml:space="preserve">第三节 </w:t>
      </w:r>
      <w:r>
        <w:rPr>
          <w:rFonts w:hint="eastAsia"/>
        </w:rPr>
        <w:t>迎来的机遇</w:t>
      </w:r>
      <w:r>
        <w:tab/>
      </w:r>
      <w:r>
        <w:fldChar w:fldCharType="begin"/>
      </w:r>
      <w:r>
        <w:instrText xml:space="preserve"> PAGEREF _Toc20092 \h </w:instrText>
      </w:r>
      <w:r>
        <w:fldChar w:fldCharType="separate"/>
      </w:r>
      <w:r>
        <w:t>12</w:t>
      </w:r>
      <w:r>
        <w:fldChar w:fldCharType="end"/>
      </w:r>
      <w:r>
        <w:fldChar w:fldCharType="end"/>
      </w:r>
    </w:p>
    <w:p>
      <w:pPr>
        <w:pStyle w:val="24"/>
        <w:tabs>
          <w:tab w:val="right" w:leader="dot" w:pos="8845"/>
        </w:tabs>
      </w:pPr>
      <w:r>
        <w:fldChar w:fldCharType="begin"/>
      </w:r>
      <w:r>
        <w:instrText xml:space="preserve">Hyperlink \l "_Toc4056"</w:instrText>
      </w:r>
      <w:r>
        <w:fldChar w:fldCharType="separate"/>
      </w:r>
      <w:r>
        <w:rPr>
          <w:rFonts w:hint="eastAsia" w:ascii="宋体" w:hAnsi="宋体" w:cs="宋体"/>
        </w:rPr>
        <w:t xml:space="preserve">第四节 </w:t>
      </w:r>
      <w:r>
        <w:rPr>
          <w:rFonts w:hint="eastAsia"/>
        </w:rPr>
        <w:t>问题与挑战</w:t>
      </w:r>
      <w:r>
        <w:tab/>
      </w:r>
      <w:r>
        <w:fldChar w:fldCharType="begin"/>
      </w:r>
      <w:r>
        <w:instrText xml:space="preserve"> PAGEREF _Toc4056 \h </w:instrText>
      </w:r>
      <w:r>
        <w:fldChar w:fldCharType="separate"/>
      </w:r>
      <w:r>
        <w:t>15</w:t>
      </w:r>
      <w:r>
        <w:fldChar w:fldCharType="end"/>
      </w:r>
      <w:r>
        <w:fldChar w:fldCharType="end"/>
      </w:r>
    </w:p>
    <w:p>
      <w:pPr>
        <w:pStyle w:val="21"/>
        <w:tabs>
          <w:tab w:val="right" w:leader="dot" w:pos="8845"/>
        </w:tabs>
      </w:pPr>
      <w:r>
        <w:fldChar w:fldCharType="begin"/>
      </w:r>
      <w:r>
        <w:instrText xml:space="preserve">Hyperlink \l "_Toc22297"</w:instrText>
      </w:r>
      <w:r>
        <w:fldChar w:fldCharType="separate"/>
      </w:r>
      <w:r>
        <w:rPr>
          <w:rFonts w:hint="eastAsia" w:ascii="宋体" w:hAnsi="宋体" w:cs="宋体"/>
          <w:szCs w:val="32"/>
        </w:rPr>
        <w:t xml:space="preserve">第二章 </w:t>
      </w:r>
      <w:r>
        <w:t>总体要求</w:t>
      </w:r>
      <w:r>
        <w:tab/>
      </w:r>
      <w:r>
        <w:fldChar w:fldCharType="begin"/>
      </w:r>
      <w:r>
        <w:instrText xml:space="preserve"> PAGEREF _Toc22297 \h </w:instrText>
      </w:r>
      <w:r>
        <w:fldChar w:fldCharType="separate"/>
      </w:r>
      <w:r>
        <w:t>18</w:t>
      </w:r>
      <w:r>
        <w:fldChar w:fldCharType="end"/>
      </w:r>
      <w:r>
        <w:fldChar w:fldCharType="end"/>
      </w:r>
    </w:p>
    <w:p>
      <w:pPr>
        <w:pStyle w:val="24"/>
        <w:tabs>
          <w:tab w:val="right" w:leader="dot" w:pos="8845"/>
        </w:tabs>
      </w:pPr>
      <w:r>
        <w:fldChar w:fldCharType="begin"/>
      </w:r>
      <w:r>
        <w:instrText xml:space="preserve">Hyperlink \l "_Toc25483"</w:instrText>
      </w:r>
      <w:r>
        <w:fldChar w:fldCharType="separate"/>
      </w:r>
      <w:r>
        <w:rPr>
          <w:rFonts w:hint="eastAsia" w:ascii="宋体" w:hAnsi="宋体" w:cs="宋体"/>
        </w:rPr>
        <w:t xml:space="preserve">第一节 </w:t>
      </w:r>
      <w:r>
        <w:t>指导思想</w:t>
      </w:r>
      <w:r>
        <w:tab/>
      </w:r>
      <w:r>
        <w:fldChar w:fldCharType="begin"/>
      </w:r>
      <w:r>
        <w:instrText xml:space="preserve"> PAGEREF _Toc25483 \h </w:instrText>
      </w:r>
      <w:r>
        <w:fldChar w:fldCharType="separate"/>
      </w:r>
      <w:r>
        <w:t>18</w:t>
      </w:r>
      <w:r>
        <w:fldChar w:fldCharType="end"/>
      </w:r>
      <w:r>
        <w:fldChar w:fldCharType="end"/>
      </w:r>
    </w:p>
    <w:p>
      <w:pPr>
        <w:pStyle w:val="24"/>
        <w:tabs>
          <w:tab w:val="right" w:leader="dot" w:pos="8845"/>
        </w:tabs>
      </w:pPr>
      <w:r>
        <w:fldChar w:fldCharType="begin"/>
      </w:r>
      <w:r>
        <w:instrText xml:space="preserve">Hyperlink \l "_Toc19204"</w:instrText>
      </w:r>
      <w:r>
        <w:fldChar w:fldCharType="separate"/>
      </w:r>
      <w:r>
        <w:rPr>
          <w:rFonts w:hint="eastAsia" w:ascii="宋体" w:hAnsi="宋体" w:cs="宋体"/>
        </w:rPr>
        <w:t xml:space="preserve">第二节 </w:t>
      </w:r>
      <w:r>
        <w:t>基本原则</w:t>
      </w:r>
      <w:r>
        <w:tab/>
      </w:r>
      <w:r>
        <w:fldChar w:fldCharType="begin"/>
      </w:r>
      <w:r>
        <w:instrText xml:space="preserve"> PAGEREF _Toc19204 \h </w:instrText>
      </w:r>
      <w:r>
        <w:fldChar w:fldCharType="separate"/>
      </w:r>
      <w:r>
        <w:t>19</w:t>
      </w:r>
      <w:r>
        <w:fldChar w:fldCharType="end"/>
      </w:r>
      <w:r>
        <w:fldChar w:fldCharType="end"/>
      </w:r>
    </w:p>
    <w:p>
      <w:pPr>
        <w:pStyle w:val="24"/>
        <w:tabs>
          <w:tab w:val="right" w:leader="dot" w:pos="8845"/>
        </w:tabs>
      </w:pPr>
      <w:r>
        <w:fldChar w:fldCharType="begin"/>
      </w:r>
      <w:r>
        <w:instrText xml:space="preserve">Hyperlink \l "_Toc5088"</w:instrText>
      </w:r>
      <w:r>
        <w:fldChar w:fldCharType="separate"/>
      </w:r>
      <w:r>
        <w:rPr>
          <w:rFonts w:hint="eastAsia" w:ascii="宋体" w:hAnsi="宋体" w:cs="宋体"/>
        </w:rPr>
        <w:t xml:space="preserve">第三节 </w:t>
      </w:r>
      <w:r>
        <w:t>编制依据</w:t>
      </w:r>
      <w:r>
        <w:tab/>
      </w:r>
      <w:r>
        <w:fldChar w:fldCharType="begin"/>
      </w:r>
      <w:r>
        <w:instrText xml:space="preserve"> PAGEREF _Toc5088 \h </w:instrText>
      </w:r>
      <w:r>
        <w:fldChar w:fldCharType="separate"/>
      </w:r>
      <w:r>
        <w:t>20</w:t>
      </w:r>
      <w:r>
        <w:fldChar w:fldCharType="end"/>
      </w:r>
      <w:r>
        <w:fldChar w:fldCharType="end"/>
      </w:r>
    </w:p>
    <w:p>
      <w:pPr>
        <w:pStyle w:val="24"/>
        <w:tabs>
          <w:tab w:val="right" w:leader="dot" w:pos="8845"/>
        </w:tabs>
      </w:pPr>
      <w:r>
        <w:fldChar w:fldCharType="begin"/>
      </w:r>
      <w:r>
        <w:instrText xml:space="preserve">Hyperlink \l "_Toc2662"</w:instrText>
      </w:r>
      <w:r>
        <w:fldChar w:fldCharType="separate"/>
      </w:r>
      <w:r>
        <w:rPr>
          <w:rFonts w:hint="eastAsia" w:ascii="宋体" w:hAnsi="宋体" w:cs="宋体"/>
        </w:rPr>
        <w:t xml:space="preserve">第四节 </w:t>
      </w:r>
      <w:r>
        <w:t>规划范围</w:t>
      </w:r>
      <w:r>
        <w:tab/>
      </w:r>
      <w:r>
        <w:fldChar w:fldCharType="begin"/>
      </w:r>
      <w:r>
        <w:instrText xml:space="preserve"> PAGEREF _Toc2662 \h </w:instrText>
      </w:r>
      <w:r>
        <w:fldChar w:fldCharType="separate"/>
      </w:r>
      <w:r>
        <w:t>23</w:t>
      </w:r>
      <w:r>
        <w:fldChar w:fldCharType="end"/>
      </w:r>
      <w:r>
        <w:fldChar w:fldCharType="end"/>
      </w:r>
    </w:p>
    <w:p>
      <w:pPr>
        <w:pStyle w:val="24"/>
        <w:tabs>
          <w:tab w:val="right" w:leader="dot" w:pos="8845"/>
        </w:tabs>
      </w:pPr>
      <w:r>
        <w:fldChar w:fldCharType="begin"/>
      </w:r>
      <w:r>
        <w:instrText xml:space="preserve">Hyperlink \l "_Toc1716"</w:instrText>
      </w:r>
      <w:r>
        <w:fldChar w:fldCharType="separate"/>
      </w:r>
      <w:r>
        <w:rPr>
          <w:rFonts w:hint="eastAsia" w:ascii="宋体" w:hAnsi="宋体" w:cs="宋体"/>
        </w:rPr>
        <w:t xml:space="preserve">第五节 </w:t>
      </w:r>
      <w:r>
        <w:t>规划时限</w:t>
      </w:r>
      <w:r>
        <w:tab/>
      </w:r>
      <w:r>
        <w:fldChar w:fldCharType="begin"/>
      </w:r>
      <w:r>
        <w:instrText xml:space="preserve"> PAGEREF _Toc1716 \h </w:instrText>
      </w:r>
      <w:r>
        <w:fldChar w:fldCharType="separate"/>
      </w:r>
      <w:r>
        <w:t>23</w:t>
      </w:r>
      <w:r>
        <w:fldChar w:fldCharType="end"/>
      </w:r>
      <w:r>
        <w:fldChar w:fldCharType="end"/>
      </w:r>
    </w:p>
    <w:p>
      <w:pPr>
        <w:pStyle w:val="24"/>
        <w:tabs>
          <w:tab w:val="right" w:leader="dot" w:pos="8845"/>
        </w:tabs>
      </w:pPr>
      <w:r>
        <w:fldChar w:fldCharType="begin"/>
      </w:r>
      <w:r>
        <w:instrText xml:space="preserve">Hyperlink \l "_Toc14491"</w:instrText>
      </w:r>
      <w:r>
        <w:fldChar w:fldCharType="separate"/>
      </w:r>
      <w:r>
        <w:rPr>
          <w:rFonts w:hint="eastAsia" w:ascii="宋体" w:hAnsi="宋体" w:cs="宋体"/>
        </w:rPr>
        <w:t xml:space="preserve">第六节 </w:t>
      </w:r>
      <w:r>
        <w:t>规划目标</w:t>
      </w:r>
      <w:r>
        <w:tab/>
      </w:r>
      <w:r>
        <w:fldChar w:fldCharType="begin"/>
      </w:r>
      <w:r>
        <w:instrText xml:space="preserve"> PAGEREF _Toc14491 \h </w:instrText>
      </w:r>
      <w:r>
        <w:fldChar w:fldCharType="separate"/>
      </w:r>
      <w:r>
        <w:t>24</w:t>
      </w:r>
      <w:r>
        <w:fldChar w:fldCharType="end"/>
      </w:r>
      <w:r>
        <w:fldChar w:fldCharType="end"/>
      </w:r>
    </w:p>
    <w:p>
      <w:pPr>
        <w:pStyle w:val="24"/>
        <w:tabs>
          <w:tab w:val="right" w:leader="dot" w:pos="8845"/>
        </w:tabs>
      </w:pPr>
      <w:r>
        <w:fldChar w:fldCharType="begin"/>
      </w:r>
      <w:r>
        <w:instrText xml:space="preserve">Hyperlink \l "_Toc6941"</w:instrText>
      </w:r>
      <w:r>
        <w:fldChar w:fldCharType="separate"/>
      </w:r>
      <w:r>
        <w:rPr>
          <w:rFonts w:hint="eastAsia" w:ascii="宋体" w:hAnsi="宋体" w:cs="宋体"/>
        </w:rPr>
        <w:t xml:space="preserve">第七节 </w:t>
      </w:r>
      <w:r>
        <w:rPr>
          <w:rFonts w:hint="eastAsia"/>
        </w:rPr>
        <w:t>规划指标</w:t>
      </w:r>
      <w:r>
        <w:tab/>
      </w:r>
      <w:r>
        <w:fldChar w:fldCharType="begin"/>
      </w:r>
      <w:r>
        <w:instrText xml:space="preserve"> PAGEREF _Toc6941 \h </w:instrText>
      </w:r>
      <w:r>
        <w:fldChar w:fldCharType="separate"/>
      </w:r>
      <w:r>
        <w:t>25</w:t>
      </w:r>
      <w:r>
        <w:fldChar w:fldCharType="end"/>
      </w:r>
      <w:r>
        <w:fldChar w:fldCharType="end"/>
      </w:r>
    </w:p>
    <w:p>
      <w:pPr>
        <w:pStyle w:val="21"/>
        <w:tabs>
          <w:tab w:val="right" w:leader="dot" w:pos="8845"/>
        </w:tabs>
      </w:pPr>
      <w:r>
        <w:fldChar w:fldCharType="begin"/>
      </w:r>
      <w:r>
        <w:instrText xml:space="preserve">Hyperlink \l "_Toc26060"</w:instrText>
      </w:r>
      <w:r>
        <w:fldChar w:fldCharType="separate"/>
      </w:r>
      <w:r>
        <w:rPr>
          <w:rFonts w:hint="eastAsia" w:ascii="宋体" w:hAnsi="宋体" w:cs="宋体"/>
          <w:szCs w:val="32"/>
        </w:rPr>
        <w:t xml:space="preserve">第三章 </w:t>
      </w:r>
      <w:r>
        <w:rPr>
          <w:rFonts w:hint="eastAsia"/>
        </w:rPr>
        <w:t>深化体制机制改革，</w:t>
      </w:r>
      <w:r>
        <w:t>健全</w:t>
      </w:r>
      <w:r>
        <w:rPr>
          <w:rFonts w:hint="eastAsia"/>
        </w:rPr>
        <w:t>和完善</w:t>
      </w:r>
      <w:r>
        <w:t>生态文明制度</w:t>
      </w:r>
      <w:r>
        <w:tab/>
      </w:r>
      <w:r>
        <w:fldChar w:fldCharType="begin"/>
      </w:r>
      <w:r>
        <w:instrText xml:space="preserve"> PAGEREF _Toc26060 \h </w:instrText>
      </w:r>
      <w:r>
        <w:fldChar w:fldCharType="separate"/>
      </w:r>
      <w:r>
        <w:t>45</w:t>
      </w:r>
      <w:r>
        <w:fldChar w:fldCharType="end"/>
      </w:r>
      <w:r>
        <w:fldChar w:fldCharType="end"/>
      </w:r>
    </w:p>
    <w:p>
      <w:pPr>
        <w:pStyle w:val="24"/>
        <w:tabs>
          <w:tab w:val="right" w:leader="dot" w:pos="8845"/>
        </w:tabs>
      </w:pPr>
      <w:r>
        <w:fldChar w:fldCharType="begin"/>
      </w:r>
      <w:r>
        <w:instrText xml:space="preserve">Hyperlink \l "_Toc12738"</w:instrText>
      </w:r>
      <w:r>
        <w:fldChar w:fldCharType="separate"/>
      </w:r>
      <w:r>
        <w:rPr>
          <w:rFonts w:hint="eastAsia" w:ascii="宋体" w:hAnsi="宋体" w:cs="宋体"/>
        </w:rPr>
        <w:t xml:space="preserve">第一节 </w:t>
      </w:r>
      <w:r>
        <w:rPr>
          <w:rFonts w:hint="eastAsia"/>
        </w:rPr>
        <w:t>健全生态环境保护制度</w:t>
      </w:r>
      <w:r>
        <w:tab/>
      </w:r>
      <w:r>
        <w:fldChar w:fldCharType="begin"/>
      </w:r>
      <w:r>
        <w:instrText xml:space="preserve"> PAGEREF _Toc12738 \h </w:instrText>
      </w:r>
      <w:r>
        <w:fldChar w:fldCharType="separate"/>
      </w:r>
      <w:r>
        <w:t>45</w:t>
      </w:r>
      <w:r>
        <w:fldChar w:fldCharType="end"/>
      </w:r>
      <w:r>
        <w:fldChar w:fldCharType="end"/>
      </w:r>
    </w:p>
    <w:p>
      <w:pPr>
        <w:pStyle w:val="24"/>
        <w:tabs>
          <w:tab w:val="right" w:leader="dot" w:pos="8845"/>
        </w:tabs>
      </w:pPr>
      <w:r>
        <w:fldChar w:fldCharType="begin"/>
      </w:r>
      <w:r>
        <w:instrText xml:space="preserve">Hyperlink \l "_Toc26017"</w:instrText>
      </w:r>
      <w:r>
        <w:fldChar w:fldCharType="separate"/>
      </w:r>
      <w:r>
        <w:rPr>
          <w:rFonts w:hint="eastAsia" w:ascii="宋体" w:hAnsi="宋体" w:cs="宋体"/>
        </w:rPr>
        <w:t xml:space="preserve">第二节 </w:t>
      </w:r>
      <w:r>
        <w:rPr>
          <w:rFonts w:hint="eastAsia"/>
        </w:rPr>
        <w:t>完善生态文明考核责任制度</w:t>
      </w:r>
      <w:r>
        <w:tab/>
      </w:r>
      <w:r>
        <w:fldChar w:fldCharType="begin"/>
      </w:r>
      <w:r>
        <w:instrText xml:space="preserve"> PAGEREF _Toc26017 \h </w:instrText>
      </w:r>
      <w:r>
        <w:fldChar w:fldCharType="separate"/>
      </w:r>
      <w:r>
        <w:t>46</w:t>
      </w:r>
      <w:r>
        <w:fldChar w:fldCharType="end"/>
      </w:r>
      <w:r>
        <w:fldChar w:fldCharType="end"/>
      </w:r>
    </w:p>
    <w:p>
      <w:pPr>
        <w:pStyle w:val="24"/>
        <w:tabs>
          <w:tab w:val="right" w:leader="dot" w:pos="8845"/>
        </w:tabs>
      </w:pPr>
      <w:r>
        <w:fldChar w:fldCharType="begin"/>
      </w:r>
      <w:r>
        <w:instrText xml:space="preserve">Hyperlink \l "_Toc6065"</w:instrText>
      </w:r>
      <w:r>
        <w:fldChar w:fldCharType="separate"/>
      </w:r>
      <w:r>
        <w:rPr>
          <w:rFonts w:hint="eastAsia" w:ascii="宋体" w:hAnsi="宋体" w:cs="宋体"/>
        </w:rPr>
        <w:t xml:space="preserve">第三节 </w:t>
      </w:r>
      <w:r>
        <w:rPr>
          <w:rFonts w:hint="eastAsia"/>
        </w:rPr>
        <w:t>完善自然资源资产保护制度</w:t>
      </w:r>
      <w:r>
        <w:tab/>
      </w:r>
      <w:r>
        <w:fldChar w:fldCharType="begin"/>
      </w:r>
      <w:r>
        <w:instrText xml:space="preserve"> PAGEREF _Toc6065 \h </w:instrText>
      </w:r>
      <w:r>
        <w:fldChar w:fldCharType="separate"/>
      </w:r>
      <w:r>
        <w:t>48</w:t>
      </w:r>
      <w:r>
        <w:fldChar w:fldCharType="end"/>
      </w:r>
      <w:r>
        <w:fldChar w:fldCharType="end"/>
      </w:r>
    </w:p>
    <w:p>
      <w:pPr>
        <w:pStyle w:val="24"/>
        <w:tabs>
          <w:tab w:val="right" w:leader="dot" w:pos="8845"/>
        </w:tabs>
      </w:pPr>
      <w:r>
        <w:fldChar w:fldCharType="begin"/>
      </w:r>
      <w:r>
        <w:instrText xml:space="preserve">Hyperlink \l "_Toc6566"</w:instrText>
      </w:r>
      <w:r>
        <w:fldChar w:fldCharType="separate"/>
      </w:r>
      <w:r>
        <w:rPr>
          <w:rFonts w:hint="eastAsia" w:ascii="宋体" w:hAnsi="宋体" w:cs="宋体"/>
        </w:rPr>
        <w:t xml:space="preserve">第四节 </w:t>
      </w:r>
      <w:r>
        <w:rPr>
          <w:rFonts w:hint="eastAsia"/>
        </w:rPr>
        <w:t>建立健全生态环境经济政策</w:t>
      </w:r>
      <w:r>
        <w:tab/>
      </w:r>
      <w:r>
        <w:fldChar w:fldCharType="begin"/>
      </w:r>
      <w:r>
        <w:instrText xml:space="preserve"> PAGEREF _Toc6566 \h </w:instrText>
      </w:r>
      <w:r>
        <w:fldChar w:fldCharType="separate"/>
      </w:r>
      <w:r>
        <w:t>50</w:t>
      </w:r>
      <w:r>
        <w:fldChar w:fldCharType="end"/>
      </w:r>
      <w:r>
        <w:fldChar w:fldCharType="end"/>
      </w:r>
    </w:p>
    <w:p>
      <w:pPr>
        <w:pStyle w:val="21"/>
        <w:tabs>
          <w:tab w:val="right" w:leader="dot" w:pos="8845"/>
        </w:tabs>
      </w:pPr>
      <w:r>
        <w:fldChar w:fldCharType="begin"/>
      </w:r>
      <w:r>
        <w:instrText xml:space="preserve">Hyperlink \l "_Toc1993"</w:instrText>
      </w:r>
      <w:r>
        <w:fldChar w:fldCharType="separate"/>
      </w:r>
      <w:r>
        <w:rPr>
          <w:rFonts w:hint="eastAsia" w:ascii="宋体" w:hAnsi="宋体" w:cs="宋体"/>
          <w:szCs w:val="32"/>
        </w:rPr>
        <w:t xml:space="preserve">第四章 </w:t>
      </w:r>
      <w:r>
        <w:rPr>
          <w:rFonts w:hint="eastAsia"/>
        </w:rPr>
        <w:t>深入打好污染防治攻坚战，</w:t>
      </w:r>
      <w:r>
        <w:t>持续改善生态环境</w:t>
      </w:r>
      <w:r>
        <w:tab/>
      </w:r>
      <w:r>
        <w:fldChar w:fldCharType="begin"/>
      </w:r>
      <w:r>
        <w:instrText xml:space="preserve"> PAGEREF _Toc1993 \h </w:instrText>
      </w:r>
      <w:r>
        <w:fldChar w:fldCharType="separate"/>
      </w:r>
      <w:r>
        <w:t>52</w:t>
      </w:r>
      <w:r>
        <w:fldChar w:fldCharType="end"/>
      </w:r>
      <w:r>
        <w:fldChar w:fldCharType="end"/>
      </w:r>
    </w:p>
    <w:p>
      <w:pPr>
        <w:pStyle w:val="24"/>
        <w:tabs>
          <w:tab w:val="right" w:leader="dot" w:pos="8845"/>
        </w:tabs>
      </w:pPr>
      <w:r>
        <w:fldChar w:fldCharType="begin"/>
      </w:r>
      <w:r>
        <w:instrText xml:space="preserve">Hyperlink \l "_Toc27656"</w:instrText>
      </w:r>
      <w:r>
        <w:fldChar w:fldCharType="separate"/>
      </w:r>
      <w:r>
        <w:rPr>
          <w:rFonts w:hint="eastAsia" w:ascii="宋体" w:hAnsi="宋体" w:cs="宋体"/>
        </w:rPr>
        <w:t xml:space="preserve">第一节 </w:t>
      </w:r>
      <w:r>
        <w:rPr>
          <w:rFonts w:hint="eastAsia"/>
        </w:rPr>
        <w:t>精准施策改善大气环境质量</w:t>
      </w:r>
      <w:r>
        <w:tab/>
      </w:r>
      <w:r>
        <w:fldChar w:fldCharType="begin"/>
      </w:r>
      <w:r>
        <w:instrText xml:space="preserve"> PAGEREF _Toc27656 \h </w:instrText>
      </w:r>
      <w:r>
        <w:fldChar w:fldCharType="separate"/>
      </w:r>
      <w:r>
        <w:t>52</w:t>
      </w:r>
      <w:r>
        <w:fldChar w:fldCharType="end"/>
      </w:r>
      <w:r>
        <w:fldChar w:fldCharType="end"/>
      </w:r>
    </w:p>
    <w:p>
      <w:pPr>
        <w:pStyle w:val="24"/>
        <w:tabs>
          <w:tab w:val="right" w:leader="dot" w:pos="8845"/>
        </w:tabs>
      </w:pPr>
      <w:r>
        <w:fldChar w:fldCharType="begin"/>
      </w:r>
      <w:r>
        <w:instrText xml:space="preserve">Hyperlink \l "_Toc21317"</w:instrText>
      </w:r>
      <w:r>
        <w:fldChar w:fldCharType="separate"/>
      </w:r>
      <w:r>
        <w:rPr>
          <w:rFonts w:hint="eastAsia" w:ascii="宋体" w:hAnsi="宋体" w:cs="宋体"/>
        </w:rPr>
        <w:t xml:space="preserve">第二节 </w:t>
      </w:r>
      <w:r>
        <w:rPr>
          <w:rFonts w:hint="eastAsia"/>
        </w:rPr>
        <w:t>加强水环境保护和水生态修复</w:t>
      </w:r>
      <w:r>
        <w:tab/>
      </w:r>
      <w:r>
        <w:fldChar w:fldCharType="begin"/>
      </w:r>
      <w:r>
        <w:instrText xml:space="preserve"> PAGEREF _Toc21317 \h </w:instrText>
      </w:r>
      <w:r>
        <w:fldChar w:fldCharType="separate"/>
      </w:r>
      <w:r>
        <w:t>55</w:t>
      </w:r>
      <w:r>
        <w:fldChar w:fldCharType="end"/>
      </w:r>
      <w:r>
        <w:fldChar w:fldCharType="end"/>
      </w:r>
    </w:p>
    <w:p>
      <w:pPr>
        <w:pStyle w:val="24"/>
        <w:tabs>
          <w:tab w:val="right" w:leader="dot" w:pos="8845"/>
        </w:tabs>
      </w:pPr>
      <w:r>
        <w:fldChar w:fldCharType="begin"/>
      </w:r>
      <w:r>
        <w:instrText xml:space="preserve">Hyperlink \l "_Toc10458"</w:instrText>
      </w:r>
      <w:r>
        <w:fldChar w:fldCharType="separate"/>
      </w:r>
      <w:r>
        <w:rPr>
          <w:rFonts w:hint="eastAsia" w:ascii="宋体" w:hAnsi="宋体" w:cs="宋体"/>
        </w:rPr>
        <w:t xml:space="preserve">第三节 </w:t>
      </w:r>
      <w:r>
        <w:rPr>
          <w:rFonts w:hint="eastAsia"/>
        </w:rPr>
        <w:t>严格风险管控保障土壤环境安全</w:t>
      </w:r>
      <w:r>
        <w:tab/>
      </w:r>
      <w:r>
        <w:fldChar w:fldCharType="begin"/>
      </w:r>
      <w:r>
        <w:instrText xml:space="preserve"> PAGEREF _Toc10458 \h </w:instrText>
      </w:r>
      <w:r>
        <w:fldChar w:fldCharType="separate"/>
      </w:r>
      <w:r>
        <w:t>57</w:t>
      </w:r>
      <w:r>
        <w:fldChar w:fldCharType="end"/>
      </w:r>
      <w:r>
        <w:fldChar w:fldCharType="end"/>
      </w:r>
    </w:p>
    <w:p>
      <w:pPr>
        <w:pStyle w:val="24"/>
        <w:tabs>
          <w:tab w:val="right" w:leader="dot" w:pos="8845"/>
        </w:tabs>
      </w:pPr>
      <w:r>
        <w:fldChar w:fldCharType="begin"/>
      </w:r>
      <w:r>
        <w:instrText xml:space="preserve">Hyperlink \l "_Toc15718"</w:instrText>
      </w:r>
      <w:r>
        <w:fldChar w:fldCharType="separate"/>
      </w:r>
      <w:r>
        <w:rPr>
          <w:rFonts w:hint="eastAsia" w:ascii="宋体" w:hAnsi="宋体" w:cs="宋体"/>
        </w:rPr>
        <w:t xml:space="preserve">第四节 </w:t>
      </w:r>
      <w:r>
        <w:rPr>
          <w:rFonts w:hint="eastAsia"/>
        </w:rPr>
        <w:t>强化噪声环境影响管控</w:t>
      </w:r>
      <w:r>
        <w:tab/>
      </w:r>
      <w:r>
        <w:fldChar w:fldCharType="begin"/>
      </w:r>
      <w:r>
        <w:instrText xml:space="preserve"> PAGEREF _Toc15718 \h </w:instrText>
      </w:r>
      <w:r>
        <w:fldChar w:fldCharType="separate"/>
      </w:r>
      <w:r>
        <w:t>59</w:t>
      </w:r>
      <w:r>
        <w:fldChar w:fldCharType="end"/>
      </w:r>
      <w:r>
        <w:fldChar w:fldCharType="end"/>
      </w:r>
    </w:p>
    <w:p>
      <w:pPr>
        <w:pStyle w:val="24"/>
        <w:tabs>
          <w:tab w:val="right" w:leader="dot" w:pos="8845"/>
        </w:tabs>
      </w:pPr>
      <w:r>
        <w:fldChar w:fldCharType="begin"/>
      </w:r>
      <w:r>
        <w:instrText xml:space="preserve">Hyperlink \l "_Toc15797"</w:instrText>
      </w:r>
      <w:r>
        <w:fldChar w:fldCharType="separate"/>
      </w:r>
      <w:r>
        <w:rPr>
          <w:rFonts w:hint="eastAsia" w:ascii="宋体" w:hAnsi="宋体" w:cs="宋体"/>
        </w:rPr>
        <w:t xml:space="preserve">第五节 </w:t>
      </w:r>
      <w:r>
        <w:rPr>
          <w:rFonts w:hint="eastAsia"/>
        </w:rPr>
        <w:t>提升生态环境监测和监管能力</w:t>
      </w:r>
      <w:r>
        <w:tab/>
      </w:r>
      <w:r>
        <w:fldChar w:fldCharType="begin"/>
      </w:r>
      <w:r>
        <w:instrText xml:space="preserve"> PAGEREF _Toc15797 \h </w:instrText>
      </w:r>
      <w:r>
        <w:fldChar w:fldCharType="separate"/>
      </w:r>
      <w:r>
        <w:t>61</w:t>
      </w:r>
      <w:r>
        <w:fldChar w:fldCharType="end"/>
      </w:r>
      <w:r>
        <w:fldChar w:fldCharType="end"/>
      </w:r>
    </w:p>
    <w:p>
      <w:pPr>
        <w:pStyle w:val="21"/>
        <w:tabs>
          <w:tab w:val="right" w:leader="dot" w:pos="8845"/>
        </w:tabs>
      </w:pPr>
      <w:r>
        <w:fldChar w:fldCharType="begin"/>
      </w:r>
      <w:r>
        <w:instrText xml:space="preserve">Hyperlink \l "_Toc29219"</w:instrText>
      </w:r>
      <w:r>
        <w:fldChar w:fldCharType="separate"/>
      </w:r>
      <w:r>
        <w:rPr>
          <w:rFonts w:hint="eastAsia" w:ascii="宋体" w:hAnsi="宋体" w:cs="宋体"/>
          <w:szCs w:val="32"/>
        </w:rPr>
        <w:t xml:space="preserve">第五章 </w:t>
      </w:r>
      <w:r>
        <w:rPr>
          <w:rFonts w:hint="eastAsia"/>
        </w:rPr>
        <w:t>加强生态保护与修复，</w:t>
      </w:r>
      <w:r>
        <w:t>筑牢生态安全屏障</w:t>
      </w:r>
      <w:r>
        <w:tab/>
      </w:r>
      <w:r>
        <w:fldChar w:fldCharType="begin"/>
      </w:r>
      <w:r>
        <w:instrText xml:space="preserve"> PAGEREF _Toc29219 \h </w:instrText>
      </w:r>
      <w:r>
        <w:fldChar w:fldCharType="separate"/>
      </w:r>
      <w:r>
        <w:t>63</w:t>
      </w:r>
      <w:r>
        <w:fldChar w:fldCharType="end"/>
      </w:r>
      <w:r>
        <w:fldChar w:fldCharType="end"/>
      </w:r>
    </w:p>
    <w:p>
      <w:pPr>
        <w:pStyle w:val="24"/>
        <w:tabs>
          <w:tab w:val="right" w:leader="dot" w:pos="8845"/>
        </w:tabs>
      </w:pPr>
      <w:r>
        <w:fldChar w:fldCharType="begin"/>
      </w:r>
      <w:r>
        <w:instrText xml:space="preserve">Hyperlink \l "_Toc10042"</w:instrText>
      </w:r>
      <w:r>
        <w:fldChar w:fldCharType="separate"/>
      </w:r>
      <w:r>
        <w:rPr>
          <w:rFonts w:hint="eastAsia" w:ascii="宋体" w:hAnsi="宋体" w:cs="宋体"/>
        </w:rPr>
        <w:t xml:space="preserve">第一节 </w:t>
      </w:r>
      <w:r>
        <w:rPr>
          <w:rFonts w:hint="eastAsia"/>
        </w:rPr>
        <w:t>构建生态安全空间格局</w:t>
      </w:r>
      <w:r>
        <w:tab/>
      </w:r>
      <w:r>
        <w:fldChar w:fldCharType="begin"/>
      </w:r>
      <w:r>
        <w:instrText xml:space="preserve"> PAGEREF _Toc10042 \h </w:instrText>
      </w:r>
      <w:r>
        <w:fldChar w:fldCharType="separate"/>
      </w:r>
      <w:r>
        <w:t>63</w:t>
      </w:r>
      <w:r>
        <w:fldChar w:fldCharType="end"/>
      </w:r>
      <w:r>
        <w:fldChar w:fldCharType="end"/>
      </w:r>
    </w:p>
    <w:p>
      <w:pPr>
        <w:pStyle w:val="24"/>
        <w:tabs>
          <w:tab w:val="right" w:leader="dot" w:pos="8845"/>
        </w:tabs>
      </w:pPr>
      <w:r>
        <w:fldChar w:fldCharType="begin"/>
      </w:r>
      <w:r>
        <w:instrText xml:space="preserve">Hyperlink \l "_Toc31102"</w:instrText>
      </w:r>
      <w:r>
        <w:fldChar w:fldCharType="separate"/>
      </w:r>
      <w:r>
        <w:rPr>
          <w:rFonts w:hint="eastAsia" w:ascii="宋体" w:hAnsi="宋体" w:cs="宋体"/>
        </w:rPr>
        <w:t xml:space="preserve">第二节 </w:t>
      </w:r>
      <w:r>
        <w:rPr>
          <w:rFonts w:hint="eastAsia"/>
        </w:rPr>
        <w:t>加强重要生态系统保护</w:t>
      </w:r>
      <w:r>
        <w:tab/>
      </w:r>
      <w:r>
        <w:fldChar w:fldCharType="begin"/>
      </w:r>
      <w:r>
        <w:instrText xml:space="preserve"> PAGEREF _Toc31102 \h </w:instrText>
      </w:r>
      <w:r>
        <w:fldChar w:fldCharType="separate"/>
      </w:r>
      <w:r>
        <w:t>65</w:t>
      </w:r>
      <w:r>
        <w:fldChar w:fldCharType="end"/>
      </w:r>
      <w:r>
        <w:fldChar w:fldCharType="end"/>
      </w:r>
    </w:p>
    <w:p>
      <w:pPr>
        <w:pStyle w:val="24"/>
        <w:tabs>
          <w:tab w:val="right" w:leader="dot" w:pos="8845"/>
        </w:tabs>
      </w:pPr>
      <w:r>
        <w:fldChar w:fldCharType="begin"/>
      </w:r>
      <w:r>
        <w:instrText xml:space="preserve">Hyperlink \l "_Toc13320"</w:instrText>
      </w:r>
      <w:r>
        <w:fldChar w:fldCharType="separate"/>
      </w:r>
      <w:r>
        <w:rPr>
          <w:rFonts w:hint="eastAsia" w:ascii="宋体" w:hAnsi="宋体" w:cs="宋体"/>
        </w:rPr>
        <w:t xml:space="preserve">第三节 </w:t>
      </w:r>
      <w:r>
        <w:rPr>
          <w:rFonts w:hint="eastAsia"/>
        </w:rPr>
        <w:t>开展生态脆弱区域生态修复</w:t>
      </w:r>
      <w:r>
        <w:tab/>
      </w:r>
      <w:r>
        <w:fldChar w:fldCharType="begin"/>
      </w:r>
      <w:r>
        <w:instrText xml:space="preserve"> PAGEREF _Toc13320 \h </w:instrText>
      </w:r>
      <w:r>
        <w:fldChar w:fldCharType="separate"/>
      </w:r>
      <w:r>
        <w:t>66</w:t>
      </w:r>
      <w:r>
        <w:fldChar w:fldCharType="end"/>
      </w:r>
      <w:r>
        <w:fldChar w:fldCharType="end"/>
      </w:r>
    </w:p>
    <w:p>
      <w:pPr>
        <w:pStyle w:val="24"/>
        <w:tabs>
          <w:tab w:val="right" w:leader="dot" w:pos="8845"/>
        </w:tabs>
      </w:pPr>
      <w:r>
        <w:fldChar w:fldCharType="begin"/>
      </w:r>
      <w:r>
        <w:instrText xml:space="preserve">Hyperlink \l "_Toc7832"</w:instrText>
      </w:r>
      <w:r>
        <w:fldChar w:fldCharType="separate"/>
      </w:r>
      <w:r>
        <w:rPr>
          <w:rFonts w:hint="eastAsia" w:ascii="宋体" w:hAnsi="宋体" w:cs="宋体"/>
        </w:rPr>
        <w:t xml:space="preserve">第四节 </w:t>
      </w:r>
      <w:r>
        <w:rPr>
          <w:rFonts w:hint="eastAsia"/>
        </w:rPr>
        <w:t>加强生态环境风险防范</w:t>
      </w:r>
      <w:r>
        <w:tab/>
      </w:r>
      <w:r>
        <w:fldChar w:fldCharType="begin"/>
      </w:r>
      <w:r>
        <w:instrText xml:space="preserve"> PAGEREF _Toc7832 \h </w:instrText>
      </w:r>
      <w:r>
        <w:fldChar w:fldCharType="separate"/>
      </w:r>
      <w:r>
        <w:t>67</w:t>
      </w:r>
      <w:r>
        <w:fldChar w:fldCharType="end"/>
      </w:r>
      <w:r>
        <w:fldChar w:fldCharType="end"/>
      </w:r>
    </w:p>
    <w:p>
      <w:pPr>
        <w:pStyle w:val="21"/>
        <w:tabs>
          <w:tab w:val="right" w:leader="dot" w:pos="8845"/>
        </w:tabs>
      </w:pPr>
      <w:r>
        <w:fldChar w:fldCharType="begin"/>
      </w:r>
      <w:r>
        <w:instrText xml:space="preserve">Hyperlink \l "_Toc15157"</w:instrText>
      </w:r>
      <w:r>
        <w:fldChar w:fldCharType="separate"/>
      </w:r>
      <w:r>
        <w:rPr>
          <w:rFonts w:hint="eastAsia" w:ascii="宋体" w:hAnsi="宋体" w:cs="宋体"/>
          <w:szCs w:val="32"/>
        </w:rPr>
        <w:t xml:space="preserve">第六章 </w:t>
      </w:r>
      <w:r>
        <w:rPr>
          <w:rFonts w:hint="eastAsia"/>
        </w:rPr>
        <w:t>持续推进产业转型升级，</w:t>
      </w:r>
      <w:r>
        <w:t>加快发展生态经济</w:t>
      </w:r>
      <w:r>
        <w:tab/>
      </w:r>
      <w:r>
        <w:fldChar w:fldCharType="begin"/>
      </w:r>
      <w:r>
        <w:instrText xml:space="preserve"> PAGEREF _Toc15157 \h </w:instrText>
      </w:r>
      <w:r>
        <w:fldChar w:fldCharType="separate"/>
      </w:r>
      <w:r>
        <w:t>70</w:t>
      </w:r>
      <w:r>
        <w:fldChar w:fldCharType="end"/>
      </w:r>
      <w:r>
        <w:fldChar w:fldCharType="end"/>
      </w:r>
    </w:p>
    <w:p>
      <w:pPr>
        <w:pStyle w:val="24"/>
        <w:tabs>
          <w:tab w:val="right" w:leader="dot" w:pos="8845"/>
        </w:tabs>
      </w:pPr>
      <w:r>
        <w:fldChar w:fldCharType="begin"/>
      </w:r>
      <w:r>
        <w:instrText xml:space="preserve">Hyperlink \l "_Toc31456"</w:instrText>
      </w:r>
      <w:r>
        <w:fldChar w:fldCharType="separate"/>
      </w:r>
      <w:r>
        <w:rPr>
          <w:rFonts w:hint="eastAsia" w:ascii="宋体" w:hAnsi="宋体" w:cs="宋体"/>
        </w:rPr>
        <w:t xml:space="preserve">第一节 </w:t>
      </w:r>
      <w:r>
        <w:rPr>
          <w:rFonts w:hint="eastAsia"/>
        </w:rPr>
        <w:t>积极应对气候变化</w:t>
      </w:r>
      <w:r>
        <w:tab/>
      </w:r>
      <w:r>
        <w:fldChar w:fldCharType="begin"/>
      </w:r>
      <w:r>
        <w:instrText xml:space="preserve"> PAGEREF _Toc31456 \h </w:instrText>
      </w:r>
      <w:r>
        <w:fldChar w:fldCharType="separate"/>
      </w:r>
      <w:r>
        <w:t>70</w:t>
      </w:r>
      <w:r>
        <w:fldChar w:fldCharType="end"/>
      </w:r>
      <w:r>
        <w:fldChar w:fldCharType="end"/>
      </w:r>
    </w:p>
    <w:p>
      <w:pPr>
        <w:pStyle w:val="24"/>
        <w:tabs>
          <w:tab w:val="right" w:leader="dot" w:pos="8845"/>
        </w:tabs>
      </w:pPr>
      <w:r>
        <w:fldChar w:fldCharType="begin"/>
      </w:r>
      <w:r>
        <w:instrText xml:space="preserve">Hyperlink \l "_Toc11735"</w:instrText>
      </w:r>
      <w:r>
        <w:fldChar w:fldCharType="separate"/>
      </w:r>
      <w:r>
        <w:rPr>
          <w:rFonts w:hint="eastAsia" w:ascii="宋体" w:hAnsi="宋体" w:cs="宋体"/>
        </w:rPr>
        <w:t xml:space="preserve">第二节 </w:t>
      </w:r>
      <w:r>
        <w:rPr>
          <w:rFonts w:hint="eastAsia"/>
        </w:rPr>
        <w:t>加快推动绿色低碳发展</w:t>
      </w:r>
      <w:r>
        <w:tab/>
      </w:r>
      <w:r>
        <w:fldChar w:fldCharType="begin"/>
      </w:r>
      <w:r>
        <w:instrText xml:space="preserve"> PAGEREF _Toc11735 \h </w:instrText>
      </w:r>
      <w:r>
        <w:fldChar w:fldCharType="separate"/>
      </w:r>
      <w:r>
        <w:t>72</w:t>
      </w:r>
      <w:r>
        <w:fldChar w:fldCharType="end"/>
      </w:r>
      <w:r>
        <w:fldChar w:fldCharType="end"/>
      </w:r>
    </w:p>
    <w:p>
      <w:pPr>
        <w:pStyle w:val="24"/>
        <w:tabs>
          <w:tab w:val="right" w:leader="dot" w:pos="8845"/>
        </w:tabs>
      </w:pPr>
      <w:r>
        <w:fldChar w:fldCharType="begin"/>
      </w:r>
      <w:r>
        <w:instrText xml:space="preserve">Hyperlink \l "_Toc1862"</w:instrText>
      </w:r>
      <w:r>
        <w:fldChar w:fldCharType="separate"/>
      </w:r>
      <w:r>
        <w:rPr>
          <w:rFonts w:hint="eastAsia" w:ascii="宋体" w:hAnsi="宋体" w:cs="宋体"/>
        </w:rPr>
        <w:t xml:space="preserve">第三节 </w:t>
      </w:r>
      <w:r>
        <w:rPr>
          <w:rFonts w:hint="eastAsia"/>
        </w:rPr>
        <w:t>大力推进产业转型升级</w:t>
      </w:r>
      <w:r>
        <w:tab/>
      </w:r>
      <w:r>
        <w:fldChar w:fldCharType="begin"/>
      </w:r>
      <w:r>
        <w:instrText xml:space="preserve"> PAGEREF _Toc1862 \h </w:instrText>
      </w:r>
      <w:r>
        <w:fldChar w:fldCharType="separate"/>
      </w:r>
      <w:r>
        <w:t>73</w:t>
      </w:r>
      <w:r>
        <w:fldChar w:fldCharType="end"/>
      </w:r>
      <w:r>
        <w:fldChar w:fldCharType="end"/>
      </w:r>
    </w:p>
    <w:p>
      <w:pPr>
        <w:pStyle w:val="24"/>
        <w:tabs>
          <w:tab w:val="right" w:leader="dot" w:pos="8845"/>
        </w:tabs>
      </w:pPr>
      <w:r>
        <w:fldChar w:fldCharType="begin"/>
      </w:r>
      <w:r>
        <w:instrText xml:space="preserve">Hyperlink \l "_Toc16986"</w:instrText>
      </w:r>
      <w:r>
        <w:fldChar w:fldCharType="separate"/>
      </w:r>
      <w:r>
        <w:rPr>
          <w:rFonts w:hint="eastAsia" w:ascii="宋体" w:hAnsi="宋体" w:cs="宋体"/>
        </w:rPr>
        <w:t xml:space="preserve">第四节 </w:t>
      </w:r>
      <w:r>
        <w:rPr>
          <w:rFonts w:hint="eastAsia"/>
        </w:rPr>
        <w:t>促进生态产业绿色发展</w:t>
      </w:r>
      <w:r>
        <w:tab/>
      </w:r>
      <w:r>
        <w:fldChar w:fldCharType="begin"/>
      </w:r>
      <w:r>
        <w:instrText xml:space="preserve"> PAGEREF _Toc16986 \h </w:instrText>
      </w:r>
      <w:r>
        <w:fldChar w:fldCharType="separate"/>
      </w:r>
      <w:r>
        <w:t>73</w:t>
      </w:r>
      <w:r>
        <w:fldChar w:fldCharType="end"/>
      </w:r>
      <w:r>
        <w:fldChar w:fldCharType="end"/>
      </w:r>
    </w:p>
    <w:p>
      <w:pPr>
        <w:pStyle w:val="24"/>
        <w:tabs>
          <w:tab w:val="right" w:leader="dot" w:pos="8845"/>
        </w:tabs>
      </w:pPr>
      <w:r>
        <w:fldChar w:fldCharType="begin"/>
      </w:r>
      <w:r>
        <w:instrText xml:space="preserve">Hyperlink \l "_Toc30505"</w:instrText>
      </w:r>
      <w:r>
        <w:fldChar w:fldCharType="separate"/>
      </w:r>
      <w:r>
        <w:rPr>
          <w:rFonts w:hint="eastAsia" w:ascii="宋体" w:hAnsi="宋体" w:cs="宋体"/>
        </w:rPr>
        <w:t xml:space="preserve">第五节 </w:t>
      </w:r>
      <w:r>
        <w:rPr>
          <w:rFonts w:hint="eastAsia"/>
        </w:rPr>
        <w:t>提高资源节约集约利用</w:t>
      </w:r>
      <w:r>
        <w:tab/>
      </w:r>
      <w:r>
        <w:fldChar w:fldCharType="begin"/>
      </w:r>
      <w:r>
        <w:instrText xml:space="preserve"> PAGEREF _Toc30505 \h </w:instrText>
      </w:r>
      <w:r>
        <w:fldChar w:fldCharType="separate"/>
      </w:r>
      <w:r>
        <w:t>76</w:t>
      </w:r>
      <w:r>
        <w:fldChar w:fldCharType="end"/>
      </w:r>
      <w:r>
        <w:fldChar w:fldCharType="end"/>
      </w:r>
    </w:p>
    <w:p>
      <w:pPr>
        <w:pStyle w:val="21"/>
        <w:tabs>
          <w:tab w:val="right" w:leader="dot" w:pos="8845"/>
        </w:tabs>
      </w:pPr>
      <w:r>
        <w:fldChar w:fldCharType="begin"/>
      </w:r>
      <w:r>
        <w:instrText xml:space="preserve">Hyperlink \l "_Toc12808"</w:instrText>
      </w:r>
      <w:r>
        <w:fldChar w:fldCharType="separate"/>
      </w:r>
      <w:r>
        <w:rPr>
          <w:rFonts w:hint="eastAsia" w:ascii="宋体" w:hAnsi="宋体" w:cs="宋体"/>
          <w:szCs w:val="32"/>
        </w:rPr>
        <w:t xml:space="preserve">第七章 </w:t>
      </w:r>
      <w:r>
        <w:rPr>
          <w:rFonts w:hint="eastAsia"/>
        </w:rPr>
        <w:t>加快城乡基础设施建设，</w:t>
      </w:r>
      <w:r>
        <w:t>优化生态人居环境</w:t>
      </w:r>
      <w:r>
        <w:tab/>
      </w:r>
      <w:r>
        <w:fldChar w:fldCharType="begin"/>
      </w:r>
      <w:r>
        <w:instrText xml:space="preserve"> PAGEREF _Toc12808 \h </w:instrText>
      </w:r>
      <w:r>
        <w:fldChar w:fldCharType="separate"/>
      </w:r>
      <w:r>
        <w:t>79</w:t>
      </w:r>
      <w:r>
        <w:fldChar w:fldCharType="end"/>
      </w:r>
      <w:r>
        <w:fldChar w:fldCharType="end"/>
      </w:r>
    </w:p>
    <w:p>
      <w:pPr>
        <w:pStyle w:val="24"/>
        <w:tabs>
          <w:tab w:val="right" w:leader="dot" w:pos="8845"/>
        </w:tabs>
      </w:pPr>
      <w:r>
        <w:fldChar w:fldCharType="begin"/>
      </w:r>
      <w:r>
        <w:instrText xml:space="preserve">Hyperlink \l "_Toc4918"</w:instrText>
      </w:r>
      <w:r>
        <w:fldChar w:fldCharType="separate"/>
      </w:r>
      <w:r>
        <w:rPr>
          <w:rFonts w:hint="eastAsia" w:ascii="宋体" w:hAnsi="宋体" w:cs="宋体"/>
        </w:rPr>
        <w:t xml:space="preserve">第一节 </w:t>
      </w:r>
      <w:r>
        <w:rPr>
          <w:rFonts w:hint="eastAsia"/>
        </w:rPr>
        <w:t>持续完善环境基础设施</w:t>
      </w:r>
      <w:r>
        <w:tab/>
      </w:r>
      <w:r>
        <w:fldChar w:fldCharType="begin"/>
      </w:r>
      <w:r>
        <w:instrText xml:space="preserve"> PAGEREF _Toc4918 \h </w:instrText>
      </w:r>
      <w:r>
        <w:fldChar w:fldCharType="separate"/>
      </w:r>
      <w:r>
        <w:t>79</w:t>
      </w:r>
      <w:r>
        <w:fldChar w:fldCharType="end"/>
      </w:r>
      <w:r>
        <w:fldChar w:fldCharType="end"/>
      </w:r>
    </w:p>
    <w:p>
      <w:pPr>
        <w:pStyle w:val="24"/>
        <w:tabs>
          <w:tab w:val="right" w:leader="dot" w:pos="8845"/>
        </w:tabs>
      </w:pPr>
      <w:r>
        <w:fldChar w:fldCharType="begin"/>
      </w:r>
      <w:r>
        <w:instrText xml:space="preserve">Hyperlink \l "_Toc8502"</w:instrText>
      </w:r>
      <w:r>
        <w:fldChar w:fldCharType="separate"/>
      </w:r>
      <w:r>
        <w:rPr>
          <w:rFonts w:hint="eastAsia" w:ascii="宋体" w:hAnsi="宋体" w:cs="宋体"/>
        </w:rPr>
        <w:t xml:space="preserve">第二节 </w:t>
      </w:r>
      <w:r>
        <w:rPr>
          <w:rFonts w:hint="eastAsia"/>
        </w:rPr>
        <w:t>持续提升城镇功能品质</w:t>
      </w:r>
      <w:r>
        <w:tab/>
      </w:r>
      <w:r>
        <w:fldChar w:fldCharType="begin"/>
      </w:r>
      <w:r>
        <w:instrText xml:space="preserve"> PAGEREF _Toc8502 \h </w:instrText>
      </w:r>
      <w:r>
        <w:fldChar w:fldCharType="separate"/>
      </w:r>
      <w:r>
        <w:t>80</w:t>
      </w:r>
      <w:r>
        <w:fldChar w:fldCharType="end"/>
      </w:r>
      <w:r>
        <w:fldChar w:fldCharType="end"/>
      </w:r>
    </w:p>
    <w:p>
      <w:pPr>
        <w:pStyle w:val="24"/>
        <w:tabs>
          <w:tab w:val="right" w:leader="dot" w:pos="8845"/>
        </w:tabs>
      </w:pPr>
      <w:r>
        <w:fldChar w:fldCharType="begin"/>
      </w:r>
      <w:r>
        <w:instrText xml:space="preserve">Hyperlink \l "_Toc28108"</w:instrText>
      </w:r>
      <w:r>
        <w:fldChar w:fldCharType="separate"/>
      </w:r>
      <w:r>
        <w:rPr>
          <w:rFonts w:hint="eastAsia" w:ascii="宋体" w:hAnsi="宋体" w:cs="宋体"/>
        </w:rPr>
        <w:t xml:space="preserve">第三节 </w:t>
      </w:r>
      <w:r>
        <w:rPr>
          <w:rFonts w:hint="eastAsia" w:ascii="方正楷体_GBK"/>
        </w:rPr>
        <w:t>加快实施乡村生态振兴</w:t>
      </w:r>
      <w:r>
        <w:tab/>
      </w:r>
      <w:r>
        <w:fldChar w:fldCharType="begin"/>
      </w:r>
      <w:r>
        <w:instrText xml:space="preserve"> PAGEREF _Toc28108 \h </w:instrText>
      </w:r>
      <w:r>
        <w:fldChar w:fldCharType="separate"/>
      </w:r>
      <w:r>
        <w:t>82</w:t>
      </w:r>
      <w:r>
        <w:fldChar w:fldCharType="end"/>
      </w:r>
      <w:r>
        <w:fldChar w:fldCharType="end"/>
      </w:r>
    </w:p>
    <w:p>
      <w:pPr>
        <w:pStyle w:val="21"/>
        <w:tabs>
          <w:tab w:val="right" w:leader="dot" w:pos="8845"/>
        </w:tabs>
      </w:pPr>
      <w:r>
        <w:fldChar w:fldCharType="begin"/>
      </w:r>
      <w:r>
        <w:instrText xml:space="preserve">Hyperlink \l "_Toc17083"</w:instrText>
      </w:r>
      <w:r>
        <w:fldChar w:fldCharType="separate"/>
      </w:r>
      <w:r>
        <w:rPr>
          <w:rFonts w:hint="eastAsia" w:ascii="宋体" w:hAnsi="宋体" w:cs="宋体"/>
          <w:szCs w:val="32"/>
        </w:rPr>
        <w:t xml:space="preserve">第八章 </w:t>
      </w:r>
      <w:r>
        <w:t>积极培育生态文化</w:t>
      </w:r>
      <w:r>
        <w:rPr>
          <w:rFonts w:hint="eastAsia"/>
        </w:rPr>
        <w:t>，营造生态文明建设氛围</w:t>
      </w:r>
      <w:r>
        <w:tab/>
      </w:r>
      <w:r>
        <w:fldChar w:fldCharType="begin"/>
      </w:r>
      <w:r>
        <w:instrText xml:space="preserve"> PAGEREF _Toc17083 \h </w:instrText>
      </w:r>
      <w:r>
        <w:fldChar w:fldCharType="separate"/>
      </w:r>
      <w:r>
        <w:t>84</w:t>
      </w:r>
      <w:r>
        <w:fldChar w:fldCharType="end"/>
      </w:r>
      <w:r>
        <w:fldChar w:fldCharType="end"/>
      </w:r>
    </w:p>
    <w:p>
      <w:pPr>
        <w:pStyle w:val="24"/>
        <w:tabs>
          <w:tab w:val="right" w:leader="dot" w:pos="8845"/>
        </w:tabs>
      </w:pPr>
      <w:r>
        <w:fldChar w:fldCharType="begin"/>
      </w:r>
      <w:r>
        <w:instrText xml:space="preserve">Hyperlink \l "_Toc30859"</w:instrText>
      </w:r>
      <w:r>
        <w:fldChar w:fldCharType="separate"/>
      </w:r>
      <w:r>
        <w:rPr>
          <w:rFonts w:hint="eastAsia" w:ascii="宋体" w:hAnsi="宋体" w:cs="宋体"/>
        </w:rPr>
        <w:t xml:space="preserve">第一节 </w:t>
      </w:r>
      <w:r>
        <w:rPr>
          <w:rFonts w:hint="eastAsia"/>
        </w:rPr>
        <w:t>完善生态文化体系</w:t>
      </w:r>
      <w:r>
        <w:tab/>
      </w:r>
      <w:r>
        <w:fldChar w:fldCharType="begin"/>
      </w:r>
      <w:r>
        <w:instrText xml:space="preserve"> PAGEREF _Toc30859 \h </w:instrText>
      </w:r>
      <w:r>
        <w:fldChar w:fldCharType="separate"/>
      </w:r>
      <w:r>
        <w:t>84</w:t>
      </w:r>
      <w:r>
        <w:fldChar w:fldCharType="end"/>
      </w:r>
      <w:r>
        <w:fldChar w:fldCharType="end"/>
      </w:r>
    </w:p>
    <w:p>
      <w:pPr>
        <w:pStyle w:val="24"/>
        <w:tabs>
          <w:tab w:val="right" w:leader="dot" w:pos="8845"/>
        </w:tabs>
      </w:pPr>
      <w:r>
        <w:fldChar w:fldCharType="begin"/>
      </w:r>
      <w:r>
        <w:instrText xml:space="preserve">Hyperlink \l "_Toc19256"</w:instrText>
      </w:r>
      <w:r>
        <w:fldChar w:fldCharType="separate"/>
      </w:r>
      <w:r>
        <w:rPr>
          <w:rFonts w:hint="eastAsia" w:ascii="宋体" w:hAnsi="宋体" w:cs="宋体"/>
        </w:rPr>
        <w:t xml:space="preserve">第二节 </w:t>
      </w:r>
      <w:r>
        <w:rPr>
          <w:rFonts w:hint="eastAsia"/>
        </w:rPr>
        <w:t>倡导绿色生活方式</w:t>
      </w:r>
      <w:r>
        <w:tab/>
      </w:r>
      <w:r>
        <w:fldChar w:fldCharType="begin"/>
      </w:r>
      <w:r>
        <w:instrText xml:space="preserve"> PAGEREF _Toc19256 \h </w:instrText>
      </w:r>
      <w:r>
        <w:fldChar w:fldCharType="separate"/>
      </w:r>
      <w:r>
        <w:t>86</w:t>
      </w:r>
      <w:r>
        <w:fldChar w:fldCharType="end"/>
      </w:r>
      <w:r>
        <w:fldChar w:fldCharType="end"/>
      </w:r>
    </w:p>
    <w:p>
      <w:pPr>
        <w:pStyle w:val="24"/>
        <w:tabs>
          <w:tab w:val="right" w:leader="dot" w:pos="8845"/>
        </w:tabs>
      </w:pPr>
      <w:r>
        <w:fldChar w:fldCharType="begin"/>
      </w:r>
      <w:r>
        <w:instrText xml:space="preserve">Hyperlink \l "_Toc266"</w:instrText>
      </w:r>
      <w:r>
        <w:fldChar w:fldCharType="separate"/>
      </w:r>
      <w:r>
        <w:rPr>
          <w:rFonts w:hint="eastAsia" w:ascii="宋体" w:hAnsi="宋体" w:cs="宋体"/>
        </w:rPr>
        <w:t xml:space="preserve">第三节 </w:t>
      </w:r>
      <w:r>
        <w:rPr>
          <w:rFonts w:hint="eastAsia" w:ascii="方正楷体_GBK"/>
        </w:rPr>
        <w:t>共建共享生态文明</w:t>
      </w:r>
      <w:r>
        <w:tab/>
      </w:r>
      <w:r>
        <w:fldChar w:fldCharType="begin"/>
      </w:r>
      <w:r>
        <w:instrText xml:space="preserve"> PAGEREF _Toc266 \h </w:instrText>
      </w:r>
      <w:r>
        <w:fldChar w:fldCharType="separate"/>
      </w:r>
      <w:r>
        <w:t>87</w:t>
      </w:r>
      <w:r>
        <w:fldChar w:fldCharType="end"/>
      </w:r>
      <w:r>
        <w:fldChar w:fldCharType="end"/>
      </w:r>
    </w:p>
    <w:p>
      <w:pPr>
        <w:pStyle w:val="24"/>
        <w:tabs>
          <w:tab w:val="right" w:leader="dot" w:pos="8845"/>
        </w:tabs>
      </w:pPr>
      <w:r>
        <w:fldChar w:fldCharType="begin"/>
      </w:r>
      <w:r>
        <w:instrText xml:space="preserve">Hyperlink \l "_Toc30582"</w:instrText>
      </w:r>
      <w:r>
        <w:fldChar w:fldCharType="separate"/>
      </w:r>
      <w:r>
        <w:rPr>
          <w:rFonts w:hint="eastAsia" w:ascii="宋体" w:hAnsi="宋体" w:cs="宋体"/>
        </w:rPr>
        <w:t xml:space="preserve">第四节 </w:t>
      </w:r>
      <w:r>
        <w:rPr>
          <w:rFonts w:hint="eastAsia" w:ascii="方正楷体_GBK"/>
        </w:rPr>
        <w:t>夯实生态细胞工程</w:t>
      </w:r>
      <w:r>
        <w:tab/>
      </w:r>
      <w:r>
        <w:fldChar w:fldCharType="begin"/>
      </w:r>
      <w:r>
        <w:instrText xml:space="preserve"> PAGEREF _Toc30582 \h </w:instrText>
      </w:r>
      <w:r>
        <w:fldChar w:fldCharType="separate"/>
      </w:r>
      <w:r>
        <w:t>88</w:t>
      </w:r>
      <w:r>
        <w:fldChar w:fldCharType="end"/>
      </w:r>
      <w:r>
        <w:fldChar w:fldCharType="end"/>
      </w:r>
    </w:p>
    <w:p>
      <w:pPr>
        <w:pStyle w:val="21"/>
        <w:tabs>
          <w:tab w:val="right" w:leader="dot" w:pos="8845"/>
        </w:tabs>
      </w:pPr>
      <w:r>
        <w:fldChar w:fldCharType="begin"/>
      </w:r>
      <w:r>
        <w:instrText xml:space="preserve">Hyperlink \l "_Toc10297"</w:instrText>
      </w:r>
      <w:r>
        <w:fldChar w:fldCharType="separate"/>
      </w:r>
      <w:r>
        <w:rPr>
          <w:rFonts w:hint="eastAsia" w:ascii="宋体" w:hAnsi="宋体" w:cs="宋体"/>
          <w:szCs w:val="32"/>
        </w:rPr>
        <w:t xml:space="preserve">第九章 </w:t>
      </w:r>
      <w:r>
        <w:t>重点工程及</w:t>
      </w:r>
      <w:r>
        <w:rPr>
          <w:rFonts w:hint="eastAsia"/>
        </w:rPr>
        <w:t>效益分析</w:t>
      </w:r>
      <w:r>
        <w:tab/>
      </w:r>
      <w:r>
        <w:fldChar w:fldCharType="begin"/>
      </w:r>
      <w:r>
        <w:instrText xml:space="preserve"> PAGEREF _Toc10297 \h </w:instrText>
      </w:r>
      <w:r>
        <w:fldChar w:fldCharType="separate"/>
      </w:r>
      <w:r>
        <w:t>89</w:t>
      </w:r>
      <w:r>
        <w:fldChar w:fldCharType="end"/>
      </w:r>
      <w:r>
        <w:fldChar w:fldCharType="end"/>
      </w:r>
    </w:p>
    <w:p>
      <w:pPr>
        <w:pStyle w:val="24"/>
        <w:tabs>
          <w:tab w:val="right" w:leader="dot" w:pos="8845"/>
        </w:tabs>
      </w:pPr>
      <w:r>
        <w:fldChar w:fldCharType="begin"/>
      </w:r>
      <w:r>
        <w:instrText xml:space="preserve">Hyperlink \l "_Toc1741"</w:instrText>
      </w:r>
      <w:r>
        <w:fldChar w:fldCharType="separate"/>
      </w:r>
      <w:r>
        <w:rPr>
          <w:rFonts w:hint="eastAsia" w:ascii="宋体" w:hAnsi="宋体" w:cs="宋体"/>
        </w:rPr>
        <w:t xml:space="preserve">第一节 </w:t>
      </w:r>
      <w:r>
        <w:rPr>
          <w:rFonts w:hint="eastAsia"/>
        </w:rPr>
        <w:t>重点工程</w:t>
      </w:r>
      <w:r>
        <w:tab/>
      </w:r>
      <w:r>
        <w:fldChar w:fldCharType="begin"/>
      </w:r>
      <w:r>
        <w:instrText xml:space="preserve"> PAGEREF _Toc1741 \h </w:instrText>
      </w:r>
      <w:r>
        <w:fldChar w:fldCharType="separate"/>
      </w:r>
      <w:r>
        <w:t>89</w:t>
      </w:r>
      <w:r>
        <w:fldChar w:fldCharType="end"/>
      </w:r>
      <w:r>
        <w:fldChar w:fldCharType="end"/>
      </w:r>
    </w:p>
    <w:p>
      <w:pPr>
        <w:pStyle w:val="24"/>
        <w:tabs>
          <w:tab w:val="right" w:leader="dot" w:pos="8845"/>
        </w:tabs>
      </w:pPr>
      <w:r>
        <w:fldChar w:fldCharType="begin"/>
      </w:r>
      <w:r>
        <w:instrText xml:space="preserve">Hyperlink \l "_Toc20905"</w:instrText>
      </w:r>
      <w:r>
        <w:fldChar w:fldCharType="separate"/>
      </w:r>
      <w:r>
        <w:rPr>
          <w:rFonts w:hint="eastAsia" w:ascii="宋体" w:hAnsi="宋体" w:cs="宋体"/>
        </w:rPr>
        <w:t xml:space="preserve">第二节 </w:t>
      </w:r>
      <w:r>
        <w:rPr>
          <w:rFonts w:hint="eastAsia" w:ascii="方正楷体_GBK"/>
        </w:rPr>
        <w:t>资金筹措</w:t>
      </w:r>
      <w:r>
        <w:tab/>
      </w:r>
      <w:r>
        <w:fldChar w:fldCharType="begin"/>
      </w:r>
      <w:r>
        <w:instrText xml:space="preserve"> PAGEREF _Toc20905 \h </w:instrText>
      </w:r>
      <w:r>
        <w:fldChar w:fldCharType="separate"/>
      </w:r>
      <w:r>
        <w:t>89</w:t>
      </w:r>
      <w:r>
        <w:fldChar w:fldCharType="end"/>
      </w:r>
      <w:r>
        <w:fldChar w:fldCharType="end"/>
      </w:r>
    </w:p>
    <w:p>
      <w:pPr>
        <w:pStyle w:val="24"/>
        <w:tabs>
          <w:tab w:val="right" w:leader="dot" w:pos="8845"/>
        </w:tabs>
      </w:pPr>
      <w:r>
        <w:fldChar w:fldCharType="begin"/>
      </w:r>
      <w:r>
        <w:instrText xml:space="preserve">Hyperlink \l "_Toc20918"</w:instrText>
      </w:r>
      <w:r>
        <w:fldChar w:fldCharType="separate"/>
      </w:r>
      <w:r>
        <w:rPr>
          <w:rFonts w:hint="eastAsia" w:ascii="宋体" w:hAnsi="宋体" w:cs="宋体"/>
        </w:rPr>
        <w:t xml:space="preserve">第三节 </w:t>
      </w:r>
      <w:r>
        <w:rPr>
          <w:rFonts w:hint="eastAsia" w:ascii="方正楷体_GBK"/>
        </w:rPr>
        <w:t>效益分析</w:t>
      </w:r>
      <w:r>
        <w:tab/>
      </w:r>
      <w:r>
        <w:fldChar w:fldCharType="begin"/>
      </w:r>
      <w:r>
        <w:instrText xml:space="preserve"> PAGEREF _Toc20918 \h </w:instrText>
      </w:r>
      <w:r>
        <w:fldChar w:fldCharType="separate"/>
      </w:r>
      <w:r>
        <w:t>89</w:t>
      </w:r>
      <w:r>
        <w:fldChar w:fldCharType="end"/>
      </w:r>
      <w:r>
        <w:fldChar w:fldCharType="end"/>
      </w:r>
    </w:p>
    <w:p>
      <w:pPr>
        <w:pStyle w:val="21"/>
        <w:tabs>
          <w:tab w:val="right" w:leader="dot" w:pos="8845"/>
        </w:tabs>
      </w:pPr>
      <w:r>
        <w:fldChar w:fldCharType="begin"/>
      </w:r>
      <w:r>
        <w:instrText xml:space="preserve">Hyperlink \l "_Toc12893"</w:instrText>
      </w:r>
      <w:r>
        <w:fldChar w:fldCharType="separate"/>
      </w:r>
      <w:r>
        <w:rPr>
          <w:rFonts w:hint="eastAsia" w:ascii="宋体" w:hAnsi="宋体" w:cs="宋体"/>
          <w:szCs w:val="32"/>
        </w:rPr>
        <w:t xml:space="preserve">第十章 </w:t>
      </w:r>
      <w:r>
        <w:t>保障措施</w:t>
      </w:r>
      <w:r>
        <w:tab/>
      </w:r>
      <w:r>
        <w:fldChar w:fldCharType="begin"/>
      </w:r>
      <w:r>
        <w:instrText xml:space="preserve"> PAGEREF _Toc12893 \h </w:instrText>
      </w:r>
      <w:r>
        <w:fldChar w:fldCharType="separate"/>
      </w:r>
      <w:r>
        <w:t>92</w:t>
      </w:r>
      <w:r>
        <w:fldChar w:fldCharType="end"/>
      </w:r>
      <w:r>
        <w:fldChar w:fldCharType="end"/>
      </w:r>
    </w:p>
    <w:p>
      <w:pPr>
        <w:pStyle w:val="24"/>
        <w:tabs>
          <w:tab w:val="right" w:leader="dot" w:pos="8845"/>
        </w:tabs>
      </w:pPr>
      <w:r>
        <w:fldChar w:fldCharType="begin"/>
      </w:r>
      <w:r>
        <w:instrText xml:space="preserve">Hyperlink \l "_Toc9714"</w:instrText>
      </w:r>
      <w:r>
        <w:fldChar w:fldCharType="separate"/>
      </w:r>
      <w:r>
        <w:rPr>
          <w:rFonts w:hint="eastAsia" w:ascii="宋体" w:hAnsi="宋体" w:cs="宋体"/>
        </w:rPr>
        <w:t xml:space="preserve">第一节 </w:t>
      </w:r>
      <w:r>
        <w:t>强化组织领导</w:t>
      </w:r>
      <w:r>
        <w:tab/>
      </w:r>
      <w:r>
        <w:fldChar w:fldCharType="begin"/>
      </w:r>
      <w:r>
        <w:instrText xml:space="preserve"> PAGEREF _Toc9714 \h </w:instrText>
      </w:r>
      <w:r>
        <w:fldChar w:fldCharType="separate"/>
      </w:r>
      <w:r>
        <w:t>92</w:t>
      </w:r>
      <w:r>
        <w:fldChar w:fldCharType="end"/>
      </w:r>
      <w:r>
        <w:fldChar w:fldCharType="end"/>
      </w:r>
    </w:p>
    <w:p>
      <w:pPr>
        <w:pStyle w:val="24"/>
        <w:tabs>
          <w:tab w:val="right" w:leader="dot" w:pos="8845"/>
        </w:tabs>
      </w:pPr>
      <w:r>
        <w:fldChar w:fldCharType="begin"/>
      </w:r>
      <w:r>
        <w:instrText xml:space="preserve">Hyperlink \l "_Toc8905"</w:instrText>
      </w:r>
      <w:r>
        <w:fldChar w:fldCharType="separate"/>
      </w:r>
      <w:r>
        <w:rPr>
          <w:rFonts w:hint="eastAsia" w:ascii="宋体" w:hAnsi="宋体" w:cs="宋体"/>
        </w:rPr>
        <w:t xml:space="preserve">第二节 </w:t>
      </w:r>
      <w:r>
        <w:rPr>
          <w:rFonts w:ascii="方正楷体_GBK"/>
        </w:rPr>
        <w:t>强化责任落实</w:t>
      </w:r>
      <w:r>
        <w:tab/>
      </w:r>
      <w:r>
        <w:fldChar w:fldCharType="begin"/>
      </w:r>
      <w:r>
        <w:instrText xml:space="preserve"> PAGEREF _Toc8905 \h </w:instrText>
      </w:r>
      <w:r>
        <w:fldChar w:fldCharType="separate"/>
      </w:r>
      <w:r>
        <w:t>92</w:t>
      </w:r>
      <w:r>
        <w:fldChar w:fldCharType="end"/>
      </w:r>
      <w:r>
        <w:fldChar w:fldCharType="end"/>
      </w:r>
    </w:p>
    <w:p>
      <w:pPr>
        <w:pStyle w:val="24"/>
        <w:tabs>
          <w:tab w:val="right" w:leader="dot" w:pos="8845"/>
        </w:tabs>
      </w:pPr>
      <w:r>
        <w:fldChar w:fldCharType="begin"/>
      </w:r>
      <w:r>
        <w:instrText xml:space="preserve">Hyperlink \l "_Toc7407"</w:instrText>
      </w:r>
      <w:r>
        <w:fldChar w:fldCharType="separate"/>
      </w:r>
      <w:r>
        <w:rPr>
          <w:rFonts w:hint="eastAsia" w:ascii="宋体" w:hAnsi="宋体" w:cs="宋体"/>
        </w:rPr>
        <w:t xml:space="preserve">第三节 </w:t>
      </w:r>
      <w:r>
        <w:rPr>
          <w:rFonts w:hint="eastAsia" w:ascii="方正楷体_GBK"/>
        </w:rPr>
        <w:t>加强协调联动</w:t>
      </w:r>
      <w:r>
        <w:tab/>
      </w:r>
      <w:r>
        <w:fldChar w:fldCharType="begin"/>
      </w:r>
      <w:r>
        <w:instrText xml:space="preserve"> PAGEREF _Toc7407 \h </w:instrText>
      </w:r>
      <w:r>
        <w:fldChar w:fldCharType="separate"/>
      </w:r>
      <w:r>
        <w:t>93</w:t>
      </w:r>
      <w:r>
        <w:fldChar w:fldCharType="end"/>
      </w:r>
      <w:r>
        <w:fldChar w:fldCharType="end"/>
      </w:r>
    </w:p>
    <w:p>
      <w:pPr>
        <w:pStyle w:val="24"/>
        <w:tabs>
          <w:tab w:val="right" w:leader="dot" w:pos="8845"/>
        </w:tabs>
      </w:pPr>
      <w:r>
        <w:fldChar w:fldCharType="begin"/>
      </w:r>
      <w:r>
        <w:instrText xml:space="preserve">Hyperlink \l "_Toc13869"</w:instrText>
      </w:r>
      <w:r>
        <w:fldChar w:fldCharType="separate"/>
      </w:r>
      <w:r>
        <w:rPr>
          <w:rFonts w:hint="eastAsia" w:ascii="宋体" w:hAnsi="宋体" w:cs="宋体"/>
        </w:rPr>
        <w:t xml:space="preserve">第四节 </w:t>
      </w:r>
      <w:r>
        <w:rPr>
          <w:rFonts w:ascii="方正楷体_GBK"/>
        </w:rPr>
        <w:t>强化跟踪评估</w:t>
      </w:r>
      <w:r>
        <w:tab/>
      </w:r>
      <w:r>
        <w:fldChar w:fldCharType="begin"/>
      </w:r>
      <w:r>
        <w:instrText xml:space="preserve"> PAGEREF _Toc13869 \h </w:instrText>
      </w:r>
      <w:r>
        <w:fldChar w:fldCharType="separate"/>
      </w:r>
      <w:r>
        <w:t>93</w:t>
      </w:r>
      <w:r>
        <w:fldChar w:fldCharType="end"/>
      </w:r>
      <w:r>
        <w:fldChar w:fldCharType="end"/>
      </w:r>
    </w:p>
    <w:p>
      <w:pPr>
        <w:pStyle w:val="21"/>
        <w:tabs>
          <w:tab w:val="right" w:leader="dot" w:pos="8845"/>
        </w:tabs>
      </w:pPr>
      <w:r>
        <w:fldChar w:fldCharType="begin"/>
      </w:r>
      <w:r>
        <w:instrText xml:space="preserve">Hyperlink \l "_Toc1618"</w:instrText>
      </w:r>
      <w:r>
        <w:fldChar w:fldCharType="separate"/>
      </w:r>
      <w:r>
        <w:rPr>
          <w:rFonts w:hint="eastAsia"/>
        </w:rPr>
        <w:t>附件</w:t>
      </w:r>
      <w:r>
        <w:tab/>
      </w:r>
      <w:r>
        <w:fldChar w:fldCharType="begin"/>
      </w:r>
      <w:r>
        <w:instrText xml:space="preserve"> PAGEREF _Toc1618 \h </w:instrText>
      </w:r>
      <w:r>
        <w:fldChar w:fldCharType="separate"/>
      </w:r>
      <w:r>
        <w:t>95</w:t>
      </w:r>
      <w:r>
        <w:fldChar w:fldCharType="end"/>
      </w:r>
      <w:r>
        <w:fldChar w:fldCharType="end"/>
      </w:r>
    </w:p>
    <w:p>
      <w:pPr>
        <w:pStyle w:val="24"/>
        <w:tabs>
          <w:tab w:val="right" w:leader="dot" w:pos="8845"/>
        </w:tabs>
      </w:pPr>
      <w:r>
        <w:fldChar w:fldCharType="begin"/>
      </w:r>
      <w:r>
        <w:instrText xml:space="preserve">Hyperlink \l "_Toc26996"</w:instrText>
      </w:r>
      <w:r>
        <w:fldChar w:fldCharType="separate"/>
      </w:r>
      <w:r>
        <w:rPr>
          <w:rFonts w:hint="eastAsia"/>
        </w:rPr>
        <w:t>附表1奉节县生态文明建设示范县建设重点工程项目表</w:t>
      </w:r>
      <w:r>
        <w:tab/>
      </w:r>
      <w:r>
        <w:fldChar w:fldCharType="begin"/>
      </w:r>
      <w:r>
        <w:instrText xml:space="preserve"> PAGEREF _Toc26996 \h </w:instrText>
      </w:r>
      <w:r>
        <w:fldChar w:fldCharType="separate"/>
      </w:r>
      <w:r>
        <w:t>95</w:t>
      </w:r>
      <w:r>
        <w:fldChar w:fldCharType="end"/>
      </w:r>
      <w:r>
        <w:fldChar w:fldCharType="end"/>
      </w:r>
    </w:p>
    <w:p>
      <w:pPr>
        <w:spacing w:line="594" w:lineRule="exact"/>
        <w:rPr>
          <w:rFonts w:eastAsia="方正楷体_GBK"/>
        </w:rPr>
      </w:pPr>
      <w:r>
        <w:rPr>
          <w:rFonts w:hint="eastAsia" w:eastAsia="方正楷体_GBK"/>
        </w:rPr>
        <w:fldChar w:fldCharType="end"/>
      </w:r>
      <w:r>
        <w:rPr>
          <w:rFonts w:hint="eastAsia" w:eastAsia="方正楷体_GBK"/>
        </w:rPr>
        <w:t>附图1地理位置图</w:t>
      </w:r>
    </w:p>
    <w:p>
      <w:pPr>
        <w:spacing w:line="594" w:lineRule="exact"/>
        <w:rPr>
          <w:rFonts w:eastAsia="方正楷体_GBK"/>
        </w:rPr>
      </w:pPr>
      <w:r>
        <w:rPr>
          <w:rFonts w:hint="eastAsia" w:eastAsia="方正楷体_GBK"/>
        </w:rPr>
        <w:t>附图2行政区划图</w:t>
      </w:r>
    </w:p>
    <w:p>
      <w:pPr>
        <w:spacing w:line="594" w:lineRule="exact"/>
        <w:rPr>
          <w:rFonts w:eastAsia="方正楷体_GBK"/>
        </w:rPr>
      </w:pPr>
      <w:r>
        <w:rPr>
          <w:rFonts w:hint="eastAsia" w:eastAsia="方正楷体_GBK"/>
        </w:rPr>
        <w:t>附图3高程数据图</w:t>
      </w:r>
    </w:p>
    <w:p>
      <w:pPr>
        <w:spacing w:line="594" w:lineRule="exact"/>
        <w:rPr>
          <w:rFonts w:eastAsia="方正楷体_GBK"/>
        </w:rPr>
      </w:pPr>
      <w:r>
        <w:rPr>
          <w:rFonts w:hint="eastAsia" w:eastAsia="方正楷体_GBK"/>
        </w:rPr>
        <w:t>附图4水系图</w:t>
      </w:r>
    </w:p>
    <w:p>
      <w:pPr>
        <w:spacing w:line="594" w:lineRule="exact"/>
        <w:rPr>
          <w:rFonts w:eastAsia="方正楷体_GBK"/>
        </w:rPr>
      </w:pPr>
      <w:r>
        <w:rPr>
          <w:rFonts w:hint="eastAsia" w:eastAsia="方正楷体_GBK"/>
        </w:rPr>
        <w:t>附图5土地利用现状图</w:t>
      </w:r>
    </w:p>
    <w:p>
      <w:pPr>
        <w:spacing w:line="594" w:lineRule="exact"/>
        <w:rPr>
          <w:rFonts w:eastAsia="方正楷体_GBK"/>
        </w:rPr>
      </w:pPr>
      <w:r>
        <w:rPr>
          <w:rFonts w:hint="eastAsia" w:eastAsia="方正楷体_GBK"/>
        </w:rPr>
        <w:t>附图6生态保护红线范围图</w:t>
      </w:r>
    </w:p>
    <w:p>
      <w:pPr>
        <w:spacing w:line="594" w:lineRule="exact"/>
        <w:rPr>
          <w:rFonts w:eastAsia="方正楷体_GBK"/>
        </w:rPr>
      </w:pPr>
      <w:r>
        <w:rPr>
          <w:rFonts w:hint="eastAsia" w:eastAsia="方正楷体_GBK"/>
        </w:rPr>
        <w:t>附图7地表水环境质量监测点位图</w:t>
      </w:r>
    </w:p>
    <w:p>
      <w:pPr>
        <w:spacing w:line="594" w:lineRule="exact"/>
        <w:rPr>
          <w:rFonts w:eastAsia="方正楷体_GBK"/>
        </w:rPr>
      </w:pPr>
      <w:r>
        <w:rPr>
          <w:rFonts w:hint="eastAsia" w:eastAsia="方正楷体_GBK"/>
        </w:rPr>
        <w:t>附图8环境空气质量监测点位图</w:t>
      </w:r>
    </w:p>
    <w:p>
      <w:pPr>
        <w:spacing w:line="594" w:lineRule="exact"/>
        <w:rPr>
          <w:rFonts w:eastAsia="方正楷体_GBK"/>
        </w:rPr>
        <w:sectPr>
          <w:footerReference r:id="rId6" w:type="default"/>
          <w:pgSz w:w="11906" w:h="16838"/>
          <w:pgMar w:top="2098" w:right="1474" w:bottom="1984" w:left="1587" w:header="851" w:footer="1474" w:gutter="0"/>
          <w:pgNumType w:fmt="upperRoman" w:start="1"/>
          <w:cols w:space="720" w:num="1"/>
          <w:docGrid w:type="lines" w:linePitch="439" w:charSpace="0"/>
        </w:sectPr>
      </w:pPr>
      <w:r>
        <w:rPr>
          <w:rFonts w:hint="eastAsia" w:eastAsia="方正楷体_GBK"/>
        </w:rPr>
        <w:t>附图9重点工程项目分布图</w:t>
      </w:r>
    </w:p>
    <w:p>
      <w:pPr>
        <w:pStyle w:val="4"/>
        <w:numPr>
          <w:ilvl w:val="0"/>
          <w:numId w:val="0"/>
        </w:numPr>
        <w:spacing w:line="594" w:lineRule="exact"/>
        <w:ind w:left="432"/>
        <w:sectPr>
          <w:footerReference r:id="rId7" w:type="default"/>
          <w:type w:val="continuous"/>
          <w:pgSz w:w="11906" w:h="16838"/>
          <w:pgMar w:top="2098" w:right="1474" w:bottom="1984" w:left="1587" w:header="851" w:footer="992" w:gutter="0"/>
          <w:pgNumType w:fmt="lowerRoman" w:start="1"/>
          <w:cols w:space="720" w:num="1"/>
          <w:docGrid w:type="lines" w:linePitch="439" w:charSpace="0"/>
        </w:sectPr>
      </w:pPr>
      <w:bookmarkStart w:id="9" w:name="_Toc22919"/>
    </w:p>
    <w:bookmarkEnd w:id="9"/>
    <w:p>
      <w:pPr>
        <w:pStyle w:val="4"/>
        <w:spacing w:line="594" w:lineRule="exact"/>
        <w:ind w:left="0"/>
      </w:pPr>
      <w:bookmarkStart w:id="10" w:name="_Toc12214"/>
      <w:bookmarkStart w:id="11" w:name="_Toc12776"/>
      <w:bookmarkStart w:id="12" w:name="_Toc619"/>
      <w:bookmarkStart w:id="13" w:name="_Toc17964"/>
      <w:bookmarkStart w:id="14" w:name="_Toc3306"/>
      <w:bookmarkStart w:id="15" w:name="_Toc18331"/>
      <w:bookmarkStart w:id="16" w:name="_Toc7381"/>
      <w:bookmarkStart w:id="17" w:name="_Toc3192"/>
      <w:bookmarkStart w:id="18" w:name="_Toc30056"/>
      <w:bookmarkStart w:id="19" w:name="_Toc1134"/>
      <w:bookmarkStart w:id="20" w:name="_Toc3793"/>
      <w:bookmarkStart w:id="21" w:name="_Toc5002"/>
      <w:bookmarkStart w:id="22" w:name="_Toc5342"/>
      <w:bookmarkStart w:id="23" w:name="_Toc6761"/>
      <w:bookmarkStart w:id="24" w:name="_Toc11355"/>
      <w:bookmarkStart w:id="25" w:name="_Toc31808"/>
      <w:bookmarkStart w:id="26" w:name="_Toc23440"/>
      <w:bookmarkStart w:id="27" w:name="_Toc21639"/>
      <w:bookmarkStart w:id="28" w:name="_Toc29445"/>
      <w:bookmarkStart w:id="29" w:name="_Toc12666"/>
      <w:bookmarkStart w:id="30" w:name="_Toc11391"/>
      <w:bookmarkStart w:id="31" w:name="_Toc12360"/>
      <w:bookmarkStart w:id="32" w:name="_Toc10436"/>
      <w:bookmarkStart w:id="33" w:name="_Toc13310"/>
      <w:bookmarkStart w:id="34" w:name="_Toc10653"/>
      <w:bookmarkStart w:id="35" w:name="_Toc4475"/>
      <w:bookmarkStart w:id="36" w:name="_Toc5113"/>
      <w:bookmarkStart w:id="37" w:name="_Toc12737"/>
      <w:bookmarkStart w:id="38" w:name="_Toc30950"/>
      <w:r>
        <w:rPr>
          <w:rFonts w:hint="eastAsia"/>
        </w:rPr>
        <w:t>建设</w:t>
      </w:r>
      <w:r>
        <w:t>基础及形势</w:t>
      </w:r>
      <w:bookmarkEnd w:id="10"/>
      <w:bookmarkEnd w:id="11"/>
      <w:bookmarkEnd w:id="12"/>
      <w:bookmarkEnd w:id="13"/>
      <w:bookmarkEnd w:id="14"/>
      <w:r>
        <w:rPr>
          <w:rFonts w:hint="eastAsia"/>
        </w:rPr>
        <w:t>分析</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p>
      <w:pPr>
        <w:pStyle w:val="5"/>
      </w:pPr>
      <w:bookmarkStart w:id="39" w:name="_Toc15078"/>
      <w:bookmarkStart w:id="40" w:name="_Toc28711"/>
      <w:bookmarkStart w:id="41" w:name="_Toc15515"/>
      <w:bookmarkStart w:id="42" w:name="_Toc22751"/>
      <w:bookmarkStart w:id="43" w:name="_Toc29433"/>
      <w:bookmarkStart w:id="44" w:name="_Toc23276"/>
      <w:bookmarkStart w:id="45" w:name="_Toc2679"/>
      <w:bookmarkStart w:id="46" w:name="_Toc22315"/>
      <w:bookmarkStart w:id="47" w:name="_Toc9518"/>
      <w:bookmarkStart w:id="48" w:name="_Toc25818"/>
      <w:bookmarkStart w:id="49" w:name="_Toc5496"/>
      <w:bookmarkStart w:id="50" w:name="_Toc15589"/>
      <w:bookmarkStart w:id="51" w:name="_Toc27120"/>
      <w:bookmarkStart w:id="52" w:name="_Toc4764"/>
      <w:bookmarkStart w:id="53" w:name="_Toc7980"/>
      <w:bookmarkStart w:id="54" w:name="_Toc28331"/>
      <w:bookmarkStart w:id="55" w:name="_Toc5122"/>
      <w:bookmarkStart w:id="56" w:name="_Toc26546"/>
      <w:bookmarkStart w:id="57" w:name="_Toc19261"/>
      <w:bookmarkStart w:id="58" w:name="_Toc31071"/>
      <w:bookmarkStart w:id="59" w:name="_Toc26166"/>
      <w:bookmarkStart w:id="60" w:name="_Toc5713"/>
      <w:bookmarkStart w:id="61" w:name="_Toc19494"/>
      <w:bookmarkStart w:id="62" w:name="_Toc16565"/>
      <w:bookmarkStart w:id="63" w:name="_Toc29533"/>
      <w:bookmarkStart w:id="64" w:name="_Toc454"/>
      <w:bookmarkStart w:id="65" w:name="_Toc30713"/>
      <w:bookmarkStart w:id="66" w:name="_Toc10874"/>
      <w:bookmarkStart w:id="67" w:name="_Toc8446"/>
      <w:r>
        <w:rPr>
          <w:rFonts w:hint="eastAsia"/>
        </w:rPr>
        <w:t>区域特征</w:t>
      </w:r>
      <w:bookmarkEnd w:id="39"/>
      <w:bookmarkEnd w:id="40"/>
      <w:bookmarkEnd w:id="41"/>
      <w:bookmarkEnd w:id="42"/>
      <w:bookmarkEnd w:id="43"/>
      <w:bookmarkEnd w:id="44"/>
      <w:bookmarkEnd w:id="45"/>
      <w:bookmarkEnd w:id="46"/>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pPr>
        <w:keepNext/>
        <w:keepLines/>
        <w:widowControl w:val="0"/>
        <w:spacing w:line="594" w:lineRule="exact"/>
        <w:ind w:left="640" w:leftChars="200"/>
        <w:rPr>
          <w:b/>
          <w:bCs/>
        </w:rPr>
      </w:pPr>
      <w:r>
        <w:rPr>
          <w:rFonts w:hint="eastAsia"/>
          <w:b/>
          <w:bCs/>
        </w:rPr>
        <w:t>一、区位概况</w:t>
      </w:r>
    </w:p>
    <w:p>
      <w:pPr>
        <w:spacing w:line="594" w:lineRule="exact"/>
      </w:pPr>
      <w:r>
        <w:rPr>
          <w:rFonts w:hint="eastAsia"/>
          <w:b/>
          <w:bCs/>
        </w:rPr>
        <w:t>地理位置。</w:t>
      </w:r>
      <w:r>
        <w:rPr>
          <w:rFonts w:hint="eastAsia"/>
        </w:rPr>
        <w:t>奉节县是重庆市的东大门，位于长江三峡库区腹心，大巴山脉前缘和鄂西山地的接壤地带，属于重庆市渝东北三峡库区城镇群，东临巫山县，南接湖北省恩施市，西连云阳县，北接巫溪县，历史上被称为“控带二川，限隔五溪，据荆楚之上游，为巴蜀之喉吭”“西南四道之咽喉，吴楚万里之襟带”，是陕南、渝东、鄂西和湘北最便捷的水上出口通道，更是连接湘鄂渝陕南北经济走廊的枢纽。</w:t>
      </w:r>
    </w:p>
    <w:p>
      <w:pPr>
        <w:pStyle w:val="2"/>
        <w:spacing w:line="594" w:lineRule="exact"/>
        <w:ind w:left="0" w:leftChars="0"/>
      </w:pPr>
      <w:r>
        <w:rPr>
          <w:rFonts w:hint="eastAsia"/>
          <w:b/>
          <w:bCs/>
        </w:rPr>
        <w:t>生态功能区定位。</w:t>
      </w:r>
      <w:r>
        <w:rPr>
          <w:rFonts w:hint="eastAsia"/>
        </w:rPr>
        <w:t>根据《全国主体功能区规划》，奉节县属三峡库区水土保持生态功能区。根据《全国生态功能区划（修编）》，奉节县属三峡库区土壤保持重要区，属于三峡水库环境保护的重要区域，其生态屏障带建设、消落区生态环境综合整治、水污染防治、地质灾害和干旱洪涝防治等对渝东北区域乃至三峡库区的三峡水库水质安全、水源涵养、水土保持、生物多样性维护功能的保护与提升具有重要的作用。根据《重庆市生态功能区划（修编）》，奉节县属II1-1巫山－奉节水质保护－水源涵养生态功能区，主导生态功能为保护三峡水库水体，辅助功能为水土保持、水源涵养。</w:t>
      </w:r>
    </w:p>
    <w:p>
      <w:pPr>
        <w:keepNext/>
        <w:keepLines/>
        <w:widowControl w:val="0"/>
        <w:spacing w:line="594" w:lineRule="exact"/>
        <w:ind w:left="640" w:leftChars="200"/>
        <w:rPr>
          <w:b/>
          <w:bCs/>
        </w:rPr>
      </w:pPr>
      <w:r>
        <w:rPr>
          <w:rFonts w:hint="eastAsia"/>
          <w:b/>
          <w:bCs/>
        </w:rPr>
        <w:t>二、</w:t>
      </w:r>
      <w:r>
        <w:rPr>
          <w:b/>
          <w:bCs/>
        </w:rPr>
        <w:t>自然</w:t>
      </w:r>
      <w:r>
        <w:rPr>
          <w:rFonts w:hint="eastAsia"/>
          <w:b/>
          <w:bCs/>
        </w:rPr>
        <w:t>概况</w:t>
      </w:r>
    </w:p>
    <w:p>
      <w:pPr>
        <w:pStyle w:val="2"/>
        <w:spacing w:line="594" w:lineRule="exact"/>
        <w:ind w:left="0" w:leftChars="0"/>
      </w:pPr>
      <w:r>
        <w:rPr>
          <w:rFonts w:hint="eastAsia"/>
          <w:b/>
          <w:bCs/>
        </w:rPr>
        <w:t>地形地貌。</w:t>
      </w:r>
      <w:r>
        <w:rPr>
          <w:rFonts w:hint="eastAsia"/>
        </w:rPr>
        <w:t>奉节县地处四川盆地东部，以山地地貌为主，海拔1000米以上中山区域超过80%，最高海拔猫儿梁为212</w:t>
      </w:r>
      <w:r>
        <w:t>3</w:t>
      </w:r>
      <w:r>
        <w:rPr>
          <w:rFonts w:hint="eastAsia"/>
        </w:rPr>
        <w:t>米，最低点在瞿塘峡口为86米。北部为大巴山南麓的一部分，东部和南部为巫山和七曜山的一部分，长江横切七曜山形成著名的瞿塘峡，境内山峦起伏，沟壑纵横。</w:t>
      </w:r>
      <w:r>
        <w:t>地貌</w:t>
      </w:r>
      <w:r>
        <w:rPr>
          <w:rFonts w:hint="eastAsia"/>
        </w:rPr>
        <w:t>总体上东南和东北高，中部偏西稍平缓，南北约对称分布，以长江为轴线，离长江越远海拔越高，有少量平缓河谷平坝。受区域地质构造和岩性的影响，地貌类型为构造、侵蚀、剥蚀低中山河谷，主要山脉走向与构造线方向一致。县域现有七曜山、金凤山、鞍子山、赤甲山、白盐山、长龙山、枇杷山、狮子山、龙华山、石乳山等重要山体。</w:t>
      </w:r>
    </w:p>
    <w:p>
      <w:pPr>
        <w:pStyle w:val="2"/>
        <w:spacing w:line="594" w:lineRule="exact"/>
        <w:ind w:left="0" w:leftChars="0"/>
      </w:pPr>
      <w:r>
        <w:rPr>
          <w:rFonts w:hint="eastAsia"/>
          <w:b/>
          <w:bCs/>
        </w:rPr>
        <w:t>气候</w:t>
      </w:r>
      <w:r>
        <w:rPr>
          <w:b/>
          <w:bCs/>
        </w:rPr>
        <w:t>特点</w:t>
      </w:r>
      <w:r>
        <w:rPr>
          <w:rFonts w:hint="eastAsia"/>
          <w:b/>
          <w:bCs/>
        </w:rPr>
        <w:t>。</w:t>
      </w:r>
      <w:r>
        <w:rPr>
          <w:rFonts w:hint="eastAsia"/>
        </w:rPr>
        <w:t>奉节县境内属中亚热带湿润季风气候，春旱、夏热、秋凉、冬暖，四季分明。气候垂直变化较为明显，是典型的山地立体气候。多年平均气温15.5</w:t>
      </w:r>
      <w:r>
        <w:rPr>
          <w:rFonts w:cs="Times New Roman"/>
        </w:rPr>
        <w:t>℃</w:t>
      </w:r>
      <w:r>
        <w:rPr>
          <w:rFonts w:hint="eastAsia"/>
        </w:rPr>
        <w:t>，极端最高气温39.8</w:t>
      </w:r>
      <w:r>
        <w:rPr>
          <w:rFonts w:cs="Times New Roman"/>
        </w:rPr>
        <w:t>℃</w:t>
      </w:r>
      <w:r>
        <w:rPr>
          <w:rFonts w:hint="eastAsia" w:cs="Times New Roman"/>
        </w:rPr>
        <w:t>，极端最低气温-9.2</w:t>
      </w:r>
      <w:r>
        <w:rPr>
          <w:rFonts w:cs="Times New Roman"/>
        </w:rPr>
        <w:t>℃</w:t>
      </w:r>
      <w:r>
        <w:rPr>
          <w:rFonts w:hint="eastAsia" w:cs="Times New Roman"/>
        </w:rPr>
        <w:t>。</w:t>
      </w:r>
      <w:r>
        <w:rPr>
          <w:rFonts w:hint="eastAsia"/>
        </w:rPr>
        <w:t>雨量充沛，年均降水量1132毫米。无霜期长，年均无霜期287天。日照时间长，常年日照时数1639小时。年平均风速2.16米/秒，常年主导风向为北风，次主导风向为东风。</w:t>
      </w:r>
    </w:p>
    <w:p>
      <w:pPr>
        <w:pStyle w:val="2"/>
        <w:spacing w:line="594" w:lineRule="exact"/>
        <w:ind w:left="0" w:leftChars="0"/>
      </w:pPr>
      <w:r>
        <w:rPr>
          <w:rFonts w:hint="eastAsia"/>
          <w:b/>
          <w:bCs/>
        </w:rPr>
        <w:t>水文水系。</w:t>
      </w:r>
      <w:r>
        <w:rPr>
          <w:rFonts w:hint="eastAsia"/>
        </w:rPr>
        <w:t>奉节县溪河遍布，均属长江水系。县内流域面积</w:t>
      </w:r>
      <w:r>
        <w:t>50 km</w:t>
      </w:r>
      <w:r>
        <w:rPr>
          <w:sz w:val="36"/>
          <w:szCs w:val="28"/>
          <w:vertAlign w:val="superscript"/>
        </w:rPr>
        <w:t>2</w:t>
      </w:r>
      <w:r>
        <w:rPr>
          <w:rFonts w:hint="eastAsia"/>
        </w:rPr>
        <w:t>以上重要河流</w:t>
      </w:r>
      <w:r>
        <w:t>30</w:t>
      </w:r>
      <w:r>
        <w:rPr>
          <w:rFonts w:hint="eastAsia"/>
        </w:rPr>
        <w:t>条，除长江干流外较大的河流有梅溪河、大溪河、长滩河、草堂河、朱衣河等，溪河纵横，河网密度达</w:t>
      </w:r>
      <w:r>
        <w:t>0.43km/km</w:t>
      </w:r>
      <w:r>
        <w:rPr>
          <w:sz w:val="36"/>
          <w:szCs w:val="28"/>
          <w:vertAlign w:val="superscript"/>
        </w:rPr>
        <w:t>2</w:t>
      </w:r>
      <w:r>
        <w:rPr>
          <w:rFonts w:hint="eastAsia"/>
        </w:rPr>
        <w:t>。</w:t>
      </w:r>
    </w:p>
    <w:p>
      <w:pPr>
        <w:spacing w:line="594" w:lineRule="exact"/>
        <w:rPr>
          <w:b/>
          <w:bCs/>
        </w:rPr>
      </w:pPr>
      <w:r>
        <w:rPr>
          <w:rFonts w:hint="eastAsia"/>
          <w:b/>
          <w:bCs/>
        </w:rPr>
        <w:t>三、资源概况</w:t>
      </w:r>
    </w:p>
    <w:p>
      <w:pPr>
        <w:pStyle w:val="2"/>
        <w:spacing w:line="594" w:lineRule="exact"/>
        <w:ind w:left="0" w:leftChars="0"/>
      </w:pPr>
      <w:r>
        <w:rPr>
          <w:rFonts w:hint="eastAsia"/>
          <w:b/>
          <w:bCs/>
        </w:rPr>
        <w:t>水资源。</w:t>
      </w:r>
      <w:r>
        <w:rPr>
          <w:rFonts w:hint="eastAsia"/>
        </w:rPr>
        <w:t>奉节县水资源丰富，</w:t>
      </w:r>
      <w:r>
        <w:t>2021</w:t>
      </w:r>
      <w:r>
        <w:rPr>
          <w:rFonts w:hint="eastAsia"/>
        </w:rPr>
        <w:t>年，全县水资源总量为</w:t>
      </w:r>
      <w:r>
        <w:t>38.99</w:t>
      </w:r>
      <w:r>
        <w:rPr>
          <w:rFonts w:hint="eastAsia"/>
        </w:rPr>
        <w:t>亿立方米，其中地表水资源多年平均径流量为</w:t>
      </w:r>
      <w:r>
        <w:t>38.99</w:t>
      </w:r>
      <w:r>
        <w:rPr>
          <w:rFonts w:hint="eastAsia"/>
        </w:rPr>
        <w:t>亿立方米，地下水资源总量为</w:t>
      </w:r>
      <w:r>
        <w:t>9.46</w:t>
      </w:r>
      <w:r>
        <w:rPr>
          <w:rFonts w:hint="eastAsia"/>
        </w:rPr>
        <w:t>亿立方米。</w:t>
      </w:r>
    </w:p>
    <w:p>
      <w:pPr>
        <w:pStyle w:val="2"/>
        <w:spacing w:line="594" w:lineRule="exact"/>
        <w:ind w:left="0" w:leftChars="0"/>
      </w:pPr>
      <w:r>
        <w:rPr>
          <w:rFonts w:hint="eastAsia"/>
          <w:b/>
          <w:bCs/>
        </w:rPr>
        <w:t>生物资源。</w:t>
      </w:r>
      <w:r>
        <w:rPr>
          <w:rFonts w:hint="eastAsia"/>
        </w:rPr>
        <w:t>奉节县生物资源丰富，动植物种类繁多。有高等植物170科426属749种，其中苔藓植物18种22属26种，蕨类植物26科38属51种，裸子植物8科15属18种，被子植物118科351属654种。有野生动物19目42科104种，其中两栖类1目4科11种，爬行类2目6科10种，兽类3目7科11种，鸟类13目25科72种，其中，一级野生保护动物有7种，分别是林麝，川金丝猴，小灵猫，金猫，云豹，豹，金雕；二级保护动物13种，分别为猕猴，豹猫，獐子，岩羊，红腹锦鸡，白腹隼雕，苍鹰，云雀，画眉，黑啄木鸟，灰头鹦鹉，蟒蛇，巫山大步甲。</w:t>
      </w:r>
    </w:p>
    <w:p>
      <w:pPr>
        <w:pStyle w:val="2"/>
        <w:spacing w:line="594" w:lineRule="exact"/>
        <w:ind w:left="0" w:leftChars="0"/>
      </w:pPr>
      <w:r>
        <w:rPr>
          <w:rFonts w:hint="eastAsia"/>
          <w:b/>
          <w:bCs/>
        </w:rPr>
        <w:t>土壤资源。</w:t>
      </w:r>
      <w:r>
        <w:rPr>
          <w:rFonts w:hint="eastAsia"/>
        </w:rPr>
        <w:t>奉节县土壤主要包括水稻土、冲积土、紫色土、黄壤、石灰岩土五大类。地带性土壤为黄壤，农耕土壤以壤土为主，占农业土壤的61.26%，粘土占22.38%，砂土和砾土占15.86%。耕地中石灰岩土类最多，占总耕地的41.65%，紫色土次之为28.79%，水稻土为19.7%，黄壤为9.01%，冲积土为0.83%。</w:t>
      </w:r>
    </w:p>
    <w:p>
      <w:pPr>
        <w:pStyle w:val="2"/>
        <w:spacing w:line="594" w:lineRule="exact"/>
        <w:ind w:left="0" w:leftChars="0"/>
      </w:pPr>
      <w:r>
        <w:rPr>
          <w:rFonts w:hint="eastAsia"/>
          <w:b/>
          <w:bCs/>
        </w:rPr>
        <w:t>矿产资源。</w:t>
      </w:r>
      <w:r>
        <w:rPr>
          <w:rFonts w:hint="eastAsia"/>
        </w:rPr>
        <w:t>奉节县矿产资源种类较多，相对丰富。已发现17个矿种，主要有煤、石煤、天然气和地热等4种能源矿产；铁矿、铜矿、钒、钼矿等4种金属矿产；石灰岩（水泥用、建筑石料用）、砂岩（建筑石料用）、泥（页）岩（水泥配料用、砖瓦用）、硫铁矿、方解石、粘土等6种非金属矿产，另外还有石膏、地热、矿泉水等。共发现矿产地169处，已开发利用煤、石灰岩、石膏、页岩、砂矿、石煤、粘土矿等矿种。</w:t>
      </w:r>
    </w:p>
    <w:p>
      <w:pPr>
        <w:pStyle w:val="2"/>
        <w:spacing w:line="594" w:lineRule="exact"/>
        <w:ind w:left="0" w:leftChars="0"/>
      </w:pPr>
      <w:r>
        <w:rPr>
          <w:rFonts w:hint="eastAsia"/>
          <w:b/>
          <w:bCs/>
        </w:rPr>
        <w:t>文化旅游资源。</w:t>
      </w:r>
      <w:r>
        <w:rPr>
          <w:rFonts w:hint="eastAsia"/>
        </w:rPr>
        <w:t>奉节县文化旅游资源非常丰富，人文与自然交相辉映。按照《旅游资源分类、调查与评价》国家标准的分类方法，全县旅游资源包含8个主类、28个亚类、103个基本类型。拥有长江三峡国家地质公园奉节园区、天坑地缝国家级风景名胜区（世界上最大的天坑-小寨天坑，世界上最长的地缝-天井峡地缝）、长江三峡国家级风景名胜区奉节段（中国十大风景名胜区、中国旅游胜地四十佳、全国重点风景名胜区、国家</w:t>
      </w:r>
      <w:r>
        <w:t>5</w:t>
      </w:r>
      <w:r>
        <w:rPr>
          <w:rFonts w:hint="eastAsia"/>
        </w:rPr>
        <w:t>A级旅游区）、三岔河市级森林公园等风景名胜。此外，还有世界级暗河-龙桥河、渝东道教胜地-长龙山、国家2A级景区县城后花园-天鹅湖、4</w:t>
      </w:r>
      <w:r>
        <w:t>A</w:t>
      </w:r>
      <w:r>
        <w:rPr>
          <w:rFonts w:hint="eastAsia"/>
        </w:rPr>
        <w:t>级大窝景区等。</w:t>
      </w:r>
    </w:p>
    <w:p>
      <w:pPr>
        <w:spacing w:line="594" w:lineRule="exact"/>
        <w:rPr>
          <w:b/>
          <w:bCs/>
        </w:rPr>
      </w:pPr>
      <w:r>
        <w:rPr>
          <w:rFonts w:hint="eastAsia"/>
          <w:b/>
          <w:bCs/>
        </w:rPr>
        <w:t>四、社会经济概况</w:t>
      </w:r>
    </w:p>
    <w:p>
      <w:pPr>
        <w:spacing w:line="594" w:lineRule="exact"/>
      </w:pPr>
      <w:r>
        <w:rPr>
          <w:rFonts w:hint="eastAsia"/>
          <w:b/>
          <w:bCs/>
        </w:rPr>
        <w:t>行政区划。</w:t>
      </w:r>
      <w:r>
        <w:rPr>
          <w:rFonts w:hint="eastAsia"/>
        </w:rPr>
        <w:t>奉节县辖4个街道、18个镇、11个乡，包含76个社区和314个村。即永安街道、鱼复街道、夔门街道，夔州街道，兴隆镇、吐祥镇、竹园镇、公平镇、草堂镇、新民镇、甲高镇、朱衣镇、康乐镇、白帝镇、汾河镇、大树镇、羊市镇、永乐镇、青龙镇、安坪镇、五马镇、青莲镇、石岗乡、冯坪乡、鹤峰乡、岩湾乡、红土乡、平安乡、康坪乡、云雾土家族乡、龙桥土家族乡、长安土家族乡、太和土家族乡。　</w:t>
      </w:r>
    </w:p>
    <w:p>
      <w:pPr>
        <w:spacing w:line="594" w:lineRule="exact"/>
        <w:rPr>
          <w:b/>
          <w:bCs/>
        </w:rPr>
      </w:pPr>
      <w:r>
        <w:rPr>
          <w:rFonts w:hint="eastAsia"/>
          <w:b/>
          <w:bCs/>
        </w:rPr>
        <w:t>人口。</w:t>
      </w:r>
      <w:r>
        <w:rPr>
          <w:rFonts w:hint="eastAsia"/>
        </w:rPr>
        <w:t>根据第七次全国人口普查结果，全县常住人口为 74.48万人，县城4个街道常住人口26.99万人，占36.24%；长江北岸14个乡镇常住人口为22.53万人，占30.25%；长江南岸15个乡镇常住人口为24.96万人，占33.51%。其中城镇人口为36.89万 人，占49.53%。</w:t>
      </w:r>
    </w:p>
    <w:p>
      <w:pPr>
        <w:spacing w:line="594" w:lineRule="exact"/>
      </w:pPr>
      <w:r>
        <w:rPr>
          <w:rFonts w:hint="eastAsia"/>
          <w:b/>
          <w:bCs/>
        </w:rPr>
        <w:t>经济状况。</w:t>
      </w:r>
      <w:r>
        <w:rPr>
          <w:rFonts w:hint="eastAsia"/>
        </w:rPr>
        <w:t>2021年，奉节县实现地区生产总值372.5亿元，同比增长8.4%，其中：第一产业增加值63.3亿元，同比增长9.4%；第二产业增加值139亿元，同比增长2.9%；第三产业增加值170.2亿元，同比增长12.6%。三次产业结构比为17：37：46，三次产业对经济增长的贡献率分别为19.8%、13.2%、67%。</w:t>
      </w:r>
    </w:p>
    <w:p>
      <w:pPr>
        <w:spacing w:line="594" w:lineRule="exact"/>
      </w:pPr>
      <w:r>
        <w:rPr>
          <w:rFonts w:hint="eastAsia"/>
          <w:b/>
          <w:bCs/>
        </w:rPr>
        <w:t>土地利用状况。</w:t>
      </w:r>
      <w:r>
        <w:rPr>
          <w:rFonts w:hint="eastAsia"/>
        </w:rPr>
        <w:t>根据奉节县国土详查数据，全县国土面积4098平方公里。其中耕地81909.1公顷，占总面积的20.0%；林地209530.4公顷，占51.1%；园地5457.6公顷，占总面积的1.3%；牧草地28767.1公顷，占总面积的7.0%；水域9436.4公顷，占总面积的2.3%；非生产用地16045.5公顷（交通用地1710.7公顷，居民及工矿用地14334.8公顷），占3.9%；未利用地58691.3公顷，占14.3%。</w:t>
      </w:r>
    </w:p>
    <w:p>
      <w:pPr>
        <w:sectPr>
          <w:footerReference r:id="rId8" w:type="default"/>
          <w:pgSz w:w="11906" w:h="16838"/>
          <w:pgMar w:top="2098" w:right="1474" w:bottom="1984" w:left="1587" w:header="851" w:footer="1474" w:gutter="0"/>
          <w:pgNumType w:start="1"/>
          <w:cols w:space="720" w:num="1"/>
          <w:docGrid w:type="lines" w:linePitch="439" w:charSpace="0"/>
        </w:sectPr>
      </w:pPr>
    </w:p>
    <w:p>
      <w:pPr>
        <w:pStyle w:val="5"/>
      </w:pPr>
      <w:bookmarkStart w:id="68" w:name="_Toc32562"/>
      <w:bookmarkStart w:id="69" w:name="_Toc16920"/>
      <w:bookmarkStart w:id="70" w:name="_Toc13845"/>
      <w:bookmarkStart w:id="71" w:name="_Toc16803"/>
      <w:bookmarkStart w:id="72" w:name="_Toc3543"/>
      <w:bookmarkStart w:id="73" w:name="_Toc18143"/>
      <w:bookmarkStart w:id="74" w:name="_Toc12632"/>
      <w:bookmarkStart w:id="75" w:name="_Toc1210"/>
      <w:bookmarkStart w:id="76" w:name="_Toc22943"/>
      <w:bookmarkStart w:id="77" w:name="_Toc31070"/>
      <w:bookmarkStart w:id="78" w:name="_Toc30262"/>
      <w:bookmarkStart w:id="79" w:name="_Toc3895"/>
      <w:bookmarkStart w:id="80" w:name="_Toc4150"/>
      <w:bookmarkStart w:id="81" w:name="_Toc12924"/>
      <w:bookmarkStart w:id="82" w:name="_Toc1895"/>
      <w:bookmarkStart w:id="83" w:name="_Toc5012"/>
      <w:bookmarkStart w:id="84" w:name="_Toc24086"/>
      <w:bookmarkStart w:id="85" w:name="_Toc7330"/>
      <w:bookmarkStart w:id="86" w:name="_Toc14609"/>
      <w:bookmarkStart w:id="87" w:name="_Toc32756"/>
      <w:bookmarkStart w:id="88" w:name="_Toc10151"/>
      <w:bookmarkStart w:id="89" w:name="_Toc7912"/>
      <w:bookmarkStart w:id="90" w:name="_Toc9674"/>
      <w:bookmarkStart w:id="91" w:name="_Toc21727"/>
      <w:bookmarkStart w:id="92" w:name="_Toc10431"/>
      <w:bookmarkStart w:id="93" w:name="_Toc29308"/>
      <w:bookmarkStart w:id="94" w:name="_Toc8497"/>
      <w:bookmarkStart w:id="95" w:name="_Toc19445"/>
      <w:r>
        <w:rPr>
          <w:rFonts w:hint="eastAsia"/>
        </w:rPr>
        <w:t>工作基础</w:t>
      </w:r>
      <w:bookmarkEnd w:id="68"/>
      <w:bookmarkEnd w:id="69"/>
      <w:bookmarkEnd w:id="70"/>
      <w:bookmarkEnd w:id="71"/>
      <w:bookmarkEnd w:id="72"/>
      <w:bookmarkEnd w:id="73"/>
      <w:bookmarkEnd w:id="74"/>
      <w:bookmarkEnd w:id="75"/>
    </w:p>
    <w:bookmarkEnd w:id="6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widowControl/>
        <w:spacing w:line="594" w:lineRule="exact"/>
        <w:jc w:val="left"/>
        <w:rPr>
          <w:rFonts w:ascii="微软雅黑" w:eastAsia="微软雅黑" w:cs="宋体"/>
          <w:kern w:val="0"/>
          <w:sz w:val="24"/>
        </w:rPr>
      </w:pPr>
      <w:r>
        <w:rPr>
          <w:rFonts w:hint="eastAsia" w:cs="Times New Roman"/>
          <w:b/>
          <w:bCs/>
          <w:kern w:val="0"/>
          <w:szCs w:val="32"/>
        </w:rPr>
        <w:t>坚决打好污染防治攻坚战，生态环境质量持续改善。</w:t>
      </w:r>
      <w:r>
        <w:rPr>
          <w:rFonts w:hint="eastAsia" w:cs="Times New Roman"/>
          <w:kern w:val="0"/>
          <w:szCs w:val="32"/>
        </w:rPr>
        <w:t>近年来，奉节县坚决打好污染防治攻坚战，深入实施环保</w:t>
      </w:r>
      <w:r>
        <w:rPr>
          <w:rFonts w:hint="eastAsia" w:ascii="方正仿宋_GBK" w:cs="方正仿宋_GBK"/>
          <w:kern w:val="0"/>
          <w:szCs w:val="32"/>
        </w:rPr>
        <w:t>“五大行动”，持续深化河长制，着力修补长江两岸“天窗、断档”，</w:t>
      </w:r>
      <w:r>
        <w:rPr>
          <w:rFonts w:hint="eastAsia" w:cs="Times New Roman"/>
          <w:kern w:val="0"/>
          <w:szCs w:val="32"/>
        </w:rPr>
        <w:t>生态环境质量持续提升。</w:t>
      </w:r>
      <w:r>
        <w:rPr>
          <w:rFonts w:cs="Times New Roman"/>
          <w:kern w:val="0"/>
          <w:szCs w:val="32"/>
        </w:rPr>
        <w:t>2021年，全县</w:t>
      </w:r>
      <w:r>
        <w:rPr>
          <w:rFonts w:hint="eastAsia" w:cs="Times New Roman"/>
          <w:kern w:val="0"/>
          <w:szCs w:val="32"/>
        </w:rPr>
        <w:t>空气优良天数350天，优良天数比例达到95.9%，可吸入颗粒物（PM</w:t>
      </w:r>
      <w:r>
        <w:rPr>
          <w:rFonts w:hint="eastAsia" w:cs="Times New Roman"/>
          <w:kern w:val="0"/>
          <w:szCs w:val="32"/>
          <w:vertAlign w:val="subscript"/>
        </w:rPr>
        <w:t>10</w:t>
      </w:r>
      <w:r>
        <w:rPr>
          <w:rFonts w:hint="eastAsia" w:cs="Times New Roman"/>
          <w:kern w:val="0"/>
          <w:szCs w:val="32"/>
        </w:rPr>
        <w:t>）、细颗粒物（PM</w:t>
      </w:r>
      <w:r>
        <w:rPr>
          <w:rFonts w:hint="eastAsia" w:cs="Times New Roman"/>
          <w:kern w:val="0"/>
          <w:szCs w:val="32"/>
          <w:vertAlign w:val="subscript"/>
        </w:rPr>
        <w:t>2.5</w:t>
      </w:r>
      <w:r>
        <w:rPr>
          <w:rFonts w:hint="eastAsia" w:cs="Times New Roman"/>
          <w:kern w:val="0"/>
          <w:szCs w:val="32"/>
        </w:rPr>
        <w:t>）、二氧化硫（SO</w:t>
      </w:r>
      <w:r>
        <w:rPr>
          <w:rFonts w:hint="eastAsia" w:cs="Times New Roman"/>
          <w:kern w:val="0"/>
          <w:szCs w:val="32"/>
          <w:vertAlign w:val="subscript"/>
        </w:rPr>
        <w:t>2</w:t>
      </w:r>
      <w:r>
        <w:rPr>
          <w:rFonts w:hint="eastAsia" w:cs="Times New Roman"/>
          <w:kern w:val="0"/>
          <w:szCs w:val="32"/>
        </w:rPr>
        <w:t>）、二氧化氮（NO</w:t>
      </w:r>
      <w:r>
        <w:rPr>
          <w:rFonts w:hint="eastAsia" w:cs="Times New Roman"/>
          <w:kern w:val="0"/>
          <w:szCs w:val="32"/>
          <w:vertAlign w:val="subscript"/>
        </w:rPr>
        <w:t>2</w:t>
      </w:r>
      <w:r>
        <w:rPr>
          <w:rFonts w:hint="eastAsia" w:cs="Times New Roman"/>
          <w:kern w:val="0"/>
          <w:szCs w:val="32"/>
        </w:rPr>
        <w:t>）、臭氧（O</w:t>
      </w:r>
      <w:r>
        <w:rPr>
          <w:rFonts w:hint="eastAsia" w:cs="Times New Roman"/>
          <w:kern w:val="0"/>
          <w:szCs w:val="32"/>
          <w:vertAlign w:val="subscript"/>
        </w:rPr>
        <w:t>3</w:t>
      </w:r>
      <w:r>
        <w:rPr>
          <w:rFonts w:hint="eastAsia" w:cs="Times New Roman"/>
          <w:kern w:val="0"/>
          <w:szCs w:val="32"/>
        </w:rPr>
        <w:t>）和一氧化碳（CO）平均浓度均达到环境空气质量二级标准，PM</w:t>
      </w:r>
      <w:r>
        <w:rPr>
          <w:rFonts w:hint="eastAsia" w:cs="Times New Roman"/>
          <w:kern w:val="0"/>
          <w:szCs w:val="32"/>
          <w:vertAlign w:val="subscript"/>
        </w:rPr>
        <w:t>2.5</w:t>
      </w:r>
      <w:r>
        <w:rPr>
          <w:rFonts w:hint="eastAsia" w:cs="Times New Roman"/>
          <w:kern w:val="0"/>
          <w:szCs w:val="32"/>
        </w:rPr>
        <w:t>浓度为30</w:t>
      </w:r>
      <w:r>
        <w:rPr>
          <w:rFonts w:cs="Times New Roman"/>
          <w:kern w:val="0"/>
          <w:szCs w:val="32"/>
        </w:rPr>
        <w:t>μ</w:t>
      </w:r>
      <w:r>
        <w:rPr>
          <w:rFonts w:hint="eastAsia" w:cs="Times New Roman"/>
          <w:kern w:val="0"/>
          <w:szCs w:val="32"/>
        </w:rPr>
        <w:t>g/m</w:t>
      </w:r>
      <w:r>
        <w:rPr>
          <w:rFonts w:hint="eastAsia" w:cs="Times New Roman"/>
          <w:kern w:val="0"/>
          <w:szCs w:val="32"/>
          <w:vertAlign w:val="superscript"/>
        </w:rPr>
        <w:t>3</w:t>
      </w:r>
      <w:r>
        <w:rPr>
          <w:rFonts w:hint="eastAsia" w:cs="Times New Roman"/>
          <w:kern w:val="0"/>
          <w:szCs w:val="32"/>
        </w:rPr>
        <w:t>。环境基础设施逐步完善，</w:t>
      </w:r>
      <w:r>
        <w:rPr>
          <w:rFonts w:cs="Times New Roman"/>
          <w:szCs w:val="32"/>
        </w:rPr>
        <w:t>全县</w:t>
      </w:r>
      <w:r>
        <w:rPr>
          <w:rFonts w:hint="eastAsia" w:cs="Times New Roman"/>
          <w:szCs w:val="32"/>
        </w:rPr>
        <w:t>已建成2座</w:t>
      </w:r>
      <w:r>
        <w:rPr>
          <w:rFonts w:cs="Times New Roman"/>
          <w:szCs w:val="32"/>
        </w:rPr>
        <w:t>城市污水处理厂</w:t>
      </w:r>
      <w:r>
        <w:rPr>
          <w:rFonts w:hint="eastAsia" w:cs="Times New Roman"/>
          <w:szCs w:val="32"/>
        </w:rPr>
        <w:t>，出水水质</w:t>
      </w:r>
      <w:r>
        <w:rPr>
          <w:rFonts w:cs="Times New Roman"/>
          <w:szCs w:val="32"/>
        </w:rPr>
        <w:t>全面达到一级A标准并稳定运行，城市生活污水集中处理率达到96%，</w:t>
      </w:r>
      <w:r>
        <w:rPr>
          <w:rFonts w:hint="eastAsia" w:cs="Times New Roman"/>
          <w:szCs w:val="32"/>
        </w:rPr>
        <w:t>已建成29座乡镇污水处理厂，</w:t>
      </w:r>
      <w:r>
        <w:rPr>
          <w:rFonts w:cs="Times New Roman"/>
          <w:szCs w:val="32"/>
        </w:rPr>
        <w:t>乡镇生活污水集中处理率达到85%</w:t>
      </w:r>
      <w:r>
        <w:rPr>
          <w:rFonts w:hint="eastAsia" w:cs="Times New Roman"/>
          <w:szCs w:val="32"/>
        </w:rPr>
        <w:t>，已建成日处置能力达到5吨的医疗废物处置设施，彻底解决医疗废物处置难题。</w:t>
      </w:r>
      <w:r>
        <w:rPr>
          <w:rFonts w:hint="eastAsia" w:cs="Times New Roman"/>
          <w:kern w:val="0"/>
          <w:szCs w:val="32"/>
        </w:rPr>
        <w:t>“一江五河”</w:t>
      </w:r>
      <w:r>
        <w:rPr>
          <w:rStyle w:val="33"/>
          <w:rFonts w:cs="Times New Roman"/>
          <w:kern w:val="0"/>
          <w:szCs w:val="32"/>
        </w:rPr>
        <w:footnoteReference w:id="0"/>
      </w:r>
      <w:r>
        <w:rPr>
          <w:rFonts w:hint="eastAsia" w:cs="Times New Roman"/>
          <w:kern w:val="0"/>
          <w:szCs w:val="32"/>
        </w:rPr>
        <w:t>水质均达到II类，全县市级及以上考核断面主要污染物浓度持续下降，城市、乡镇集中式饮用水水源地水质达标率均为1</w:t>
      </w:r>
      <w:r>
        <w:rPr>
          <w:rFonts w:cs="Times New Roman"/>
          <w:kern w:val="0"/>
          <w:szCs w:val="32"/>
        </w:rPr>
        <w:t>00</w:t>
      </w:r>
      <w:r>
        <w:rPr>
          <w:rFonts w:hint="eastAsia" w:cs="Times New Roman"/>
          <w:kern w:val="0"/>
          <w:szCs w:val="32"/>
        </w:rPr>
        <w:t>%。土壤污染防治进展顺利，</w:t>
      </w:r>
      <w:r>
        <w:rPr>
          <w:rFonts w:cs="Times New Roman"/>
          <w:kern w:val="0"/>
          <w:szCs w:val="32"/>
        </w:rPr>
        <w:t>完成</w:t>
      </w:r>
      <w:r>
        <w:rPr>
          <w:rFonts w:hint="eastAsia" w:cs="Times New Roman"/>
          <w:kern w:val="0"/>
          <w:szCs w:val="32"/>
        </w:rPr>
        <w:t>41个土壤环境质量市控监测点位现场核查。</w:t>
      </w:r>
      <w:r>
        <w:rPr>
          <w:rFonts w:cs="Times New Roman"/>
          <w:kern w:val="0"/>
          <w:szCs w:val="32"/>
        </w:rPr>
        <w:t>声环境质量基本稳定</w:t>
      </w:r>
      <w:r>
        <w:rPr>
          <w:rFonts w:hint="eastAsia" w:cs="Times New Roman"/>
          <w:kern w:val="0"/>
          <w:szCs w:val="32"/>
        </w:rPr>
        <w:t>，</w:t>
      </w:r>
      <w:r>
        <w:rPr>
          <w:rFonts w:cs="Times New Roman"/>
          <w:kern w:val="0"/>
        </w:rPr>
        <w:t>创成</w:t>
      </w:r>
      <w:r>
        <w:rPr>
          <w:rFonts w:cs="Times New Roman"/>
          <w:szCs w:val="32"/>
        </w:rPr>
        <w:t>市级安静居住小区</w:t>
      </w:r>
      <w:r>
        <w:rPr>
          <w:rFonts w:hint="eastAsia" w:cs="Times New Roman"/>
          <w:szCs w:val="32"/>
        </w:rPr>
        <w:t>10</w:t>
      </w:r>
      <w:r>
        <w:rPr>
          <w:rFonts w:cs="Times New Roman"/>
          <w:szCs w:val="32"/>
        </w:rPr>
        <w:t>个</w:t>
      </w:r>
      <w:r>
        <w:rPr>
          <w:rFonts w:hint="eastAsia" w:cs="Times New Roman"/>
          <w:szCs w:val="32"/>
        </w:rPr>
        <w:t>，城市区域环境噪声昼间平均等效声级为52.2分贝，城市道路交通噪声昼间平均等效声级为64.7分贝。</w:t>
      </w:r>
    </w:p>
    <w:p>
      <w:pPr>
        <w:widowControl/>
        <w:spacing w:line="594" w:lineRule="exact"/>
        <w:rPr>
          <w:rFonts w:cs="Times New Roman"/>
          <w:kern w:val="0"/>
          <w:szCs w:val="32"/>
        </w:rPr>
      </w:pPr>
      <w:r>
        <w:rPr>
          <w:rFonts w:hint="eastAsia" w:cs="Times New Roman"/>
          <w:b/>
          <w:bCs/>
          <w:kern w:val="0"/>
          <w:szCs w:val="32"/>
        </w:rPr>
        <w:t>全面加强生态保护修复，长江上游生态屏障更加牢固。</w:t>
      </w:r>
      <w:r>
        <w:rPr>
          <w:rFonts w:hint="eastAsia" w:cs="Times New Roman"/>
          <w:kern w:val="0"/>
          <w:szCs w:val="32"/>
        </w:rPr>
        <w:t>奉节县坚决站好保护长江母亲河的“奉节岗哨”，坚定推进生态优先、绿色发展战略，大力构筑长江上游重要生态屏障，生态环境状况指数达到72.93</w:t>
      </w:r>
      <w:r>
        <w:rPr>
          <w:rStyle w:val="33"/>
          <w:rFonts w:hint="eastAsia" w:cs="Times New Roman"/>
          <w:kern w:val="0"/>
          <w:szCs w:val="32"/>
        </w:rPr>
        <w:footnoteReference w:id="1"/>
      </w:r>
      <w:r>
        <w:rPr>
          <w:rFonts w:hint="eastAsia" w:cs="Times New Roman"/>
          <w:kern w:val="0"/>
          <w:szCs w:val="32"/>
        </w:rPr>
        <w:t>。全面推进国土绿化提升行动，2021年，累计完成营造林建设21.5万亩，完成“两岸青山·千里林带项目建设2.7万亩，建成长江干流岸线黄葛树林带30公里，实施历史遗留和关闭矿山生态修复24公顷，完成水土流失治理42.3平方公里</w:t>
      </w:r>
      <w:r>
        <w:rPr>
          <w:rFonts w:cs="Times New Roman"/>
          <w:szCs w:val="32"/>
          <w:shd w:val="clear" w:color="auto" w:fill="FFFFFF"/>
        </w:rPr>
        <w:t>，森林覆盖率从2015年的48%提高到2021年的</w:t>
      </w:r>
      <w:r>
        <w:rPr>
          <w:rFonts w:hint="eastAsia" w:cs="Times New Roman"/>
          <w:szCs w:val="32"/>
          <w:shd w:val="clear" w:color="auto" w:fill="FFFFFF"/>
        </w:rPr>
        <w:t>63.4</w:t>
      </w:r>
      <w:r>
        <w:rPr>
          <w:rFonts w:cs="Times New Roman"/>
          <w:szCs w:val="32"/>
          <w:shd w:val="clear" w:color="auto" w:fill="FFFFFF"/>
        </w:rPr>
        <w:t>%，在全市长江过境的17个区县中位居第一，</w:t>
      </w:r>
      <w:r>
        <w:rPr>
          <w:rFonts w:hint="eastAsia" w:ascii="方正仿宋_GBK" w:cs="方正仿宋_GBK"/>
          <w:szCs w:val="32"/>
          <w:shd w:val="clear" w:color="auto" w:fill="FFFFFF"/>
        </w:rPr>
        <w:t>荣获“中国天然氧吧”“中国气候宜居县”称号。坚持优化国</w:t>
      </w:r>
      <w:r>
        <w:rPr>
          <w:rFonts w:hint="eastAsia" w:ascii="方正仿宋_GBK" w:cs="Times New Roman"/>
          <w:kern w:val="0"/>
          <w:szCs w:val="32"/>
        </w:rPr>
        <w:t>土空间布局，</w:t>
      </w:r>
      <w:r>
        <w:rPr>
          <w:rFonts w:hint="eastAsia" w:ascii="方正仿宋_GBK" w:cs="方正仿宋_GBK"/>
          <w:szCs w:val="32"/>
          <w:shd w:val="clear" w:color="auto" w:fill="FFFFFF"/>
        </w:rPr>
        <w:t>严格生态空间管控，</w:t>
      </w:r>
      <w:r>
        <w:rPr>
          <w:rFonts w:hint="eastAsia" w:ascii="方正仿宋_GBK" w:cs="Times New Roman"/>
          <w:kern w:val="0"/>
          <w:szCs w:val="32"/>
        </w:rPr>
        <w:t>厘清了</w:t>
      </w:r>
      <w:r>
        <w:rPr>
          <w:rFonts w:hint="eastAsia" w:ascii="方正仿宋_GBK" w:cs="方正仿宋_GBK"/>
          <w:kern w:val="0"/>
          <w:szCs w:val="32"/>
        </w:rPr>
        <w:t>“三区三线”</w:t>
      </w:r>
      <w:r>
        <w:rPr>
          <w:rFonts w:ascii="方正仿宋_GBK" w:cs="方正仿宋_GBK"/>
          <w:kern w:val="0"/>
          <w:szCs w:val="32"/>
        </w:rPr>
        <w:t>关系</w:t>
      </w:r>
      <w:r>
        <w:rPr>
          <w:rFonts w:hint="eastAsia" w:ascii="方正仿宋_GBK" w:cs="Times New Roman"/>
          <w:kern w:val="0"/>
          <w:szCs w:val="32"/>
        </w:rPr>
        <w:t>，为大保护、微开发、巧利用腾出了空间；划定生态保护红线</w:t>
      </w:r>
      <w:r>
        <w:rPr>
          <w:rFonts w:cs="Times New Roman"/>
          <w:szCs w:val="32"/>
          <w:shd w:val="clear" w:color="auto" w:fill="FFFFFF"/>
        </w:rPr>
        <w:t>1418.05</w:t>
      </w:r>
      <w:r>
        <w:rPr>
          <w:rFonts w:hint="eastAsia" w:cs="Times New Roman"/>
          <w:szCs w:val="32"/>
          <w:shd w:val="clear" w:color="auto" w:fill="FFFFFF"/>
        </w:rPr>
        <w:t>平方公里，并</w:t>
      </w:r>
      <w:r>
        <w:rPr>
          <w:rFonts w:hint="eastAsia" w:ascii="方正仿宋_GBK" w:cs="Times New Roman"/>
          <w:kern w:val="0"/>
          <w:szCs w:val="32"/>
        </w:rPr>
        <w:t>加强生态保护红线管控，实现了生态保护红线面积不减少、性质不改变、功能不降低。</w:t>
      </w:r>
      <w:r>
        <w:rPr>
          <w:rFonts w:cs="Times New Roman"/>
          <w:szCs w:val="32"/>
        </w:rPr>
        <w:t>持续深入开展自然保护</w:t>
      </w:r>
      <w:r>
        <w:rPr>
          <w:rFonts w:hint="eastAsia" w:ascii="方正仿宋_GBK" w:cs="方正仿宋_GBK"/>
          <w:kern w:val="0"/>
          <w:szCs w:val="32"/>
        </w:rPr>
        <w:t>地“绿盾”专</w:t>
      </w:r>
      <w:r>
        <w:rPr>
          <w:rFonts w:cs="Times New Roman"/>
          <w:szCs w:val="32"/>
        </w:rPr>
        <w:t>项行动，</w:t>
      </w:r>
      <w:r>
        <w:rPr>
          <w:rFonts w:hint="eastAsia" w:cs="Times New Roman"/>
          <w:szCs w:val="32"/>
        </w:rPr>
        <w:t>截至目前，纳入全市自然保护地管理台账的整改类问题总数为</w:t>
      </w:r>
      <w:r>
        <w:rPr>
          <w:rFonts w:cs="Times New Roman"/>
          <w:szCs w:val="32"/>
        </w:rPr>
        <w:t>35</w:t>
      </w:r>
      <w:r>
        <w:rPr>
          <w:rFonts w:hint="eastAsia" w:cs="Times New Roman"/>
          <w:szCs w:val="32"/>
        </w:rPr>
        <w:t>个，已整改销号</w:t>
      </w:r>
      <w:r>
        <w:rPr>
          <w:rFonts w:cs="Times New Roman"/>
          <w:szCs w:val="32"/>
        </w:rPr>
        <w:t>31</w:t>
      </w:r>
      <w:r>
        <w:rPr>
          <w:rFonts w:hint="eastAsia" w:cs="Times New Roman"/>
          <w:szCs w:val="32"/>
        </w:rPr>
        <w:t>个，整改完成率</w:t>
      </w:r>
      <w:r>
        <w:rPr>
          <w:rFonts w:cs="Times New Roman"/>
          <w:szCs w:val="32"/>
        </w:rPr>
        <w:t>88.57</w:t>
      </w:r>
      <w:r>
        <w:rPr>
          <w:rFonts w:hint="eastAsia" w:cs="Times New Roman"/>
          <w:szCs w:val="32"/>
        </w:rPr>
        <w:t>%，剩余</w:t>
      </w:r>
      <w:r>
        <w:rPr>
          <w:rFonts w:cs="Times New Roman"/>
          <w:szCs w:val="32"/>
        </w:rPr>
        <w:t>4</w:t>
      </w:r>
      <w:r>
        <w:rPr>
          <w:rFonts w:hint="eastAsia" w:cs="Times New Roman"/>
          <w:szCs w:val="32"/>
        </w:rPr>
        <w:t>个问题正按照整改方案时序推进。</w:t>
      </w:r>
      <w:r>
        <w:rPr>
          <w:rFonts w:cs="Times New Roman"/>
          <w:szCs w:val="32"/>
        </w:rPr>
        <w:t>深入开展生物多样保护</w:t>
      </w:r>
      <w:r>
        <w:rPr>
          <w:rFonts w:hint="eastAsia" w:cs="Times New Roman"/>
          <w:szCs w:val="32"/>
        </w:rPr>
        <w:t>，</w:t>
      </w:r>
      <w:r>
        <w:rPr>
          <w:rFonts w:cs="Times New Roman"/>
          <w:szCs w:val="32"/>
        </w:rPr>
        <w:t>强化生物物种资源保护和利用管理，重点对红豆杉、黄杨、楠木、水杉、珙桐以及大鲵等珍稀动植物进行保护和人工繁育</w:t>
      </w:r>
      <w:r>
        <w:rPr>
          <w:rFonts w:hint="eastAsia" w:cs="Times New Roman"/>
          <w:szCs w:val="32"/>
        </w:rPr>
        <w:t>；</w:t>
      </w:r>
      <w:r>
        <w:rPr>
          <w:rFonts w:cs="Times New Roman"/>
          <w:szCs w:val="32"/>
        </w:rPr>
        <w:t>全面落实长江十年禁渔计划，组织开展</w:t>
      </w:r>
      <w:r>
        <w:rPr>
          <w:rFonts w:hint="eastAsia" w:cs="Times New Roman"/>
          <w:szCs w:val="32"/>
        </w:rPr>
        <w:t>动</w:t>
      </w:r>
      <w:r>
        <w:rPr>
          <w:rFonts w:cs="Times New Roman"/>
          <w:szCs w:val="32"/>
        </w:rPr>
        <w:t>植物多样性样本调查，发现中国特有昆虫3类，全市昆虫新纪录种2类。</w:t>
      </w:r>
    </w:p>
    <w:p>
      <w:pPr>
        <w:spacing w:line="594" w:lineRule="exact"/>
      </w:pPr>
      <w:r>
        <w:rPr>
          <w:rFonts w:hint="eastAsia" w:cs="Times New Roman"/>
          <w:b/>
          <w:bCs/>
          <w:kern w:val="0"/>
          <w:szCs w:val="32"/>
        </w:rPr>
        <w:t>持续推动三产融合发展，绿色产业体系日趋完善。</w:t>
      </w:r>
      <w:r>
        <w:rPr>
          <w:rFonts w:hint="eastAsia" w:cs="Times New Roman"/>
          <w:kern w:val="0"/>
          <w:szCs w:val="32"/>
        </w:rPr>
        <w:t>近年来，奉节县</w:t>
      </w:r>
      <w:r>
        <w:rPr>
          <w:rFonts w:hint="eastAsia" w:ascii="方正仿宋_GBK" w:cs="方正仿宋_GBK"/>
          <w:kern w:val="0"/>
          <w:szCs w:val="32"/>
        </w:rPr>
        <w:t>“</w:t>
      </w:r>
      <w:r>
        <w:rPr>
          <w:rFonts w:cs="Times New Roman"/>
          <w:kern w:val="0"/>
          <w:szCs w:val="32"/>
        </w:rPr>
        <w:t>4+3+X</w:t>
      </w:r>
      <w:r>
        <w:rPr>
          <w:rFonts w:hint="eastAsia" w:ascii="方正仿宋_GBK" w:cs="方正仿宋_GBK"/>
          <w:kern w:val="0"/>
          <w:szCs w:val="32"/>
        </w:rPr>
        <w:t>”</w:t>
      </w:r>
      <w:r>
        <w:rPr>
          <w:rStyle w:val="33"/>
          <w:rFonts w:cs="Times New Roman"/>
          <w:kern w:val="0"/>
          <w:szCs w:val="32"/>
        </w:rPr>
        <w:footnoteReference w:id="2"/>
      </w:r>
      <w:r>
        <w:rPr>
          <w:rFonts w:hint="eastAsia" w:ascii="方正仿宋_GBK" w:cs="方正仿宋_GBK"/>
          <w:kern w:val="0"/>
          <w:szCs w:val="32"/>
        </w:rPr>
        <w:t>现</w:t>
      </w:r>
      <w:r>
        <w:rPr>
          <w:rFonts w:hint="eastAsia" w:cs="Times New Roman"/>
          <w:kern w:val="0"/>
          <w:szCs w:val="32"/>
        </w:rPr>
        <w:t>代山地特色高效农业产业体系壮大，</w:t>
      </w:r>
      <w:r>
        <w:rPr>
          <w:rFonts w:hint="eastAsia" w:ascii="方正仿宋_GBK" w:cs="方正仿宋_GBK"/>
          <w:kern w:val="0"/>
          <w:szCs w:val="32"/>
        </w:rPr>
        <w:t>脐橙“甜蜜产业”、油橄榄“黄金产业”、中药材“康养产业”、蚕桑“锦绣产业”等现代山地特色高效农业蓬勃发展，</w:t>
      </w:r>
      <w:r>
        <w:rPr>
          <w:rFonts w:hint="eastAsia" w:cs="Times New Roman"/>
          <w:kern w:val="0"/>
          <w:szCs w:val="32"/>
        </w:rPr>
        <w:t>截至目前，全县建成高标准农田19万亩，现代山地特色高效农业80万亩，“两品一标”认证达到194个</w:t>
      </w:r>
      <w:r>
        <w:rPr>
          <w:rFonts w:cs="Times New Roman"/>
          <w:kern w:val="0"/>
          <w:szCs w:val="32"/>
        </w:rPr>
        <w:t>；</w:t>
      </w:r>
      <w:r>
        <w:rPr>
          <w:rFonts w:hint="eastAsia" w:cs="Times New Roman"/>
          <w:kern w:val="0"/>
          <w:szCs w:val="32"/>
        </w:rPr>
        <w:t>奉节脐橙成为全国百强区域品牌，品牌价值达到182.8亿元，居全国橙类第一名。生态工业加速发展，截至目前，全县电力装机达到183万千瓦，华电奉节电厂年均发电37亿度，工业园区集聚企业83家，47家眼镜企业补链成群，规上工业增加值年均增长6.3%。创新活力持续释放，国家创新型县建设扎实推进，深度融入全国“100+N”开放协同创新体系，全县已培育科技型企业479家、高新技术企业达到17家，组建产业研究院所16个。</w:t>
      </w:r>
    </w:p>
    <w:p>
      <w:pPr>
        <w:spacing w:line="594" w:lineRule="exact"/>
      </w:pPr>
      <w:r>
        <w:rPr>
          <w:rFonts w:hint="eastAsia"/>
          <w:b/>
          <w:bCs/>
        </w:rPr>
        <w:t>传承底蕴深厚历史文化，生态旅游产业蓬勃发展。</w:t>
      </w:r>
      <w:r>
        <w:rPr>
          <w:rFonts w:hint="eastAsia"/>
        </w:rPr>
        <w:t>奉节县历史文化悠久，积淀了远古文化、三国文化、诗词文化、民俗文化、军事文化等大量的非物质文化旅游资源。</w:t>
      </w:r>
      <w:r>
        <w:t>奉节县依靠诗文化、名胜古迹以及非物质文化遗产，</w:t>
      </w:r>
      <w:r>
        <w:rPr>
          <w:rFonts w:hint="eastAsia" w:ascii="方正仿宋_GBK" w:cs="Times New Roman"/>
          <w:kern w:val="0"/>
          <w:szCs w:val="32"/>
        </w:rPr>
        <w:t>推动江峡文化、三国文化、诗词文化等优秀传统文化创造性转化、创新性发展，</w:t>
      </w:r>
      <w:r>
        <w:rPr>
          <w:rFonts w:hint="eastAsia"/>
        </w:rPr>
        <w:t>文化与旅游深度融合，“中华诗城”大放异彩，文化底蕴充分展示，诗书情怀全面激活。连续举办五届“中国·白帝城”国际诗歌节，四度联手《中国诗词大会》，成功举办第二届中华诗人节，承办第六届中国诗歌节，成功举办“登临三峡之巅，寻胜中华诗城”活动，并</w:t>
      </w:r>
      <w:r>
        <w:t>开展</w:t>
      </w:r>
      <w:r>
        <w:rPr>
          <w:rFonts w:hint="eastAsia"/>
        </w:rPr>
        <w:t>现场采风、嘉宾见面会、明星挑战赛等活动，</w:t>
      </w:r>
      <w:r>
        <w:t>扩大</w:t>
      </w:r>
      <w:r>
        <w:rPr>
          <w:rFonts w:hint="eastAsia"/>
        </w:rPr>
        <w:t>了“中华诗城”的影响力；</w:t>
      </w:r>
      <w:r>
        <w:rPr>
          <w:rFonts w:hint="eastAsia" w:ascii="方正仿宋_GBK" w:cs="方正仿宋_GBK"/>
        </w:rPr>
        <w:t>以文旅深</w:t>
      </w:r>
      <w:r>
        <w:t>度融合</w:t>
      </w:r>
      <w:r>
        <w:rPr>
          <w:rFonts w:hint="eastAsia"/>
        </w:rPr>
        <w:t>共赴“诗和远方”，逐渐形成“三峡之巅 诗·橙奉节”核心品牌，中华诗词学会授予奉节县“中华诗词白帝城创作研究基地”牌匾，提高了奉节知名度和美誉度。文化品牌</w:t>
      </w:r>
      <w:r>
        <w:t>宣传营销渠道更加多元，形成了旅行社、新媒体、传统媒体等的有机结合</w:t>
      </w:r>
      <w:r>
        <w:rPr>
          <w:rFonts w:hint="eastAsia"/>
        </w:rPr>
        <w:t>，</w:t>
      </w:r>
      <w:r>
        <w:t>与重庆、武汉、西安等20多家旅行社签订了合作协议，诗城奉节文化旅游形象宣传片《天地诗心</w:t>
      </w:r>
      <w:r>
        <w:rPr>
          <w:rFonts w:hint="eastAsia"/>
        </w:rPr>
        <w:t>·</w:t>
      </w:r>
      <w:r>
        <w:t>归来三峡》在重庆卫视滚动播出。全域旅游取得积极进展，</w:t>
      </w:r>
      <w:r>
        <w:rPr>
          <w:rFonts w:hint="eastAsia"/>
        </w:rPr>
        <w:t>全县A级景区达到24个、白帝城·瞿塘峡景区成功列入国家5A景区创建储备名单</w:t>
      </w:r>
      <w:r>
        <w:rPr>
          <w:rFonts w:hint="eastAsia" w:cs="Times New Roman"/>
          <w:kern w:val="0"/>
          <w:szCs w:val="32"/>
        </w:rPr>
        <w:t>；</w:t>
      </w:r>
      <w:r>
        <w:t>《归来三峡》、三峡之巅景区荣登全市文旅新地标40强；</w:t>
      </w:r>
      <w:r>
        <w:rPr>
          <w:rFonts w:hint="eastAsia" w:cs="Times New Roman"/>
          <w:kern w:val="0"/>
          <w:szCs w:val="32"/>
        </w:rPr>
        <w:t>推动了文旅融合、产业融合、城乡融合、产城融合，成为经济社会发展新引擎新动力，全县累计接待游客从2016年的1249万人次增长到2021年的2285万人次，年均增长12.84%。2021年，旅游综合收入突破118亿元，</w:t>
      </w:r>
      <w:r>
        <w:t>同比增长16.14%；</w:t>
      </w:r>
      <w:r>
        <w:rPr>
          <w:rFonts w:hint="eastAsia" w:cs="Times New Roman"/>
          <w:kern w:val="0"/>
          <w:szCs w:val="32"/>
        </w:rPr>
        <w:t>购票人数达156万人次，</w:t>
      </w:r>
      <w:r>
        <w:t>同比增长19.08%；</w:t>
      </w:r>
      <w:r>
        <w:rPr>
          <w:rFonts w:hint="eastAsia" w:cs="Times New Roman"/>
          <w:kern w:val="0"/>
          <w:szCs w:val="32"/>
        </w:rPr>
        <w:t>全年共接待</w:t>
      </w:r>
      <w:r>
        <w:t>过夜游客130万人次，同比增长24.57%，实现</w:t>
      </w:r>
      <w:r>
        <w:rPr>
          <w:rFonts w:hint="eastAsia" w:ascii="方正仿宋_GBK" w:cs="方正仿宋_GBK"/>
        </w:rPr>
        <w:t>“逆势”</w:t>
      </w:r>
      <w:r>
        <w:t>上扬。</w:t>
      </w:r>
    </w:p>
    <w:p>
      <w:pPr>
        <w:spacing w:line="594" w:lineRule="exact"/>
        <w:textAlignment w:val="baseline"/>
        <w:rPr>
          <w:b/>
          <w:bCs/>
        </w:rPr>
      </w:pPr>
      <w:r>
        <w:rPr>
          <w:rFonts w:hint="eastAsia" w:cs="Times New Roman"/>
          <w:b/>
          <w:bCs/>
          <w:kern w:val="0"/>
          <w:szCs w:val="32"/>
        </w:rPr>
        <w:t>深入实施乡村振兴战略，农村生态人居环境不断提升。</w:t>
      </w:r>
      <w:r>
        <w:rPr>
          <w:rFonts w:hint="eastAsia" w:cs="Times New Roman"/>
          <w:kern w:val="0"/>
          <w:szCs w:val="32"/>
        </w:rPr>
        <w:t>近年来，奉节县持续推进“厕所革命”、生活垃圾治理、农田面源整治，农村生态人居环境改善明显。到2021年底，全县卫生厕所普及率达到69.31%；农村生活垃圾收运处理体系逐步完善，按照“户分类、村收集、乡镇转运、县处理”的模式，累计建成11座垃圾中转站、建设垃圾分类投放点730处，配置170辆垃圾收运车、发放3.5万个分类垃圾桶，新增堆肥设施160处，行政村生活垃圾有效治理比例达95%；生活垃圾分类有序推进，建成农村生活垃圾分类市级示范村60个；面源污染治理成效显著，大型规模畜禽养殖场粪污处理设施装备配套率和规模畜禽养殖场粪污处理设施装备配套率均达到100%，畜禽粪污综合利用率达到90%以上，农膜回收率达87%。</w:t>
      </w:r>
    </w:p>
    <w:p>
      <w:pPr>
        <w:spacing w:line="594" w:lineRule="exact"/>
        <w:textAlignment w:val="baseline"/>
        <w:rPr>
          <w:szCs w:val="32"/>
        </w:rPr>
      </w:pPr>
      <w:r>
        <w:rPr>
          <w:rFonts w:hint="eastAsia"/>
          <w:b/>
          <w:bCs/>
        </w:rPr>
        <w:t>深化改革创新机制体制，生态文明制度体系逐步完善。</w:t>
      </w:r>
      <w:r>
        <w:rPr>
          <w:rFonts w:hint="eastAsia"/>
        </w:rPr>
        <w:t>近年来，奉节县以习近平生态文明思想为指导，共抓大保护、不搞大开发，努力探索“生态优先、绿色发展”实现新途径，生态文明体制改革工作有序推进。重点领域体制改革取得阶段性成果，“三线一单”行政审批制度、排污许可制、综合执法体制等改革</w:t>
      </w:r>
      <w:r>
        <w:t>得到持续</w:t>
      </w:r>
      <w:r>
        <w:rPr>
          <w:rFonts w:hint="eastAsia"/>
        </w:rPr>
        <w:t>推进；企业排污总量及类型控制、排污权有偿使用和交易、环境保护征税</w:t>
      </w:r>
      <w:r>
        <w:t>实现</w:t>
      </w:r>
      <w:r>
        <w:rPr>
          <w:rFonts w:hint="eastAsia"/>
        </w:rPr>
        <w:t>“一证式”管理，“奉节县生态环境保护综合行政执法支队”机构</w:t>
      </w:r>
      <w:r>
        <w:t>挂牌成立</w:t>
      </w:r>
      <w:r>
        <w:rPr>
          <w:rFonts w:hint="eastAsia"/>
        </w:rPr>
        <w:t>，环境保护、农业、水利等</w:t>
      </w:r>
      <w:r>
        <w:t>跨</w:t>
      </w:r>
      <w:r>
        <w:rPr>
          <w:rFonts w:hint="eastAsia"/>
        </w:rPr>
        <w:t>部门污染防治和生态保护执法职能</w:t>
      </w:r>
      <w:r>
        <w:t>实现整合</w:t>
      </w:r>
      <w:r>
        <w:rPr>
          <w:rFonts w:hint="eastAsia"/>
        </w:rPr>
        <w:t>，</w:t>
      </w:r>
      <w:r>
        <w:t>生态环境</w:t>
      </w:r>
      <w:r>
        <w:rPr>
          <w:rFonts w:hint="eastAsia"/>
        </w:rPr>
        <w:t>监督执法“正面清单”</w:t>
      </w:r>
      <w:r>
        <w:t>出台实施</w:t>
      </w:r>
      <w:r>
        <w:rPr>
          <w:rFonts w:hint="eastAsia"/>
        </w:rPr>
        <w:t>，</w:t>
      </w:r>
      <w:r>
        <w:t>生态</w:t>
      </w:r>
      <w:r>
        <w:rPr>
          <w:rFonts w:hint="eastAsia"/>
        </w:rPr>
        <w:t>环境执法实施分类监管、差异化监管</w:t>
      </w:r>
      <w:r>
        <w:t>持续</w:t>
      </w:r>
      <w:r>
        <w:rPr>
          <w:rFonts w:hint="eastAsia"/>
        </w:rPr>
        <w:t>推动。工作机制逐步完善，</w:t>
      </w:r>
      <w:r>
        <w:rPr>
          <w:rFonts w:hint="eastAsia" w:ascii="方正仿宋_GBK" w:cs="方正仿宋_GBK"/>
          <w:szCs w:val="32"/>
        </w:rPr>
        <w:t>“河长制”</w:t>
      </w:r>
      <w:r>
        <w:rPr>
          <w:rFonts w:ascii="方正仿宋_GBK" w:cs="方正仿宋_GBK"/>
          <w:szCs w:val="32"/>
        </w:rPr>
        <w:t>全面推进</w:t>
      </w:r>
      <w:r>
        <w:rPr>
          <w:rFonts w:hint="eastAsia" w:ascii="方正仿宋_GBK" w:cs="方正仿宋_GBK"/>
          <w:szCs w:val="32"/>
        </w:rPr>
        <w:t>，</w:t>
      </w:r>
      <w:r>
        <w:rPr>
          <w:rFonts w:cs="Times New Roman"/>
          <w:szCs w:val="32"/>
        </w:rPr>
        <w:t>2021年，各</w:t>
      </w:r>
      <w:r>
        <w:rPr>
          <w:szCs w:val="32"/>
        </w:rPr>
        <w:t>级河长巡河1.2万次，巡河里程2.85万公里，整改问题382个；流域防控机制不断深化，全面执行与巫溪县签订的《梅溪河流域上下游横向生态补偿协议》及与巫溪、巫山、云阳签订的《流域水污染联防联控协议》</w:t>
      </w:r>
      <w:r>
        <w:rPr>
          <w:rFonts w:hint="eastAsia"/>
          <w:szCs w:val="32"/>
        </w:rPr>
        <w:t>；</w:t>
      </w:r>
      <w:r>
        <w:rPr>
          <w:szCs w:val="32"/>
        </w:rPr>
        <w:t>督察问题整改机制不断健全，</w:t>
      </w:r>
      <w:r>
        <w:rPr>
          <w:rFonts w:hint="eastAsia"/>
          <w:szCs w:val="32"/>
        </w:rPr>
        <w:t>采取</w:t>
      </w:r>
      <w:r>
        <w:rPr>
          <w:szCs w:val="32"/>
        </w:rPr>
        <w:t>定期调度、考核扣分和约谈问责</w:t>
      </w:r>
      <w:r>
        <w:rPr>
          <w:rFonts w:hint="eastAsia"/>
          <w:szCs w:val="32"/>
        </w:rPr>
        <w:t>方式</w:t>
      </w:r>
      <w:r>
        <w:rPr>
          <w:szCs w:val="32"/>
        </w:rPr>
        <w:t>，全力推进督察反馈问题整改，</w:t>
      </w:r>
      <w:r>
        <w:rPr>
          <w:rFonts w:cs="Times New Roman"/>
          <w:kern w:val="0"/>
          <w:szCs w:val="32"/>
        </w:rPr>
        <w:t>常态</w:t>
      </w:r>
      <w:r>
        <w:rPr>
          <w:rFonts w:cs="Times New Roman"/>
          <w:szCs w:val="32"/>
        </w:rPr>
        <w:t>化开展</w:t>
      </w:r>
      <w:r>
        <w:rPr>
          <w:rFonts w:hint="eastAsia" w:cs="Times New Roman"/>
          <w:szCs w:val="32"/>
        </w:rPr>
        <w:t>环保督察问题</w:t>
      </w:r>
      <w:r>
        <w:rPr>
          <w:rFonts w:hint="eastAsia" w:ascii="方正仿宋_GBK" w:cs="方正仿宋_GBK"/>
          <w:szCs w:val="32"/>
        </w:rPr>
        <w:t>整改“回头看”，截至</w:t>
      </w:r>
      <w:r>
        <w:rPr>
          <w:szCs w:val="32"/>
        </w:rPr>
        <w:t>目前，第一轮中央环保督察涉及的22项整改措施和11个具体问题已全部完成整改；</w:t>
      </w:r>
      <w:r>
        <w:rPr>
          <w:rFonts w:hint="eastAsia"/>
          <w:szCs w:val="32"/>
        </w:rPr>
        <w:t>第二轮中央生态环境保护督察整改任务中，久轩石料厂生产扰民和寂静港、金盆货运码头存在违规建设2项个性问题已完成整改并销号，13项共性问题已整改完成</w:t>
      </w:r>
      <w:r>
        <w:rPr>
          <w:szCs w:val="32"/>
        </w:rPr>
        <w:t>8</w:t>
      </w:r>
      <w:r>
        <w:rPr>
          <w:rFonts w:hint="eastAsia"/>
          <w:szCs w:val="32"/>
        </w:rPr>
        <w:t>项，正在加快推进农业面源污染治理、生活垃圾分类处置等5项工作。环境</w:t>
      </w:r>
      <w:r>
        <w:rPr>
          <w:szCs w:val="32"/>
        </w:rPr>
        <w:t>监管能力</w:t>
      </w:r>
      <w:r>
        <w:rPr>
          <w:rFonts w:hint="eastAsia"/>
          <w:szCs w:val="32"/>
        </w:rPr>
        <w:t>全面提升，在渝东北片区率先建设区县级生态环境监控大数据平台，实现对22个重要河流河段、2个城区饮用水源、11个污水处理厂实时视频监管，不断提升水环境预警预测能力；城区道路布设大气扬尘在线监测点位23个，实现道路扬尘PM</w:t>
      </w:r>
      <w:r>
        <w:rPr>
          <w:rFonts w:hint="eastAsia"/>
          <w:szCs w:val="32"/>
          <w:vertAlign w:val="subscript"/>
        </w:rPr>
        <w:t>10</w:t>
      </w:r>
      <w:r>
        <w:rPr>
          <w:rFonts w:hint="eastAsia"/>
          <w:szCs w:val="32"/>
        </w:rPr>
        <w:t>、PM</w:t>
      </w:r>
      <w:r>
        <w:rPr>
          <w:rFonts w:hint="eastAsia"/>
          <w:szCs w:val="32"/>
          <w:vertAlign w:val="subscript"/>
        </w:rPr>
        <w:t>2.5</w:t>
      </w:r>
      <w:r>
        <w:rPr>
          <w:rFonts w:hint="eastAsia"/>
          <w:szCs w:val="32"/>
        </w:rPr>
        <w:t>的24小时实时监测；布设区域声环境质量监测点位104个、道路交通声环境质量监测点位20个、功能区声环境质量监测点位8个。</w:t>
      </w:r>
    </w:p>
    <w:p>
      <w:pPr>
        <w:spacing w:line="600" w:lineRule="exact"/>
        <w:rPr>
          <w:b/>
          <w:bCs/>
        </w:rPr>
      </w:pPr>
      <w:r>
        <w:rPr>
          <w:rFonts w:hint="eastAsia"/>
          <w:b/>
          <w:bCs/>
        </w:rPr>
        <w:t>丰富和畅通公众参与渠道和方式，切实维护群众环境福祉。</w:t>
      </w:r>
    </w:p>
    <w:p>
      <w:pPr>
        <w:spacing w:line="600" w:lineRule="exact"/>
        <w:ind w:firstLine="0" w:firstLineChars="0"/>
        <w:rPr>
          <w:rFonts w:cs="Times New Roman"/>
          <w:szCs w:val="32"/>
        </w:rPr>
      </w:pPr>
      <w:r>
        <w:rPr>
          <w:rFonts w:hint="eastAsia" w:cs="Times New Roman"/>
          <w:szCs w:val="32"/>
        </w:rPr>
        <w:t>近年来，奉节县不断创新宣传形式、加大宣教信息工作力度、大力推进生态文明建设和提升公民生态文明意识、引导公众积极参与环境保护，取得了良好成效。2021年，全县</w:t>
      </w:r>
      <w:r>
        <w:rPr>
          <w:rFonts w:cs="Times New Roman"/>
          <w:szCs w:val="32"/>
        </w:rPr>
        <w:t>扎实办理生态环境相关人大建议117件、政协提案63件</w:t>
      </w:r>
      <w:r>
        <w:rPr>
          <w:rFonts w:hint="eastAsia" w:cs="Times New Roman"/>
          <w:szCs w:val="32"/>
        </w:rPr>
        <w:t>；</w:t>
      </w:r>
      <w:r>
        <w:rPr>
          <w:rFonts w:cs="Times New Roman"/>
          <w:szCs w:val="32"/>
        </w:rPr>
        <w:t>建立群众信访投诉回访制度，明确专人负责、全天候受理，高效、及时办理各类环境信访投诉662件，信访投诉件处理率及回访率均达100%</w:t>
      </w:r>
      <w:r>
        <w:rPr>
          <w:rFonts w:hint="eastAsia" w:cs="Times New Roman"/>
          <w:szCs w:val="32"/>
        </w:rPr>
        <w:t>；</w:t>
      </w:r>
      <w:r>
        <w:rPr>
          <w:rFonts w:cs="Times New Roman"/>
          <w:szCs w:val="32"/>
        </w:rPr>
        <w:t>积极推进环境多元共治，建立例行新闻发布制度，组织开展环保专场新闻发布2次，面对面倾听群众心声和建议</w:t>
      </w:r>
      <w:r>
        <w:rPr>
          <w:rFonts w:hint="eastAsia" w:cs="Times New Roman"/>
          <w:szCs w:val="32"/>
        </w:rPr>
        <w:t>，</w:t>
      </w:r>
      <w:r>
        <w:rPr>
          <w:rFonts w:cs="Times New Roman"/>
          <w:szCs w:val="32"/>
        </w:rPr>
        <w:t>通过门户网站、微信、微博发布信息2012条，保障群众知情权</w:t>
      </w:r>
      <w:r>
        <w:rPr>
          <w:rFonts w:hint="eastAsia" w:cs="Times New Roman"/>
          <w:szCs w:val="32"/>
        </w:rPr>
        <w:t>，</w:t>
      </w:r>
      <w:r>
        <w:rPr>
          <w:rFonts w:cs="Times New Roman"/>
          <w:szCs w:val="32"/>
        </w:rPr>
        <w:t>开</w:t>
      </w:r>
      <w:r>
        <w:rPr>
          <w:rFonts w:hint="eastAsia" w:ascii="方正仿宋_GBK" w:hAnsi="方正仿宋_GBK" w:cs="方正仿宋_GBK"/>
          <w:szCs w:val="32"/>
        </w:rPr>
        <w:t>展“世界地球日”、“</w:t>
      </w:r>
      <w:r>
        <w:rPr>
          <w:rFonts w:cs="Times New Roman"/>
          <w:szCs w:val="32"/>
        </w:rPr>
        <w:t>六</w:t>
      </w:r>
      <w:r>
        <w:rPr>
          <w:rFonts w:cs="Times New Roman"/>
          <w:b/>
          <w:bCs/>
          <w:szCs w:val="32"/>
        </w:rPr>
        <w:t>·</w:t>
      </w:r>
      <w:r>
        <w:rPr>
          <w:rFonts w:cs="Times New Roman"/>
          <w:szCs w:val="32"/>
        </w:rPr>
        <w:t>五</w:t>
      </w:r>
      <w:r>
        <w:rPr>
          <w:rFonts w:hint="eastAsia" w:ascii="方正仿宋_GBK" w:hAnsi="方正仿宋_GBK" w:cs="方正仿宋_GBK"/>
          <w:szCs w:val="32"/>
        </w:rPr>
        <w:t>”</w:t>
      </w:r>
      <w:r>
        <w:rPr>
          <w:rFonts w:cs="Times New Roman"/>
          <w:szCs w:val="32"/>
        </w:rPr>
        <w:t>世界环境日等主题宣传活动17次，发放宣传资料14000余份，覆盖人次20万，持续提升社会参与度。</w:t>
      </w:r>
    </w:p>
    <w:p>
      <w:pPr>
        <w:spacing w:line="594" w:lineRule="exact"/>
        <w:rPr>
          <w:rFonts w:cs="Times New Roman"/>
          <w:b/>
          <w:bCs/>
        </w:rPr>
      </w:pPr>
    </w:p>
    <w:p>
      <w:pPr>
        <w:pStyle w:val="5"/>
      </w:pPr>
      <w:bookmarkStart w:id="96" w:name="_Toc9346"/>
      <w:bookmarkStart w:id="97" w:name="_Toc26620"/>
      <w:bookmarkStart w:id="98" w:name="_Toc14261"/>
      <w:bookmarkStart w:id="99" w:name="_Toc11377"/>
      <w:bookmarkStart w:id="100" w:name="_Toc20092"/>
      <w:bookmarkStart w:id="101" w:name="_Toc27306"/>
      <w:bookmarkStart w:id="102" w:name="_Toc1270"/>
      <w:bookmarkStart w:id="103" w:name="_Toc30699"/>
      <w:r>
        <w:rPr>
          <w:rFonts w:hint="eastAsia"/>
        </w:rPr>
        <w:t>迎来的机遇</w:t>
      </w:r>
      <w:bookmarkEnd w:id="96"/>
      <w:bookmarkEnd w:id="97"/>
      <w:bookmarkEnd w:id="98"/>
      <w:bookmarkEnd w:id="99"/>
      <w:bookmarkEnd w:id="100"/>
      <w:bookmarkEnd w:id="101"/>
      <w:bookmarkEnd w:id="102"/>
      <w:bookmarkEnd w:id="103"/>
    </w:p>
    <w:p>
      <w:pPr>
        <w:pStyle w:val="34"/>
        <w:numPr>
          <w:ilvl w:val="0"/>
          <w:numId w:val="0"/>
        </w:numPr>
        <w:ind w:left="2469"/>
      </w:pPr>
    </w:p>
    <w:p>
      <w:pPr>
        <w:spacing w:line="594" w:lineRule="exact"/>
        <w:rPr>
          <w:rFonts w:ascii="方正仿宋_GBK" w:cs="Times New Roman"/>
        </w:rPr>
      </w:pPr>
      <w:r>
        <w:rPr>
          <w:rFonts w:hint="eastAsia" w:cs="Times New Roman"/>
          <w:b/>
          <w:bCs/>
        </w:rPr>
        <w:t>各级党委政府的高度重视为奉节生态文明建设指明方向。</w:t>
      </w:r>
      <w:r>
        <w:rPr>
          <w:rFonts w:hint="eastAsia" w:cs="Times New Roman"/>
        </w:rPr>
        <w:t>党的十八大以来，以习近平同志为核心的党中央把生态文明建设摆在全局工作的突出位置，全面加强生态文明建设，开展了一系列根本性、开创性、长远性工作，决心之大、力度之大、成效之大前所未有，生态文明建设从认识到实践都发生了历史性、转折性、全局性的变化。习近平总书记传承中华民族传统文化、顺应时代潮流和人民意愿，站在坚持和发展中国特色社会主义、实现中华民族伟大复兴中国梦的战略高度，深刻回答了为什么建设生态文明、建设什么样的生态文明、怎样建设生态文明等重大理论和实践问题，系统形成了习近平生态文明思想。习近平生态文明思想</w:t>
      </w:r>
      <w:r>
        <w:rPr>
          <w:rFonts w:hint="eastAsia" w:cs="Times New Roman"/>
          <w:bCs/>
          <w:szCs w:val="36"/>
        </w:rPr>
        <w:t>是新时代推进生态文明和美丽中国建设的根本遵循。</w:t>
      </w:r>
      <w:r>
        <w:rPr>
          <w:rFonts w:hint="eastAsia" w:cs="Times New Roman"/>
        </w:rPr>
        <w:t>自2017年以来，全国已命名五批国家</w:t>
      </w:r>
      <w:r>
        <w:rPr>
          <w:rFonts w:cs="Times New Roman"/>
        </w:rPr>
        <w:t>生态文明建设示范市县</w:t>
      </w:r>
      <w:r>
        <w:rPr>
          <w:rFonts w:hint="eastAsia" w:cs="Times New Roman"/>
        </w:rPr>
        <w:t>，这些地区在依托生态资源发展生态经济、推动绿色高质量发展方面具有良好基础，在生态文明建设方面走在全国前列，</w:t>
      </w:r>
      <w:r>
        <w:rPr>
          <w:rFonts w:hint="eastAsia"/>
        </w:rPr>
        <w:t>为奉节生态文明建设示范县建设</w:t>
      </w:r>
      <w:r>
        <w:rPr>
          <w:rFonts w:hint="eastAsia" w:ascii="方正仿宋_GBK" w:cs="Times New Roman"/>
        </w:rPr>
        <w:t>提供了许多宝贵经验。</w:t>
      </w:r>
    </w:p>
    <w:p>
      <w:pPr>
        <w:spacing w:line="594" w:lineRule="exact"/>
      </w:pPr>
      <w:r>
        <w:rPr>
          <w:rFonts w:hint="eastAsia" w:cs="Times New Roman"/>
          <w:bCs/>
          <w:szCs w:val="36"/>
        </w:rPr>
        <w:t>重庆市委市政府</w:t>
      </w:r>
      <w:r>
        <w:rPr>
          <w:rFonts w:hint="eastAsia"/>
        </w:rPr>
        <w:t>全面落实习近平总书记对重庆提出的营造良好政治生态，坚持“两点”定位、“两地”“两高”目标，发挥“三个作用”和推动成渝地区双城经济圈建设等重要指示要求，把习近平总书记殷殷嘱托全面落实在重庆大地上这条主线，坚定不移走生态优先、绿色发展新路，坚决打好污染防治攻坚战，生态文明建设成果丰富。“十四五”乃至今后更长一段时期，全市将持续坚持以生态优先、绿色发展为战略导向，深入打好污染防治攻坚战，全面推进生态文明建设，积极打造生态文明建设示范新样板，为奉节生态文明建设示范县建设指明了方向。</w:t>
      </w:r>
    </w:p>
    <w:p>
      <w:pPr>
        <w:spacing w:line="594" w:lineRule="exact"/>
      </w:pPr>
      <w:r>
        <w:rPr>
          <w:rFonts w:hint="eastAsia"/>
          <w:b/>
          <w:bCs/>
        </w:rPr>
        <w:t>推动区域协同发展助力奉节加快培育经济发展新动能。</w:t>
      </w:r>
      <w:r>
        <w:rPr>
          <w:rFonts w:hint="eastAsia"/>
        </w:rPr>
        <w:t>奉节作为长江上游生态屏障的最后一道关口，保护长江母亲河、维护三峡库区生态安全，事关成渝地区长远发展、事关国家发展全局。“十四五”时期，奉节县将牢牢把握区域协同发展新机遇，努力在推进长江经济带绿色发展发挥示范作用中当好标杆，在推进新时代“西部大开发”发挥支撑作用中做好表率，在推进共建“一带一路”发挥带动作用中实现突破。按照重庆市委书记陈敏尔对奉节提出的“1231”</w:t>
      </w:r>
      <w:r>
        <w:rPr>
          <w:rStyle w:val="33"/>
          <w:rFonts w:hint="eastAsia"/>
        </w:rPr>
        <w:footnoteReference w:id="3"/>
      </w:r>
      <w:r>
        <w:rPr>
          <w:rFonts w:hint="eastAsia"/>
        </w:rPr>
        <w:t>工作指示，以优化营商环境为突破口，抢抓高铁时代到来新机遇，着力构建节约资源和保护环境的空间格局，深入实施长江经济带发展战略，强化“共抓大保护，不搞大开发”战略导向，结合“库区”“山区”特点，细化落实“生态优先、绿色发展”战略任务，以深入打好污染防治攻坚战为战略支撑，着力把生态优势转化为经济优势，把资源优势转化为产业优势，把区位优势转化为发展优势，把人文优势转化为动力优势，培育经济发展新动能，积极把奉节建设成为建设长江经济带上的绿色生态强县和区域性功能中心。</w:t>
      </w:r>
    </w:p>
    <w:p>
      <w:pPr>
        <w:spacing w:line="594" w:lineRule="exact"/>
      </w:pPr>
      <w:r>
        <w:rPr>
          <w:rFonts w:hint="eastAsia"/>
          <w:b/>
          <w:bCs/>
        </w:rPr>
        <w:t>人民群众对生态环境的新期盼推动奉节生态文明建设。</w:t>
      </w:r>
      <w:r>
        <w:rPr>
          <w:rFonts w:hint="eastAsia" w:ascii="方正仿宋_GBK" w:cs="Times New Roman"/>
        </w:rPr>
        <w:t>近年来，奉节县积极开展生态文明建设，</w:t>
      </w:r>
      <w:r>
        <w:rPr>
          <w:rFonts w:hint="eastAsia" w:cs="Times New Roman"/>
        </w:rPr>
        <w:t>走出了一条生态与经济协同发展、互促共进、良性循环的新路子，形成了全民自觉践行打“山水牌”、吃“绿色饭”、走“生态路”的良好氛围，这也让广大奉节人民对</w:t>
      </w:r>
      <w:r>
        <w:rPr>
          <w:rFonts w:hint="eastAsia" w:ascii="方正仿宋_GBK" w:cs="Times New Roman"/>
        </w:rPr>
        <w:t>良好的大自然环境、舒适的亲水环境、独特的户外休闲环境等高质量的生态环境的期盼更加强烈，对地域特色的生态农产品、生态文化旅游、生态农业体验旅游等“生态+”产业的需求越来越强烈</w:t>
      </w:r>
      <w:r>
        <w:rPr>
          <w:rFonts w:hint="eastAsia"/>
        </w:rPr>
        <w:t>，为奉节生态文明建设奠定了群众基础。</w:t>
      </w:r>
    </w:p>
    <w:p>
      <w:pPr>
        <w:ind w:firstLine="0" w:firstLineChars="0"/>
      </w:pPr>
    </w:p>
    <w:p>
      <w:pPr>
        <w:pStyle w:val="5"/>
      </w:pPr>
      <w:bookmarkStart w:id="104" w:name="_Toc5099"/>
      <w:bookmarkStart w:id="105" w:name="_Toc4056"/>
      <w:bookmarkStart w:id="106" w:name="_Toc3881"/>
      <w:bookmarkStart w:id="107" w:name="_Toc21811"/>
      <w:bookmarkStart w:id="108" w:name="_Toc3526"/>
      <w:bookmarkStart w:id="109" w:name="_Toc4351"/>
      <w:bookmarkStart w:id="110" w:name="_Toc1274"/>
      <w:bookmarkStart w:id="111" w:name="_Toc29364"/>
      <w:bookmarkStart w:id="112" w:name="_Toc16477"/>
      <w:bookmarkStart w:id="113" w:name="_Toc23891"/>
      <w:bookmarkStart w:id="114" w:name="_Toc2286"/>
      <w:bookmarkStart w:id="115" w:name="_Toc15461"/>
      <w:r>
        <w:rPr>
          <w:rFonts w:hint="eastAsia"/>
        </w:rPr>
        <w:t>问题与挑战</w:t>
      </w:r>
      <w:bookmarkEnd w:id="104"/>
      <w:bookmarkEnd w:id="105"/>
      <w:bookmarkEnd w:id="106"/>
      <w:bookmarkEnd w:id="107"/>
      <w:bookmarkEnd w:id="108"/>
      <w:bookmarkEnd w:id="109"/>
      <w:bookmarkEnd w:id="110"/>
      <w:bookmarkEnd w:id="111"/>
    </w:p>
    <w:bookmarkEnd w:id="112"/>
    <w:bookmarkEnd w:id="113"/>
    <w:bookmarkEnd w:id="114"/>
    <w:bookmarkEnd w:id="115"/>
    <w:p>
      <w:pPr>
        <w:spacing w:line="594" w:lineRule="exact"/>
        <w:rPr>
          <w:b/>
          <w:bCs/>
        </w:rPr>
      </w:pPr>
    </w:p>
    <w:p>
      <w:pPr>
        <w:spacing w:line="594" w:lineRule="exact"/>
      </w:pPr>
      <w:r>
        <w:rPr>
          <w:rFonts w:hint="eastAsia"/>
          <w:b/>
          <w:bCs/>
        </w:rPr>
        <w:t>产业结构转型升级面临挑战。</w:t>
      </w:r>
      <w:r>
        <w:t>近年来，奉节县通过狠抓运行调控、优化发展环境、深化开放合作等措施，区域经济发展较好，202</w:t>
      </w:r>
      <w:r>
        <w:rPr>
          <w:rFonts w:hint="eastAsia"/>
        </w:rPr>
        <w:t>1</w:t>
      </w:r>
      <w:r>
        <w:t>年，全县GDP为</w:t>
      </w:r>
      <w:r>
        <w:rPr>
          <w:rFonts w:hint="eastAsia"/>
        </w:rPr>
        <w:t>372.5</w:t>
      </w:r>
      <w:r>
        <w:t>亿元</w:t>
      </w:r>
      <w:r>
        <w:rPr>
          <w:rFonts w:hint="eastAsia"/>
        </w:rPr>
        <w:t>，</w:t>
      </w:r>
      <w:r>
        <w:t>经济总体规模较小</w:t>
      </w:r>
      <w:r>
        <w:rPr>
          <w:rFonts w:hint="eastAsia"/>
        </w:rPr>
        <w:t>，</w:t>
      </w:r>
      <w:r>
        <w:t>三次产业结构比为</w:t>
      </w:r>
      <w:r>
        <w:rPr>
          <w:rFonts w:hint="eastAsia"/>
        </w:rPr>
        <w:t>17：37：46</w:t>
      </w:r>
      <w:r>
        <w:t>，</w:t>
      </w:r>
      <w:r>
        <w:rPr>
          <w:rFonts w:hint="eastAsia"/>
        </w:rPr>
        <w:t>产业结构仍待持续优化调整</w:t>
      </w:r>
      <w:r>
        <w:t>。目前，奉节县集约型高效农业发展空间仍有较大空间，各区域之间及上下游产业之间发展不均，尤其缺少精深加工</w:t>
      </w:r>
      <w:r>
        <w:rPr>
          <w:rFonts w:hint="eastAsia"/>
        </w:rPr>
        <w:t>，</w:t>
      </w:r>
      <w:r>
        <w:t>导致农业产业链相对较短，农产品附加值不高；工业以能源、建材、农产品加工、生物制药、眼镜制造、新材料等六大主导产业，</w:t>
      </w:r>
      <w:r>
        <w:rPr>
          <w:rFonts w:hint="eastAsia"/>
        </w:rPr>
        <w:t>但科技型企业、高新技术企业占比小，企业仍处于价值链中低端，创新力、竞争力较弱；高端创新平台培育不足，缺乏能带动区域创新发展的集中创新载体；科技创新人才短缺，特别缺乏专业研发型、专业技术型、生产技能型人才，经济转型升级面临较大挑战。</w:t>
      </w:r>
    </w:p>
    <w:p>
      <w:pPr>
        <w:widowControl/>
        <w:adjustRightInd w:val="0"/>
        <w:spacing w:line="594" w:lineRule="exact"/>
        <w:rPr>
          <w:b/>
          <w:bCs/>
          <w:szCs w:val="22"/>
        </w:rPr>
      </w:pPr>
      <w:r>
        <w:rPr>
          <w:rFonts w:hint="eastAsia"/>
          <w:b/>
          <w:bCs/>
          <w:szCs w:val="22"/>
        </w:rPr>
        <w:t>生态环境质量持续改善难度较大。</w:t>
      </w:r>
      <w:r>
        <w:rPr>
          <w:rFonts w:hint="eastAsia"/>
          <w:szCs w:val="22"/>
        </w:rPr>
        <w:t>环境空气质量方面，近年来，全县环境空气质量在全市41个区县中稳定保持在前十位，大气环境质量进一步提升的难度增大，一是重点污染物减排空间极小，二是城市交通污染整治、餐饮油烟治理、建筑和施工扬尘等空气污染源管控难度较大。水环境质量方面，“一江五河”水质稳定维持在</w:t>
      </w:r>
      <w:r>
        <w:rPr>
          <w:rFonts w:hint="eastAsia" w:cs="Times New Roman"/>
          <w:kern w:val="0"/>
          <w:szCs w:val="32"/>
        </w:rPr>
        <w:t>II类，但因</w:t>
      </w:r>
      <w:r>
        <w:rPr>
          <w:rFonts w:hint="eastAsia"/>
          <w:szCs w:val="22"/>
        </w:rPr>
        <w:t>境内河道众多、水网密布，水环境污染防治任务重，一是城镇地下污水管网布设错综复杂日常运行维护工作量较大；二是农村面源污染防控难度较大，农村生活污水、生活垃圾基础设施建设仍有短板，农村生活污水治理率、三大粮食</w:t>
      </w:r>
      <w:r>
        <w:rPr>
          <w:rFonts w:hint="eastAsia"/>
          <w:szCs w:val="22"/>
          <w:lang w:eastAsia="zh-CN"/>
        </w:rPr>
        <w:t>作物</w:t>
      </w:r>
      <w:r>
        <w:rPr>
          <w:rFonts w:hint="eastAsia"/>
          <w:szCs w:val="22"/>
        </w:rPr>
        <w:t>农药化肥利用率，秸秆综合利用率等指标尚未达到国家生态文明建设示范县考核要求。饮用水安全方面，全县</w:t>
      </w:r>
      <w:r>
        <w:rPr>
          <w:szCs w:val="22"/>
        </w:rPr>
        <w:t>33</w:t>
      </w:r>
      <w:r>
        <w:rPr>
          <w:rFonts w:hint="eastAsia"/>
          <w:szCs w:val="22"/>
        </w:rPr>
        <w:t>个乡镇（街道），共379个涉农村（社区），农村饮水安全工程共计5465处，其中集中供水工程2075处，分散式供水工程3390处，呈现点多面广、监管难度大等特点，且存在农村供水工程存在供水设施老化、净化消毒设施不完备等问题，村镇饮用水卫生合格率尚未达到国家生态文明建设示范县考核要求。</w:t>
      </w:r>
    </w:p>
    <w:p>
      <w:pPr>
        <w:widowControl/>
        <w:adjustRightInd w:val="0"/>
        <w:spacing w:line="594" w:lineRule="exact"/>
      </w:pPr>
      <w:r>
        <w:rPr>
          <w:b/>
          <w:bCs/>
        </w:rPr>
        <w:t>重要生态系统保护和修复任务艰巨。</w:t>
      </w:r>
      <w:r>
        <w:t>奉节县属于国家重要生态功能区，生物资源丰富，生态保护与修复任务重。</w:t>
      </w:r>
      <w:r>
        <w:rPr>
          <w:rFonts w:hint="eastAsia"/>
        </w:rPr>
        <w:t>一是</w:t>
      </w:r>
      <w:r>
        <w:t>水土流失问题仍然突出，</w:t>
      </w:r>
      <w:r>
        <w:rPr>
          <w:rFonts w:hint="eastAsia"/>
        </w:rPr>
        <w:t>全县</w:t>
      </w:r>
      <w:r>
        <w:t>水土流失率43.68%</w:t>
      </w:r>
      <w:r>
        <w:rPr>
          <w:rFonts w:hint="eastAsia"/>
        </w:rPr>
        <w:t>，</w:t>
      </w:r>
      <w:r>
        <w:t>新老水生态环境问题叠加增加了治理难度。</w:t>
      </w:r>
      <w:r>
        <w:rPr>
          <w:rFonts w:hint="eastAsia"/>
        </w:rPr>
        <w:t>二是</w:t>
      </w:r>
      <w:r>
        <w:t>废弃矿山</w:t>
      </w:r>
      <w:r>
        <w:rPr>
          <w:rFonts w:hint="eastAsia"/>
        </w:rPr>
        <w:t>治理任务重，全县多处</w:t>
      </w:r>
      <w:r>
        <w:t>关闭煤矿遗留裸露地块，需修复的废弃矿山图斑达162个、面积235.43公顷，修复和治理任务较重。</w:t>
      </w:r>
      <w:r>
        <w:rPr>
          <w:rFonts w:hint="eastAsia"/>
        </w:rPr>
        <w:t>三是水生态安全管控任务重，</w:t>
      </w:r>
      <w:r>
        <w:t>县域长江干流43公里及流域面积50平方公里及以上30条河流岸线长1535公里</w:t>
      </w:r>
      <w:r>
        <w:rPr>
          <w:rFonts w:hint="eastAsia"/>
        </w:rPr>
        <w:t>，河湖水域岸线功能分区管控任务繁重，管控措施仍待进一步完善。</w:t>
      </w:r>
    </w:p>
    <w:p>
      <w:pPr>
        <w:widowControl/>
        <w:adjustRightInd w:val="0"/>
        <w:spacing w:line="594" w:lineRule="exact"/>
        <w:jc w:val="left"/>
        <w:rPr>
          <w:szCs w:val="22"/>
        </w:rPr>
      </w:pPr>
      <w:r>
        <w:rPr>
          <w:rFonts w:hint="eastAsia"/>
          <w:b/>
          <w:bCs/>
          <w:szCs w:val="22"/>
        </w:rPr>
        <w:t>全民生态文明意识仍有待提升。</w:t>
      </w:r>
      <w:r>
        <w:rPr>
          <w:rFonts w:hint="eastAsia"/>
          <w:szCs w:val="22"/>
        </w:rPr>
        <w:t>随着生态文明建设的持续深入推进，企业治污主体责任意识逐步提升，公众生态文明意识逐步提升，但仍面临以下挑战：企业仍存在依赖政府监管被动开展污染治理的现象；“世界地球日”“国际生物多样性日”“六·五”世界环境日等重要节点开展的宣传仍以传统文明、生态环境保护宣传为主，生态文明建设宣传的深度和广度不够</w:t>
      </w:r>
      <w:r>
        <w:rPr>
          <w:szCs w:val="22"/>
        </w:rPr>
        <w:t>；</w:t>
      </w:r>
      <w:r>
        <w:rPr>
          <w:rFonts w:hint="eastAsia"/>
          <w:szCs w:val="22"/>
        </w:rPr>
        <w:t>社会组织与公众参与生态文明建设的制度不完善、参与渠道不够畅通，公众对生态文明建设认识不到位；生态文明“细胞工程”建设取得了阶段性进展，平安乡、永乐镇、青龙镇大窝社区获得了市级“两山”基地命名，永安街道、永乐镇、朱衣镇等7个乡镇（街道）获得了市级生态文明建设示范乡镇（街道）命名，公众的生态文明意识有较大提升，但绿色经济的发展方式、简约低碳的生活方式仍有提升空间。</w:t>
      </w:r>
    </w:p>
    <w:p>
      <w:pPr>
        <w:ind w:firstLine="0" w:firstLineChars="0"/>
        <w:sectPr>
          <w:footerReference r:id="rId9" w:type="default"/>
          <w:pgSz w:w="11906" w:h="16838"/>
          <w:pgMar w:top="2098" w:right="1474" w:bottom="1984" w:left="1587" w:header="851" w:footer="1111" w:gutter="0"/>
          <w:cols w:space="720" w:num="1"/>
          <w:docGrid w:type="lines" w:linePitch="439" w:charSpace="0"/>
        </w:sectPr>
      </w:pPr>
    </w:p>
    <w:p>
      <w:pPr>
        <w:pStyle w:val="4"/>
        <w:spacing w:line="594" w:lineRule="exact"/>
        <w:ind w:left="432" w:hanging="432"/>
      </w:pPr>
      <w:bookmarkStart w:id="116" w:name="_Toc7086"/>
      <w:bookmarkStart w:id="117" w:name="_Toc22801"/>
      <w:bookmarkStart w:id="118" w:name="_Toc13328"/>
      <w:bookmarkStart w:id="119" w:name="_Toc5132"/>
      <w:bookmarkStart w:id="120" w:name="_Toc25530"/>
      <w:bookmarkStart w:id="121" w:name="_Toc3419"/>
      <w:bookmarkStart w:id="122" w:name="_Toc8643"/>
      <w:bookmarkStart w:id="123" w:name="_Toc8141"/>
      <w:bookmarkStart w:id="124" w:name="_Toc13865"/>
      <w:bookmarkStart w:id="125" w:name="_Toc30131"/>
      <w:bookmarkStart w:id="126" w:name="_Toc14898"/>
      <w:bookmarkStart w:id="127" w:name="_Toc26416"/>
      <w:bookmarkStart w:id="128" w:name="_Toc11511"/>
      <w:bookmarkStart w:id="129" w:name="_Toc27300"/>
      <w:bookmarkStart w:id="130" w:name="_Toc24901"/>
      <w:bookmarkStart w:id="131" w:name="_Toc21117"/>
      <w:bookmarkStart w:id="132" w:name="_Toc28152"/>
      <w:bookmarkStart w:id="133" w:name="_Toc8573"/>
      <w:bookmarkStart w:id="134" w:name="_Toc6439"/>
      <w:bookmarkStart w:id="135" w:name="_Toc2560"/>
      <w:bookmarkStart w:id="136" w:name="_Toc30828"/>
      <w:bookmarkStart w:id="137" w:name="_Toc22297"/>
      <w:bookmarkStart w:id="138" w:name="_Toc72"/>
      <w:bookmarkStart w:id="139" w:name="_Toc9841"/>
      <w:bookmarkStart w:id="140" w:name="_Toc5095"/>
      <w:bookmarkStart w:id="141" w:name="_Toc8837"/>
      <w:bookmarkStart w:id="142" w:name="_Toc16141"/>
      <w:bookmarkStart w:id="143" w:name="_Toc30959"/>
      <w:bookmarkStart w:id="144" w:name="_Toc31495"/>
      <w:bookmarkStart w:id="145" w:name="_Toc529289010"/>
      <w:r>
        <w:t>总体要求</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bookmarkStart w:id="146" w:name="_Toc7452"/>
      <w:bookmarkStart w:id="147" w:name="_Toc18869"/>
      <w:bookmarkStart w:id="148" w:name="_Toc26956"/>
      <w:bookmarkStart w:id="149" w:name="_Toc30290"/>
      <w:bookmarkStart w:id="150" w:name="_Toc6302"/>
      <w:bookmarkStart w:id="151" w:name="_Toc21784"/>
      <w:bookmarkStart w:id="152" w:name="_Toc8675"/>
      <w:bookmarkStart w:id="153" w:name="_Toc15903"/>
      <w:bookmarkStart w:id="154" w:name="_Toc14202"/>
      <w:bookmarkStart w:id="155" w:name="_Toc1038"/>
      <w:bookmarkStart w:id="156" w:name="_Toc26438"/>
      <w:bookmarkStart w:id="157" w:name="_Toc27367"/>
      <w:bookmarkStart w:id="158" w:name="_Toc8137"/>
      <w:bookmarkStart w:id="159" w:name="_Toc10058"/>
      <w:bookmarkStart w:id="160" w:name="_Toc32216"/>
      <w:bookmarkStart w:id="161" w:name="_Toc529289011"/>
      <w:bookmarkStart w:id="162" w:name="_Toc1583"/>
      <w:bookmarkStart w:id="163" w:name="_Toc21165"/>
    </w:p>
    <w:p>
      <w:pPr>
        <w:pStyle w:val="5"/>
      </w:pPr>
      <w:bookmarkStart w:id="164" w:name="_Toc11873"/>
      <w:bookmarkStart w:id="165" w:name="_Toc27489"/>
      <w:bookmarkStart w:id="166" w:name="_Toc25483"/>
      <w:bookmarkStart w:id="167" w:name="_Toc19211"/>
      <w:bookmarkStart w:id="168" w:name="_Toc7300"/>
      <w:bookmarkStart w:id="169" w:name="_Toc4127"/>
      <w:bookmarkStart w:id="170" w:name="_Toc15931"/>
      <w:bookmarkStart w:id="171" w:name="_Toc31465"/>
      <w:bookmarkStart w:id="172" w:name="_Toc17960"/>
      <w:bookmarkStart w:id="173" w:name="_Toc18934"/>
      <w:bookmarkStart w:id="174" w:name="_Toc28428"/>
      <w:bookmarkStart w:id="175" w:name="_Toc16837"/>
      <w:r>
        <w:t>指导思想</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pPr>
        <w:spacing w:line="594" w:lineRule="exact"/>
      </w:pPr>
    </w:p>
    <w:p>
      <w:pPr>
        <w:spacing w:line="594" w:lineRule="exact"/>
      </w:pPr>
      <w:r>
        <w:rPr>
          <w:rFonts w:hint="eastAsia"/>
        </w:rPr>
        <w:t>以习近平新时代中国特色社会主义思想为指导，深学笃用习近平生态文明思想，</w:t>
      </w:r>
      <w:r>
        <w:rPr>
          <w:rFonts w:hint="eastAsia" w:cs="仿宋_GB2312"/>
          <w:szCs w:val="32"/>
        </w:rPr>
        <w:t>深入贯彻党的十九大、十九届历次全会和</w:t>
      </w:r>
      <w:r>
        <w:rPr>
          <w:rFonts w:hint="eastAsia" w:cs="仿宋_GB2312"/>
          <w:szCs w:val="32"/>
          <w:lang w:eastAsia="zh-CN"/>
        </w:rPr>
        <w:t>党的</w:t>
      </w:r>
      <w:r>
        <w:rPr>
          <w:rFonts w:hint="eastAsia" w:cs="仿宋_GB2312"/>
          <w:szCs w:val="32"/>
        </w:rPr>
        <w:t>二十大精神，</w:t>
      </w:r>
      <w:r>
        <w:rPr>
          <w:rFonts w:hint="eastAsia"/>
        </w:rPr>
        <w:t>全面落实习近平总书记对重庆提出的营造良好政治生态，坚持“两点”定位、“两地”“两高”目标，发挥“三个作用”和推动成渝地区双城经济圈建设等重要指示要求，深入践行“绿水青山就是金山银山”理论，围绕全县“1239”发展思路</w:t>
      </w:r>
      <w:r>
        <w:rPr>
          <w:rStyle w:val="33"/>
          <w:rFonts w:hint="eastAsia"/>
        </w:rPr>
        <w:footnoteReference w:id="4"/>
      </w:r>
      <w:r>
        <w:rPr>
          <w:rFonts w:hint="eastAsia"/>
        </w:rPr>
        <w:t>，共抓大保护、不搞大开发，坚定不移走生态优先、绿色发展之路，以建设美丽奉节为目标，以生态文明建设示范县建设为抓手，以建立健全生态文明制度、改善生态环境质量、筑牢生态屏障、大力发展生态经济、积极弘扬生态文化为重点，全面深入推进生态文明建设，切实筑牢长江上游生态安全屏障，促进奉节经济社会发展全面绿色转型，奋力谱写新时代奉节高质量发展高品质生活新篇章，把奉节建设成为长江经济带上的绿色生态强县。</w:t>
      </w:r>
    </w:p>
    <w:p>
      <w:pPr>
        <w:spacing w:line="594" w:lineRule="exact"/>
      </w:pPr>
    </w:p>
    <w:p>
      <w:pPr>
        <w:pStyle w:val="5"/>
      </w:pPr>
      <w:bookmarkStart w:id="176" w:name="_Toc5086"/>
      <w:bookmarkStart w:id="177" w:name="_Toc15431"/>
      <w:bookmarkStart w:id="178" w:name="_Toc23641"/>
      <w:bookmarkStart w:id="179" w:name="_Toc4919"/>
      <w:bookmarkStart w:id="180" w:name="_Toc46"/>
      <w:bookmarkStart w:id="181" w:name="_Toc26857"/>
      <w:bookmarkStart w:id="182" w:name="_Toc28125"/>
      <w:bookmarkStart w:id="183" w:name="_Toc29186"/>
      <w:bookmarkStart w:id="184" w:name="_Toc22708"/>
      <w:bookmarkStart w:id="185" w:name="_Toc13654"/>
      <w:bookmarkStart w:id="186" w:name="_Toc276"/>
      <w:bookmarkStart w:id="187" w:name="_Toc20572"/>
      <w:bookmarkStart w:id="188" w:name="_Toc11048"/>
      <w:bookmarkStart w:id="189" w:name="_Toc23498"/>
      <w:bookmarkStart w:id="190" w:name="_Toc10774"/>
      <w:bookmarkStart w:id="191" w:name="_Toc23120"/>
      <w:bookmarkStart w:id="192" w:name="_Toc30145"/>
      <w:bookmarkStart w:id="193" w:name="_Toc3141"/>
      <w:bookmarkStart w:id="194" w:name="_Toc29628"/>
      <w:bookmarkStart w:id="195" w:name="_Toc26329"/>
      <w:bookmarkStart w:id="196" w:name="_Toc8979"/>
      <w:bookmarkStart w:id="197" w:name="_Toc29010"/>
      <w:bookmarkStart w:id="198" w:name="_Toc6034"/>
      <w:bookmarkStart w:id="199" w:name="_Toc4284"/>
      <w:bookmarkStart w:id="200" w:name="_Toc529289012"/>
      <w:bookmarkStart w:id="201" w:name="_Toc7598"/>
      <w:bookmarkStart w:id="202" w:name="_Toc20747"/>
      <w:bookmarkStart w:id="203" w:name="_Toc12370"/>
      <w:bookmarkStart w:id="204" w:name="_Toc19204"/>
      <w:bookmarkStart w:id="205" w:name="_Toc26512"/>
      <w:r>
        <w:t>基本原则</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pPr>
        <w:snapToGrid w:val="0"/>
        <w:spacing w:line="594" w:lineRule="exact"/>
        <w:rPr>
          <w:rFonts w:ascii="方正仿宋_GBK" w:cs="Times New Roman"/>
          <w:b/>
          <w:szCs w:val="32"/>
        </w:rPr>
      </w:pPr>
    </w:p>
    <w:p>
      <w:pPr>
        <w:snapToGrid w:val="0"/>
        <w:spacing w:line="594" w:lineRule="exact"/>
        <w:rPr>
          <w:rFonts w:ascii="方正仿宋_GBK" w:cs="Times New Roman"/>
          <w:bCs/>
          <w:szCs w:val="32"/>
        </w:rPr>
      </w:pPr>
      <w:r>
        <w:rPr>
          <w:rFonts w:ascii="方正仿宋_GBK" w:cs="Times New Roman"/>
          <w:b/>
          <w:szCs w:val="32"/>
        </w:rPr>
        <w:t>坚持</w:t>
      </w:r>
      <w:r>
        <w:rPr>
          <w:rFonts w:hint="eastAsia" w:ascii="方正仿宋_GBK" w:cs="Times New Roman"/>
          <w:b/>
          <w:szCs w:val="32"/>
        </w:rPr>
        <w:t>生态优先</w:t>
      </w:r>
      <w:r>
        <w:rPr>
          <w:rFonts w:ascii="方正仿宋_GBK" w:cs="Times New Roman"/>
          <w:b/>
          <w:szCs w:val="32"/>
        </w:rPr>
        <w:t>，推动</w:t>
      </w:r>
      <w:r>
        <w:rPr>
          <w:rFonts w:hint="eastAsia" w:ascii="方正仿宋_GBK" w:cs="Times New Roman"/>
          <w:b/>
          <w:szCs w:val="32"/>
        </w:rPr>
        <w:t>绿色发展</w:t>
      </w:r>
      <w:r>
        <w:rPr>
          <w:rFonts w:hint="eastAsia" w:ascii="方正仿宋_GBK" w:cs="Times New Roman"/>
          <w:bCs/>
          <w:szCs w:val="32"/>
        </w:rPr>
        <w:t>。</w:t>
      </w:r>
      <w:bookmarkStart w:id="206" w:name="_Hlk516043322"/>
      <w:r>
        <w:rPr>
          <w:rFonts w:hint="eastAsia" w:ascii="方正仿宋_GBK" w:cs="Times New Roman"/>
          <w:bCs/>
          <w:szCs w:val="32"/>
        </w:rPr>
        <w:t>牢固树立“绿水青山就是金山银山”的理念，正确把握保护生态环境与发展经济的关系，共抓大保护、不搞大开发，坚持“生态立县”“生态富民”和“生态强县”发展目标，把生态文明建设摆在全局工作的突出位置，充分发挥奉节特色生态和人文优势，构建生态经济产业体系，推进奉节在长江经济带绿色发展中发挥示范作用。</w:t>
      </w:r>
    </w:p>
    <w:bookmarkEnd w:id="206"/>
    <w:p>
      <w:pPr>
        <w:snapToGrid w:val="0"/>
        <w:spacing w:line="594" w:lineRule="exact"/>
        <w:rPr>
          <w:rFonts w:ascii="方正仿宋_GBK" w:cs="Times New Roman"/>
          <w:bCs/>
          <w:szCs w:val="32"/>
        </w:rPr>
      </w:pPr>
      <w:r>
        <w:rPr>
          <w:rFonts w:ascii="方正仿宋_GBK" w:cs="Times New Roman"/>
          <w:b/>
          <w:szCs w:val="32"/>
        </w:rPr>
        <w:t>坚持</w:t>
      </w:r>
      <w:r>
        <w:rPr>
          <w:rFonts w:hint="eastAsia" w:ascii="方正仿宋_GBK" w:cs="Times New Roman"/>
          <w:b/>
          <w:szCs w:val="32"/>
        </w:rPr>
        <w:t>问题导向，注重</w:t>
      </w:r>
      <w:r>
        <w:rPr>
          <w:rFonts w:ascii="方正仿宋_GBK" w:cs="Times New Roman"/>
          <w:b/>
          <w:szCs w:val="32"/>
        </w:rPr>
        <w:t>工作</w:t>
      </w:r>
      <w:r>
        <w:rPr>
          <w:rFonts w:hint="eastAsia" w:ascii="方正仿宋_GBK" w:cs="Times New Roman"/>
          <w:b/>
          <w:szCs w:val="32"/>
        </w:rPr>
        <w:t>实效。</w:t>
      </w:r>
      <w:r>
        <w:rPr>
          <w:rFonts w:hint="eastAsia" w:ascii="方正仿宋_GBK" w:cs="Times New Roman"/>
          <w:bCs/>
          <w:szCs w:val="32"/>
        </w:rPr>
        <w:t>坚持人与自然和谐共生，把良好生态环境作为人民群众福祉的增长点。聚焦社会关注和人民群众反映强烈的突出环境问题，以问题定目标，以目标定任务，以任务定项目，以项目定责任，持续推进重点区域、重点领域、重点问题和重点指标取得实效，切实为人民群众提供更多优质生态产品和服务，不断增强人民群众获得感、幸福感和安全感。</w:t>
      </w:r>
    </w:p>
    <w:p>
      <w:pPr>
        <w:snapToGrid w:val="0"/>
        <w:spacing w:line="594" w:lineRule="exact"/>
        <w:rPr>
          <w:rFonts w:ascii="方正仿宋_GBK" w:cs="Times New Roman"/>
          <w:bCs/>
          <w:szCs w:val="32"/>
        </w:rPr>
      </w:pPr>
      <w:r>
        <w:rPr>
          <w:rFonts w:hint="eastAsia" w:ascii="方正仿宋_GBK" w:cs="Times New Roman"/>
          <w:b/>
          <w:szCs w:val="32"/>
        </w:rPr>
        <w:t>立足</w:t>
      </w:r>
      <w:r>
        <w:rPr>
          <w:rFonts w:ascii="方正仿宋_GBK" w:cs="Times New Roman"/>
          <w:b/>
          <w:szCs w:val="32"/>
        </w:rPr>
        <w:t>基本</w:t>
      </w:r>
      <w:r>
        <w:rPr>
          <w:rFonts w:hint="eastAsia" w:ascii="方正仿宋_GBK" w:cs="Times New Roman"/>
          <w:b/>
          <w:szCs w:val="32"/>
        </w:rPr>
        <w:t>县情，彰显</w:t>
      </w:r>
      <w:r>
        <w:rPr>
          <w:rFonts w:ascii="方正仿宋_GBK" w:cs="Times New Roman"/>
          <w:b/>
          <w:szCs w:val="32"/>
        </w:rPr>
        <w:t>县域</w:t>
      </w:r>
      <w:r>
        <w:rPr>
          <w:rFonts w:hint="eastAsia" w:ascii="方正仿宋_GBK" w:cs="Times New Roman"/>
          <w:b/>
          <w:szCs w:val="32"/>
        </w:rPr>
        <w:t>特色。</w:t>
      </w:r>
      <w:r>
        <w:rPr>
          <w:rFonts w:hint="eastAsia" w:ascii="方正仿宋_GBK" w:cs="Times New Roman"/>
          <w:bCs/>
          <w:szCs w:val="32"/>
        </w:rPr>
        <w:t>立足奉节县自然条件、历史文化和经济现状，以独特的自然资源和优美生态环境为依托，用好生态、人文“两个宝贝”，着力把生态优势转化为经济优势，人文优势转化为动力优势。将生态文明建设示范县建设目标与全县“十四五”国民经济和社会发展目标充分衔接，根据全县经济社会发展水平、资源环境条件、区域差异等实际情况，持续以全域旅游统领，生态产业支撑，开启美丽经济，建设美丽奉节，朝着建设长江经济带上的绿色生态强县阔步前行。</w:t>
      </w:r>
    </w:p>
    <w:p>
      <w:pPr>
        <w:snapToGrid w:val="0"/>
        <w:spacing w:line="594" w:lineRule="exact"/>
        <w:rPr>
          <w:rFonts w:ascii="方正仿宋_GBK" w:cs="Times New Roman"/>
          <w:szCs w:val="32"/>
        </w:rPr>
      </w:pPr>
      <w:r>
        <w:rPr>
          <w:rFonts w:ascii="方正仿宋_GBK" w:cs="Times New Roman"/>
          <w:b/>
          <w:szCs w:val="32"/>
        </w:rPr>
        <w:t>发动</w:t>
      </w:r>
      <w:r>
        <w:rPr>
          <w:rFonts w:hint="eastAsia" w:ascii="方正仿宋_GBK" w:cs="Times New Roman"/>
          <w:b/>
          <w:szCs w:val="32"/>
        </w:rPr>
        <w:t>全民参与</w:t>
      </w:r>
      <w:r>
        <w:rPr>
          <w:rFonts w:ascii="方正仿宋_GBK" w:cs="Times New Roman"/>
          <w:b/>
          <w:szCs w:val="32"/>
        </w:rPr>
        <w:t>，实现</w:t>
      </w:r>
      <w:r>
        <w:rPr>
          <w:rFonts w:hint="eastAsia" w:ascii="方正仿宋_GBK" w:cs="Times New Roman"/>
          <w:b/>
          <w:szCs w:val="32"/>
        </w:rPr>
        <w:t>共建共享。</w:t>
      </w:r>
      <w:r>
        <w:rPr>
          <w:rFonts w:hint="eastAsia" w:ascii="方正仿宋_GBK" w:cs="Times New Roman"/>
          <w:szCs w:val="32"/>
        </w:rPr>
        <w:t>完善“政府、企业、公众”生态环境治理体系。各级党委政府要切实当好环境治理的“领头雁”，实行生态环境保护党政同责、一岗双责。强化企业主体责任，企业是污染物排放的主体，也是环境治理的“排头兵”，企业要把环境保护当作分内事。引导公众积极参与，人民群众既是良好生态环境的“需求方”，也是生态环境治理的“主考官”，更是保护生态环境的“生力军”，每一个人要树牢“环境保护、人人有责”共识，更好发挥社会组织和公众的积极性和监督作用。</w:t>
      </w:r>
    </w:p>
    <w:p/>
    <w:p>
      <w:pPr>
        <w:pStyle w:val="5"/>
      </w:pPr>
      <w:bookmarkStart w:id="207" w:name="_Toc14306"/>
      <w:bookmarkStart w:id="208" w:name="_Toc17153"/>
      <w:bookmarkStart w:id="209" w:name="_Toc12779"/>
      <w:bookmarkStart w:id="210" w:name="_Toc18138"/>
      <w:bookmarkStart w:id="211" w:name="_Toc30820"/>
      <w:bookmarkStart w:id="212" w:name="_Toc12998"/>
      <w:bookmarkStart w:id="213" w:name="_Toc18093"/>
      <w:bookmarkStart w:id="214" w:name="_Toc3149"/>
      <w:bookmarkStart w:id="215" w:name="_Toc16642"/>
      <w:bookmarkStart w:id="216" w:name="_Toc19464"/>
      <w:bookmarkStart w:id="217" w:name="_Toc8901"/>
      <w:bookmarkStart w:id="218" w:name="_Toc13571"/>
      <w:bookmarkStart w:id="219" w:name="_Toc13392"/>
      <w:bookmarkStart w:id="220" w:name="_Toc29790"/>
      <w:bookmarkStart w:id="221" w:name="_Toc7514"/>
      <w:bookmarkStart w:id="222" w:name="_Toc3332"/>
      <w:bookmarkStart w:id="223" w:name="_Toc4605"/>
      <w:bookmarkStart w:id="224" w:name="_Toc10106"/>
      <w:bookmarkStart w:id="225" w:name="_Toc15574"/>
      <w:bookmarkStart w:id="226" w:name="_Toc5711"/>
      <w:bookmarkStart w:id="227" w:name="_Toc5088"/>
      <w:bookmarkStart w:id="228" w:name="_Toc32385"/>
      <w:bookmarkStart w:id="229" w:name="_Toc23528"/>
      <w:bookmarkStart w:id="230" w:name="_Toc1118"/>
      <w:bookmarkStart w:id="231" w:name="_Toc529289016"/>
      <w:bookmarkStart w:id="232" w:name="_Toc11204"/>
      <w:bookmarkStart w:id="233" w:name="_Toc27984"/>
      <w:bookmarkStart w:id="234" w:name="_Toc8539"/>
      <w:bookmarkStart w:id="235" w:name="_Toc15344"/>
      <w:bookmarkStart w:id="236" w:name="_Toc11265"/>
      <w:bookmarkStart w:id="237" w:name="_Toc26921"/>
      <w:bookmarkStart w:id="238" w:name="_Toc23734"/>
      <w:bookmarkStart w:id="239" w:name="_Toc29045"/>
      <w:bookmarkStart w:id="240" w:name="_Toc8594"/>
      <w:bookmarkStart w:id="241" w:name="_Toc12616"/>
      <w:bookmarkStart w:id="242" w:name="_Toc31500"/>
      <w:bookmarkStart w:id="243" w:name="_Toc11568"/>
      <w:bookmarkStart w:id="244" w:name="_Toc8981"/>
      <w:bookmarkStart w:id="245" w:name="_Toc30967"/>
      <w:bookmarkStart w:id="246" w:name="_Toc25760"/>
      <w:bookmarkStart w:id="247" w:name="_Toc12921"/>
      <w:r>
        <w:t>编制依据</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
      <w:pPr>
        <w:tabs>
          <w:tab w:val="left" w:pos="0"/>
          <w:tab w:val="left" w:pos="397"/>
        </w:tabs>
        <w:ind w:left="0" w:firstLine="640" w:firstLineChars="200"/>
        <w:jc w:val="left"/>
        <w:rPr>
          <w:rFonts w:ascii="方正黑体_GBK" w:eastAsia="方正黑体_GBK"/>
          <w:bCs/>
          <w:szCs w:val="32"/>
        </w:rPr>
      </w:pPr>
      <w:bookmarkStart w:id="248" w:name="_Toc529289014"/>
      <w:bookmarkStart w:id="249" w:name="_Toc4329"/>
      <w:r>
        <w:rPr>
          <w:rFonts w:hint="eastAsia" w:ascii="方正黑体_GBK" w:eastAsia="方正黑体_GBK"/>
          <w:bCs/>
          <w:szCs w:val="32"/>
        </w:rPr>
        <w:t>一、法律法规</w:t>
      </w:r>
      <w:bookmarkEnd w:id="248"/>
      <w:bookmarkEnd w:id="249"/>
    </w:p>
    <w:p>
      <w:pPr>
        <w:numPr>
          <w:ilvl w:val="0"/>
          <w:numId w:val="3"/>
        </w:numPr>
        <w:tabs>
          <w:tab w:val="left" w:pos="0"/>
          <w:tab w:val="left" w:pos="397"/>
        </w:tabs>
        <w:spacing w:line="594" w:lineRule="exact"/>
        <w:ind w:left="0" w:firstLine="640" w:firstLineChars="0"/>
      </w:pPr>
      <w:bookmarkStart w:id="250" w:name="_Hlk519775600"/>
      <w:bookmarkStart w:id="251" w:name="_Hlk517531575"/>
      <w:r>
        <w:t>《中华人民共和国环境保护法》（2014.4）</w:t>
      </w:r>
    </w:p>
    <w:p>
      <w:pPr>
        <w:numPr>
          <w:ilvl w:val="0"/>
          <w:numId w:val="3"/>
        </w:numPr>
        <w:tabs>
          <w:tab w:val="left" w:pos="0"/>
          <w:tab w:val="left" w:pos="397"/>
        </w:tabs>
        <w:spacing w:line="594" w:lineRule="exact"/>
        <w:ind w:left="0" w:firstLine="640" w:firstLineChars="0"/>
      </w:pPr>
      <w:r>
        <w:t>《中华人民共和国水污染防治法》（2017.6）</w:t>
      </w:r>
    </w:p>
    <w:p>
      <w:pPr>
        <w:numPr>
          <w:ilvl w:val="0"/>
          <w:numId w:val="3"/>
        </w:numPr>
        <w:tabs>
          <w:tab w:val="left" w:pos="0"/>
          <w:tab w:val="left" w:pos="397"/>
        </w:tabs>
        <w:spacing w:line="594" w:lineRule="exact"/>
        <w:ind w:left="0" w:firstLine="640" w:firstLineChars="0"/>
      </w:pPr>
      <w:r>
        <w:t>《中华人民共和国土壤污染防治法》（2018.8）</w:t>
      </w:r>
    </w:p>
    <w:p>
      <w:pPr>
        <w:numPr>
          <w:ilvl w:val="0"/>
          <w:numId w:val="3"/>
        </w:numPr>
        <w:tabs>
          <w:tab w:val="left" w:pos="0"/>
          <w:tab w:val="left" w:pos="397"/>
        </w:tabs>
        <w:spacing w:line="594" w:lineRule="exact"/>
        <w:ind w:left="0" w:firstLine="640" w:firstLineChars="0"/>
      </w:pPr>
      <w:r>
        <w:t>《中华人民共和国大气污染防治法》（2018.10）</w:t>
      </w:r>
    </w:p>
    <w:p>
      <w:pPr>
        <w:numPr>
          <w:ilvl w:val="0"/>
          <w:numId w:val="3"/>
        </w:numPr>
        <w:tabs>
          <w:tab w:val="left" w:pos="0"/>
          <w:tab w:val="left" w:pos="397"/>
        </w:tabs>
        <w:spacing w:line="594" w:lineRule="exact"/>
        <w:ind w:left="0" w:firstLine="640" w:firstLineChars="0"/>
      </w:pPr>
      <w:r>
        <w:t>《</w:t>
      </w:r>
      <w:r>
        <w:rPr>
          <w:rFonts w:hint="eastAsia"/>
        </w:rPr>
        <w:t>中华人民共和国固体废物污染环境防治法</w:t>
      </w:r>
      <w:r>
        <w:t>》</w:t>
      </w:r>
      <w:r>
        <w:rPr>
          <w:rFonts w:hint="eastAsia"/>
        </w:rPr>
        <w:t>（2</w:t>
      </w:r>
      <w:r>
        <w:t>020.4</w:t>
      </w:r>
      <w:r>
        <w:rPr>
          <w:rFonts w:hint="eastAsia"/>
        </w:rPr>
        <w:t>）</w:t>
      </w:r>
    </w:p>
    <w:p>
      <w:pPr>
        <w:numPr>
          <w:ilvl w:val="0"/>
          <w:numId w:val="3"/>
        </w:numPr>
        <w:tabs>
          <w:tab w:val="left" w:pos="0"/>
          <w:tab w:val="left" w:pos="397"/>
        </w:tabs>
        <w:spacing w:line="594" w:lineRule="exact"/>
        <w:ind w:left="0" w:firstLine="640" w:firstLineChars="0"/>
      </w:pPr>
      <w:r>
        <w:rPr>
          <w:rFonts w:hint="eastAsia"/>
        </w:rPr>
        <w:t>《中华人民共和国长江保护法》（2020.12）</w:t>
      </w:r>
    </w:p>
    <w:p>
      <w:pPr>
        <w:numPr>
          <w:ilvl w:val="0"/>
          <w:numId w:val="3"/>
        </w:numPr>
        <w:tabs>
          <w:tab w:val="left" w:pos="0"/>
          <w:tab w:val="left" w:pos="397"/>
        </w:tabs>
        <w:spacing w:line="594" w:lineRule="exact"/>
        <w:ind w:left="0" w:firstLine="640" w:firstLineChars="0"/>
      </w:pPr>
      <w:r>
        <w:t>《中华人民共和国噪声污染防治法》（20</w:t>
      </w:r>
      <w:r>
        <w:rPr>
          <w:rFonts w:hint="eastAsia"/>
        </w:rPr>
        <w:t>21</w:t>
      </w:r>
      <w:r>
        <w:t>.12）</w:t>
      </w:r>
    </w:p>
    <w:p>
      <w:pPr>
        <w:numPr>
          <w:ilvl w:val="0"/>
          <w:numId w:val="3"/>
        </w:numPr>
        <w:tabs>
          <w:tab w:val="left" w:pos="0"/>
          <w:tab w:val="left" w:pos="397"/>
        </w:tabs>
        <w:spacing w:line="594" w:lineRule="exact"/>
        <w:ind w:left="0" w:firstLine="640" w:firstLineChars="0"/>
      </w:pPr>
      <w:r>
        <w:rPr>
          <w:rFonts w:hint="eastAsia"/>
        </w:rPr>
        <w:t>《重庆市环境保护条例》（2018.7）</w:t>
      </w:r>
    </w:p>
    <w:p>
      <w:pPr>
        <w:numPr>
          <w:ilvl w:val="0"/>
          <w:numId w:val="3"/>
        </w:numPr>
        <w:tabs>
          <w:tab w:val="left" w:pos="0"/>
          <w:tab w:val="left" w:pos="397"/>
        </w:tabs>
        <w:spacing w:line="594" w:lineRule="exact"/>
        <w:ind w:left="0" w:firstLine="640" w:firstLineChars="0"/>
      </w:pPr>
      <w:r>
        <w:rPr>
          <w:rFonts w:hint="eastAsia"/>
        </w:rPr>
        <w:t>《重庆市大气污染防治条例》（2018.7）</w:t>
      </w:r>
    </w:p>
    <w:p>
      <w:pPr>
        <w:numPr>
          <w:ilvl w:val="0"/>
          <w:numId w:val="3"/>
        </w:numPr>
        <w:tabs>
          <w:tab w:val="left" w:pos="0"/>
          <w:tab w:val="left" w:pos="397"/>
        </w:tabs>
        <w:spacing w:line="594" w:lineRule="exact"/>
        <w:ind w:left="0" w:firstLine="640" w:firstLineChars="0"/>
      </w:pPr>
      <w:r>
        <w:rPr>
          <w:rFonts w:hint="eastAsia"/>
        </w:rPr>
        <w:t>《重庆市水污染防治条例》（2020.7）</w:t>
      </w:r>
    </w:p>
    <w:bookmarkEnd w:id="250"/>
    <w:bookmarkEnd w:id="251"/>
    <w:p>
      <w:pPr>
        <w:tabs>
          <w:tab w:val="left" w:pos="0"/>
          <w:tab w:val="left" w:pos="397"/>
        </w:tabs>
        <w:ind w:left="0" w:firstLine="640" w:firstLineChars="200"/>
        <w:jc w:val="left"/>
        <w:rPr>
          <w:rFonts w:ascii="方正黑体_GBK" w:eastAsia="方正黑体_GBK"/>
          <w:bCs/>
          <w:szCs w:val="32"/>
        </w:rPr>
      </w:pPr>
      <w:r>
        <w:rPr>
          <w:rFonts w:ascii="方正黑体_GBK" w:eastAsia="方正黑体_GBK"/>
          <w:bCs/>
          <w:szCs w:val="32"/>
        </w:rPr>
        <w:t>二、相关规划和政策性文件</w:t>
      </w:r>
    </w:p>
    <w:p>
      <w:pPr>
        <w:numPr>
          <w:ilvl w:val="0"/>
          <w:numId w:val="4"/>
        </w:numPr>
        <w:tabs>
          <w:tab w:val="left" w:pos="0"/>
          <w:tab w:val="left" w:pos="397"/>
        </w:tabs>
        <w:spacing w:line="594" w:lineRule="exact"/>
        <w:ind w:left="0" w:firstLine="640" w:firstLineChars="0"/>
        <w:jc w:val="left"/>
        <w:rPr>
          <w:rFonts w:cs="Times New Roman"/>
          <w:szCs w:val="22"/>
        </w:rPr>
      </w:pPr>
      <w:r>
        <w:rPr>
          <w:rFonts w:cs="Times New Roman"/>
          <w:szCs w:val="32"/>
        </w:rPr>
        <w:t>《中共中央国务院关于加快推进生态文明建设的意见》（2015年5月）</w:t>
      </w:r>
    </w:p>
    <w:p>
      <w:pPr>
        <w:numPr>
          <w:ilvl w:val="0"/>
          <w:numId w:val="4"/>
        </w:numPr>
        <w:tabs>
          <w:tab w:val="left" w:pos="0"/>
          <w:tab w:val="left" w:pos="397"/>
        </w:tabs>
        <w:spacing w:line="594" w:lineRule="exact"/>
        <w:ind w:left="0" w:firstLine="640" w:firstLineChars="0"/>
        <w:jc w:val="left"/>
        <w:rPr>
          <w:rFonts w:cs="Times New Roman"/>
          <w:szCs w:val="22"/>
        </w:rPr>
      </w:pPr>
      <w:r>
        <w:rPr>
          <w:rFonts w:cs="Times New Roman"/>
          <w:szCs w:val="22"/>
        </w:rPr>
        <w:t>《生态文明体制改革总体方案》（2015年9月）</w:t>
      </w:r>
    </w:p>
    <w:p>
      <w:pPr>
        <w:numPr>
          <w:ilvl w:val="0"/>
          <w:numId w:val="4"/>
        </w:numPr>
        <w:tabs>
          <w:tab w:val="left" w:pos="0"/>
          <w:tab w:val="left" w:pos="397"/>
        </w:tabs>
        <w:spacing w:line="594" w:lineRule="exact"/>
        <w:ind w:left="0" w:firstLine="640" w:firstLineChars="0"/>
        <w:jc w:val="left"/>
        <w:rPr>
          <w:rFonts w:cs="Times New Roman"/>
          <w:szCs w:val="22"/>
        </w:rPr>
      </w:pPr>
      <w:r>
        <w:rPr>
          <w:rFonts w:cs="Times New Roman"/>
          <w:szCs w:val="22"/>
        </w:rPr>
        <w:t>《中共中央办公厅国务院办公厅</w:t>
      </w:r>
      <w:r>
        <w:rPr>
          <w:rFonts w:ascii="方正仿宋_GBK" w:hAnsi="方正仿宋_GBK" w:cs="方正仿宋_GBK"/>
          <w:szCs w:val="22"/>
        </w:rPr>
        <w:t>印发</w:t>
      </w:r>
      <w:r>
        <w:rPr>
          <w:rFonts w:hint="eastAsia" w:ascii="方正仿宋_GBK" w:hAnsi="方正仿宋_GBK" w:cs="方正仿宋_GBK"/>
          <w:szCs w:val="22"/>
        </w:rPr>
        <w:t>〈</w:t>
      </w:r>
      <w:r>
        <w:rPr>
          <w:rFonts w:ascii="方正仿宋_GBK" w:hAnsi="方正仿宋_GBK" w:cs="方正仿宋_GBK"/>
          <w:szCs w:val="22"/>
        </w:rPr>
        <w:t>关于全面推行河长制的意见</w:t>
      </w:r>
      <w:r>
        <w:rPr>
          <w:rFonts w:hint="eastAsia" w:ascii="方正仿宋_GBK" w:hAnsi="方正仿宋_GBK" w:cs="方正仿宋_GBK"/>
          <w:szCs w:val="22"/>
        </w:rPr>
        <w:t>〉</w:t>
      </w:r>
      <w:r>
        <w:rPr>
          <w:rFonts w:cs="Times New Roman"/>
          <w:szCs w:val="22"/>
        </w:rPr>
        <w:t>》（2016年12月）</w:t>
      </w:r>
    </w:p>
    <w:p>
      <w:pPr>
        <w:numPr>
          <w:ilvl w:val="0"/>
          <w:numId w:val="4"/>
        </w:numPr>
        <w:tabs>
          <w:tab w:val="left" w:pos="0"/>
          <w:tab w:val="left" w:pos="397"/>
        </w:tabs>
        <w:spacing w:line="594" w:lineRule="exact"/>
        <w:ind w:left="0" w:firstLine="640" w:firstLineChars="0"/>
        <w:jc w:val="left"/>
        <w:rPr>
          <w:rFonts w:cs="Times New Roman"/>
          <w:szCs w:val="32"/>
        </w:rPr>
      </w:pPr>
      <w:r>
        <w:rPr>
          <w:rFonts w:cs="Times New Roman"/>
          <w:szCs w:val="32"/>
        </w:rPr>
        <w:t>《中共中央办公厅国务院办公厅关于构建现代环境治理体系的指导意见》（2020年3月）</w:t>
      </w:r>
    </w:p>
    <w:p>
      <w:pPr>
        <w:numPr>
          <w:ilvl w:val="0"/>
          <w:numId w:val="4"/>
        </w:numPr>
        <w:tabs>
          <w:tab w:val="left" w:pos="0"/>
          <w:tab w:val="left" w:pos="397"/>
        </w:tabs>
        <w:spacing w:line="594" w:lineRule="exact"/>
        <w:ind w:left="0" w:firstLine="640" w:firstLineChars="0"/>
        <w:jc w:val="left"/>
        <w:rPr>
          <w:rFonts w:cs="Times New Roman"/>
          <w:szCs w:val="22"/>
        </w:rPr>
      </w:pPr>
      <w:r>
        <w:rPr>
          <w:rFonts w:hint="eastAsia"/>
        </w:rPr>
        <w:t>《关于全面推行林长制的意见》（2</w:t>
      </w:r>
      <w:r>
        <w:t>020</w:t>
      </w:r>
      <w:r>
        <w:rPr>
          <w:rFonts w:hint="eastAsia"/>
        </w:rPr>
        <w:t>年1</w:t>
      </w:r>
      <w:r>
        <w:t>2</w:t>
      </w:r>
      <w:r>
        <w:rPr>
          <w:rFonts w:hint="eastAsia"/>
        </w:rPr>
        <w:t>月）</w:t>
      </w:r>
    </w:p>
    <w:p>
      <w:pPr>
        <w:numPr>
          <w:ilvl w:val="0"/>
          <w:numId w:val="4"/>
        </w:numPr>
        <w:tabs>
          <w:tab w:val="left" w:pos="0"/>
          <w:tab w:val="left" w:pos="397"/>
        </w:tabs>
        <w:spacing w:line="594" w:lineRule="exact"/>
        <w:ind w:left="0" w:firstLine="640" w:firstLineChars="0"/>
        <w:jc w:val="left"/>
        <w:rPr>
          <w:rFonts w:cs="Times New Roman"/>
          <w:szCs w:val="22"/>
        </w:rPr>
      </w:pPr>
      <w:r>
        <w:rPr>
          <w:rFonts w:cs="Times New Roman"/>
          <w:szCs w:val="22"/>
        </w:rPr>
        <w:t>《中共中央国务院关于深入打好污染防治攻坚战的意见》（2021年11月2日）</w:t>
      </w:r>
    </w:p>
    <w:p>
      <w:pPr>
        <w:numPr>
          <w:ilvl w:val="0"/>
          <w:numId w:val="4"/>
        </w:numPr>
        <w:tabs>
          <w:tab w:val="left" w:pos="0"/>
          <w:tab w:val="left" w:pos="397"/>
        </w:tabs>
        <w:spacing w:line="594" w:lineRule="exact"/>
        <w:ind w:left="0" w:firstLine="640" w:firstLineChars="0"/>
        <w:jc w:val="left"/>
        <w:rPr>
          <w:rFonts w:cs="Times New Roman"/>
          <w:szCs w:val="22"/>
        </w:rPr>
      </w:pPr>
      <w:r>
        <w:rPr>
          <w:rFonts w:cs="Times New Roman"/>
          <w:szCs w:val="22"/>
        </w:rPr>
        <w:t>《中共中央国务院关于完整准确全面贯彻新发展理念做好碳达峰碳中和工作的意见》（2021年9月）</w:t>
      </w:r>
    </w:p>
    <w:p>
      <w:pPr>
        <w:numPr>
          <w:ilvl w:val="0"/>
          <w:numId w:val="4"/>
        </w:numPr>
        <w:tabs>
          <w:tab w:val="left" w:pos="0"/>
          <w:tab w:val="left" w:pos="397"/>
        </w:tabs>
        <w:spacing w:line="594" w:lineRule="exact"/>
        <w:ind w:left="0" w:firstLine="640" w:firstLineChars="0"/>
        <w:jc w:val="left"/>
        <w:rPr>
          <w:rFonts w:cs="Times New Roman"/>
          <w:szCs w:val="22"/>
        </w:rPr>
      </w:pPr>
      <w:r>
        <w:rPr>
          <w:rFonts w:cs="Times New Roman"/>
          <w:szCs w:val="22"/>
        </w:rPr>
        <w:t>《中共中央办公厅国务院办公厅</w:t>
      </w:r>
      <w:r>
        <w:rPr>
          <w:rFonts w:hint="eastAsia" w:ascii="方正仿宋_GBK" w:hAnsi="方正仿宋_GBK" w:cs="方正仿宋_GBK"/>
          <w:szCs w:val="22"/>
        </w:rPr>
        <w:t>印发〈关于全面推行林长制的意见〉</w:t>
      </w:r>
      <w:r>
        <w:rPr>
          <w:rFonts w:cs="Times New Roman"/>
          <w:szCs w:val="22"/>
        </w:rPr>
        <w:t>》（2021年2月）</w:t>
      </w:r>
    </w:p>
    <w:p>
      <w:pPr>
        <w:numPr>
          <w:ilvl w:val="0"/>
          <w:numId w:val="4"/>
        </w:numPr>
        <w:tabs>
          <w:tab w:val="left" w:pos="0"/>
          <w:tab w:val="left" w:pos="397"/>
        </w:tabs>
        <w:spacing w:line="594" w:lineRule="exact"/>
        <w:ind w:left="0" w:firstLine="640" w:firstLineChars="0"/>
        <w:jc w:val="left"/>
        <w:rPr>
          <w:rFonts w:cs="Times New Roman"/>
          <w:szCs w:val="32"/>
        </w:rPr>
      </w:pPr>
      <w:r>
        <w:rPr>
          <w:rFonts w:cs="Times New Roman"/>
          <w:szCs w:val="32"/>
        </w:rPr>
        <w:t>《中共重庆市委重庆市人民政府关于加快推进生态文明建设的意见》（渝委〔2014〕19号）</w:t>
      </w:r>
    </w:p>
    <w:p>
      <w:pPr>
        <w:numPr>
          <w:ilvl w:val="0"/>
          <w:numId w:val="4"/>
        </w:numPr>
        <w:tabs>
          <w:tab w:val="left" w:pos="0"/>
          <w:tab w:val="left" w:pos="397"/>
        </w:tabs>
        <w:spacing w:line="594" w:lineRule="exact"/>
        <w:ind w:left="0" w:firstLine="640" w:firstLineChars="0"/>
        <w:jc w:val="left"/>
        <w:rPr>
          <w:rFonts w:cs="Times New Roman"/>
          <w:szCs w:val="32"/>
        </w:rPr>
      </w:pPr>
      <w:r>
        <w:rPr>
          <w:rFonts w:cs="Times New Roman"/>
          <w:szCs w:val="32"/>
        </w:rPr>
        <w:t>《重庆市人民政府办公厅四川省人民政府办公厅关于印发成渝地区双城经济圈碳达峰碳中和联合行动方案的通知》（渝府办发〔2022〕22号）</w:t>
      </w:r>
    </w:p>
    <w:p>
      <w:pPr>
        <w:numPr>
          <w:ilvl w:val="0"/>
          <w:numId w:val="4"/>
        </w:numPr>
        <w:tabs>
          <w:tab w:val="left" w:pos="0"/>
          <w:tab w:val="left" w:pos="397"/>
        </w:tabs>
        <w:spacing w:line="594" w:lineRule="exact"/>
        <w:ind w:left="0" w:firstLine="640" w:firstLineChars="0"/>
        <w:jc w:val="left"/>
        <w:rPr>
          <w:rFonts w:cs="Times New Roman"/>
          <w:szCs w:val="32"/>
        </w:rPr>
      </w:pPr>
      <w:r>
        <w:rPr>
          <w:rFonts w:hint="eastAsia" w:cs="Times New Roman"/>
          <w:szCs w:val="32"/>
        </w:rPr>
        <w:t>《</w:t>
      </w:r>
      <w:r>
        <w:rPr>
          <w:rFonts w:cs="Times New Roman"/>
          <w:szCs w:val="32"/>
        </w:rPr>
        <w:t>中共重庆市委重庆市人民政府关于完整准确全面贯彻新发展理念做好碳达峰碳中和工作的实施意见</w:t>
      </w:r>
      <w:r>
        <w:rPr>
          <w:rFonts w:hint="eastAsia" w:cs="Times New Roman"/>
          <w:szCs w:val="32"/>
        </w:rPr>
        <w:t>》</w:t>
      </w:r>
      <w:r>
        <w:rPr>
          <w:rFonts w:cs="Times New Roman"/>
          <w:szCs w:val="32"/>
        </w:rPr>
        <w:t>（渝委发〔2022〕8号）</w:t>
      </w:r>
    </w:p>
    <w:p>
      <w:pPr>
        <w:numPr>
          <w:ilvl w:val="0"/>
          <w:numId w:val="4"/>
        </w:numPr>
        <w:tabs>
          <w:tab w:val="left" w:pos="0"/>
          <w:tab w:val="left" w:pos="397"/>
        </w:tabs>
        <w:spacing w:line="594" w:lineRule="exact"/>
        <w:ind w:left="0" w:firstLine="640" w:firstLineChars="0"/>
      </w:pPr>
      <w:r>
        <w:rPr>
          <w:rFonts w:hint="eastAsia" w:ascii="方正仿宋_GBK" w:cs="方正仿宋_GBK"/>
        </w:rPr>
        <w:t>《生态环境部关于印发&lt;国家生态文明建设示范市县建设指标&gt;&lt;国家生态文明建设示范市县管理规程&gt;和&lt;“绿水青山就是金山银山”实践创新基地建设管理规程（试行）&gt;的通知</w:t>
      </w:r>
      <w:r>
        <w:rPr>
          <w:rFonts w:hint="eastAsia"/>
        </w:rPr>
        <w:t>》（环生态〔2019〕76号）</w:t>
      </w:r>
    </w:p>
    <w:p>
      <w:pPr>
        <w:numPr>
          <w:ilvl w:val="0"/>
          <w:numId w:val="4"/>
        </w:numPr>
        <w:tabs>
          <w:tab w:val="left" w:pos="0"/>
          <w:tab w:val="left" w:pos="397"/>
        </w:tabs>
        <w:spacing w:line="594" w:lineRule="exact"/>
        <w:ind w:left="0" w:firstLine="640" w:firstLineChars="0"/>
      </w:pPr>
      <w:r>
        <w:rPr>
          <w:rFonts w:hint="eastAsia"/>
        </w:rPr>
        <w:t>《重庆市生态环境局办公室关于印发</w:t>
      </w:r>
      <w:r>
        <w:rPr>
          <w:rFonts w:hint="eastAsia" w:ascii="方正仿宋_GBK" w:cs="方正仿宋_GBK"/>
        </w:rPr>
        <w:t>&lt;</w:t>
      </w:r>
      <w:r>
        <w:rPr>
          <w:rFonts w:hint="eastAsia"/>
        </w:rPr>
        <w:t>重庆市生态文明建设示范区县管理规程及建设指标</w:t>
      </w:r>
      <w:r>
        <w:rPr>
          <w:rFonts w:hint="eastAsia" w:ascii="方正仿宋_GBK" w:cs="方正仿宋_GBK"/>
        </w:rPr>
        <w:t>&gt;</w:t>
      </w:r>
      <w:r>
        <w:rPr>
          <w:rFonts w:hint="eastAsia"/>
        </w:rPr>
        <w:t>等三项制度的通知》（渝环办〔2020〕8号）</w:t>
      </w:r>
    </w:p>
    <w:p>
      <w:pPr>
        <w:numPr>
          <w:ilvl w:val="0"/>
          <w:numId w:val="4"/>
        </w:numPr>
        <w:tabs>
          <w:tab w:val="left" w:pos="0"/>
          <w:tab w:val="left" w:pos="397"/>
        </w:tabs>
        <w:spacing w:line="594" w:lineRule="exact"/>
        <w:ind w:left="0" w:firstLine="640" w:firstLineChars="0"/>
      </w:pPr>
      <w:r>
        <w:rPr>
          <w:rFonts w:hint="eastAsia"/>
        </w:rPr>
        <w:t>《重庆市生态环境保护“十四五”规划（2021—2025年）》</w:t>
      </w:r>
    </w:p>
    <w:p>
      <w:pPr>
        <w:numPr>
          <w:ilvl w:val="0"/>
          <w:numId w:val="4"/>
        </w:numPr>
        <w:tabs>
          <w:tab w:val="left" w:pos="0"/>
          <w:tab w:val="left" w:pos="397"/>
        </w:tabs>
        <w:spacing w:line="594" w:lineRule="exact"/>
        <w:ind w:left="0" w:firstLine="640" w:firstLineChars="0"/>
      </w:pPr>
      <w:r>
        <w:rPr>
          <w:rFonts w:hint="eastAsia"/>
        </w:rPr>
        <w:t>《重庆市文化和旅游发展“十四五”规划（2021—2025年）》</w:t>
      </w:r>
    </w:p>
    <w:p>
      <w:pPr>
        <w:numPr>
          <w:ilvl w:val="0"/>
          <w:numId w:val="4"/>
        </w:numPr>
        <w:tabs>
          <w:tab w:val="left" w:pos="0"/>
          <w:tab w:val="left" w:pos="397"/>
        </w:tabs>
        <w:spacing w:line="594" w:lineRule="exact"/>
        <w:ind w:left="0" w:firstLine="640" w:firstLineChars="0"/>
      </w:pPr>
      <w:r>
        <w:rPr>
          <w:rFonts w:hint="eastAsia"/>
        </w:rPr>
        <w:t>《奉节县国民经济和社会发展第十四个五年规划和二〇三五年远景目标纲要》</w:t>
      </w:r>
    </w:p>
    <w:p>
      <w:pPr>
        <w:numPr>
          <w:ilvl w:val="0"/>
          <w:numId w:val="4"/>
        </w:numPr>
        <w:tabs>
          <w:tab w:val="left" w:pos="0"/>
          <w:tab w:val="left" w:pos="397"/>
        </w:tabs>
        <w:spacing w:line="594" w:lineRule="exact"/>
        <w:ind w:left="0" w:firstLine="640" w:firstLineChars="0"/>
      </w:pPr>
      <w:r>
        <w:rPr>
          <w:rFonts w:hint="eastAsia"/>
        </w:rPr>
        <w:t>《奉节县生态环境保护“十四五”规划和二〇三五年远景目标》</w:t>
      </w:r>
    </w:p>
    <w:p>
      <w:pPr>
        <w:numPr>
          <w:ilvl w:val="0"/>
          <w:numId w:val="4"/>
        </w:numPr>
        <w:tabs>
          <w:tab w:val="left" w:pos="0"/>
          <w:tab w:val="left" w:pos="397"/>
        </w:tabs>
        <w:spacing w:line="594" w:lineRule="exact"/>
        <w:ind w:left="0" w:firstLine="640" w:firstLineChars="0"/>
      </w:pPr>
      <w:r>
        <w:rPr>
          <w:rFonts w:hint="eastAsia"/>
        </w:rPr>
        <w:t>《奉节县促进大健康产业高质量发展行动计划（2020－2025年）》</w:t>
      </w:r>
    </w:p>
    <w:p>
      <w:pPr>
        <w:numPr>
          <w:ilvl w:val="0"/>
          <w:numId w:val="4"/>
        </w:numPr>
        <w:tabs>
          <w:tab w:val="left" w:pos="0"/>
          <w:tab w:val="left" w:pos="397"/>
        </w:tabs>
        <w:spacing w:line="594" w:lineRule="exact"/>
        <w:ind w:left="0" w:firstLine="640" w:firstLineChars="0"/>
      </w:pPr>
      <w:r>
        <w:rPr>
          <w:rFonts w:hint="eastAsia"/>
        </w:rPr>
        <w:t>《奉节县新型智慧城市“十四五”规划》</w:t>
      </w:r>
    </w:p>
    <w:p>
      <w:pPr>
        <w:numPr>
          <w:ilvl w:val="0"/>
          <w:numId w:val="4"/>
        </w:numPr>
        <w:tabs>
          <w:tab w:val="left" w:pos="0"/>
          <w:tab w:val="left" w:pos="397"/>
        </w:tabs>
        <w:spacing w:line="594" w:lineRule="exact"/>
        <w:ind w:left="0" w:firstLine="640" w:firstLineChars="0"/>
      </w:pPr>
      <w:r>
        <w:rPr>
          <w:rFonts w:hint="eastAsia"/>
        </w:rPr>
        <w:t>《奉节县综合交通运输“十四五”规划 》</w:t>
      </w:r>
    </w:p>
    <w:p>
      <w:pPr>
        <w:numPr>
          <w:ilvl w:val="0"/>
          <w:numId w:val="4"/>
        </w:numPr>
        <w:tabs>
          <w:tab w:val="left" w:pos="0"/>
          <w:tab w:val="left" w:pos="397"/>
        </w:tabs>
        <w:spacing w:line="594" w:lineRule="exact"/>
        <w:ind w:left="0" w:firstLine="640" w:firstLineChars="0"/>
      </w:pPr>
      <w:r>
        <w:rPr>
          <w:rFonts w:hint="eastAsia"/>
        </w:rPr>
        <w:t>《奉节县水安全保障“十四五”规划》</w:t>
      </w:r>
    </w:p>
    <w:p>
      <w:pPr>
        <w:numPr>
          <w:ilvl w:val="0"/>
          <w:numId w:val="4"/>
        </w:numPr>
        <w:tabs>
          <w:tab w:val="left" w:pos="0"/>
          <w:tab w:val="left" w:pos="397"/>
        </w:tabs>
        <w:spacing w:line="594" w:lineRule="exact"/>
        <w:ind w:left="0" w:firstLine="640" w:firstLineChars="0"/>
      </w:pPr>
      <w:r>
        <w:rPr>
          <w:rFonts w:hint="eastAsia"/>
        </w:rPr>
        <w:t>《奉节县林业“十四五”发展规划》</w:t>
      </w:r>
    </w:p>
    <w:p>
      <w:pPr>
        <w:numPr>
          <w:ilvl w:val="0"/>
          <w:numId w:val="4"/>
        </w:numPr>
        <w:tabs>
          <w:tab w:val="left" w:pos="0"/>
          <w:tab w:val="left" w:pos="397"/>
        </w:tabs>
        <w:spacing w:line="594" w:lineRule="exact"/>
        <w:ind w:left="0" w:firstLine="640" w:firstLineChars="0"/>
      </w:pPr>
      <w:r>
        <w:rPr>
          <w:rFonts w:hint="eastAsia"/>
        </w:rPr>
        <w:t>《奉节县推进农业农村现代化 “十四五”规划（2021—2025年）》</w:t>
      </w:r>
    </w:p>
    <w:p>
      <w:pPr>
        <w:numPr>
          <w:ilvl w:val="0"/>
          <w:numId w:val="4"/>
        </w:numPr>
        <w:tabs>
          <w:tab w:val="left" w:pos="0"/>
          <w:tab w:val="left" w:pos="397"/>
        </w:tabs>
        <w:spacing w:line="594" w:lineRule="exact"/>
        <w:ind w:left="0" w:firstLine="640" w:firstLineChars="0"/>
      </w:pPr>
      <w:r>
        <w:rPr>
          <w:rFonts w:hint="eastAsia"/>
        </w:rPr>
        <w:t>《奉节县文化旅游发展“十四五”规划》</w:t>
      </w:r>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bookmarkStart w:id="252" w:name="_Toc17090"/>
      <w:bookmarkStart w:id="253" w:name="_Toc5398"/>
      <w:bookmarkStart w:id="254" w:name="_Toc32447"/>
      <w:bookmarkStart w:id="255" w:name="_Toc19890"/>
      <w:bookmarkStart w:id="256" w:name="_Toc18524"/>
      <w:bookmarkStart w:id="257" w:name="_Toc914"/>
      <w:bookmarkStart w:id="258" w:name="_Toc12797"/>
      <w:bookmarkStart w:id="259" w:name="_Toc26103"/>
      <w:bookmarkStart w:id="260" w:name="_Toc17192"/>
      <w:bookmarkStart w:id="261" w:name="_Toc13656"/>
      <w:bookmarkStart w:id="262" w:name="_Toc29819"/>
      <w:bookmarkStart w:id="263" w:name="_Toc28740"/>
    </w:p>
    <w:p>
      <w:pPr>
        <w:pStyle w:val="5"/>
      </w:pPr>
      <w:bookmarkStart w:id="264" w:name="_Toc2662"/>
      <w:bookmarkStart w:id="265" w:name="_Toc851"/>
      <w:bookmarkStart w:id="266" w:name="_Toc8436"/>
      <w:bookmarkStart w:id="267" w:name="_Toc21654"/>
      <w:bookmarkStart w:id="268" w:name="_Toc15192"/>
      <w:bookmarkStart w:id="269" w:name="_Toc25245"/>
      <w:bookmarkStart w:id="270" w:name="_Toc32211"/>
      <w:bookmarkStart w:id="271" w:name="_Toc9900"/>
      <w:bookmarkStart w:id="272" w:name="_Toc17638"/>
      <w:bookmarkStart w:id="273" w:name="_Toc21429"/>
      <w:bookmarkStart w:id="274" w:name="_Toc305"/>
      <w:bookmarkStart w:id="275" w:name="_Toc29563"/>
      <w:r>
        <w:t>规划范围</w:t>
      </w:r>
      <w:bookmarkEnd w:id="252"/>
      <w:bookmarkEnd w:id="264"/>
      <w:bookmarkEnd w:id="265"/>
      <w:bookmarkEnd w:id="266"/>
      <w:bookmarkEnd w:id="267"/>
      <w:bookmarkEnd w:id="268"/>
      <w:bookmarkEnd w:id="269"/>
      <w:bookmarkEnd w:id="270"/>
      <w:bookmarkEnd w:id="271"/>
      <w:bookmarkEnd w:id="272"/>
      <w:bookmarkEnd w:id="273"/>
      <w:bookmarkEnd w:id="274"/>
      <w:bookmarkEnd w:id="275"/>
    </w:p>
    <w:p/>
    <w:p>
      <w:pPr>
        <w:spacing w:line="594" w:lineRule="exact"/>
      </w:pPr>
      <w:r>
        <w:rPr>
          <w:rFonts w:hint="eastAsia"/>
        </w:rPr>
        <w:t>规划范围为奉节县全域，幅员面积4098平方公里。包括4个街道、18个镇、11个乡，</w:t>
      </w:r>
      <w:r>
        <w:rPr>
          <w:rFonts w:hint="eastAsia" w:cs="Times New Roman"/>
          <w:szCs w:val="32"/>
        </w:rPr>
        <w:t>即永安街道、鱼复街道、夔门街道，夔州街道，兴隆镇、吐祥镇、竹园镇、公平镇、草堂镇、新民镇、甲高镇、朱衣镇、康乐镇、白帝镇、汾河镇、大树镇、羊市镇、永乐镇、青龙镇、安坪镇、五马镇、石岗乡、青莲镇、冯坪乡、鹤峰乡、岩湾乡、红土乡、平安乡、康坪乡、云雾土家族乡、龙桥土家族乡、长安土家族乡、太和土家族乡</w:t>
      </w:r>
      <w:r>
        <w:rPr>
          <w:rFonts w:hint="eastAsia"/>
        </w:rPr>
        <w:t>，共76个社区和314个村。</w:t>
      </w:r>
    </w:p>
    <w:p>
      <w:bookmarkStart w:id="276" w:name="_Toc11805"/>
    </w:p>
    <w:p>
      <w:pPr>
        <w:pStyle w:val="5"/>
      </w:pPr>
      <w:bookmarkStart w:id="277" w:name="_Toc26290"/>
      <w:bookmarkStart w:id="278" w:name="_Toc1716"/>
      <w:bookmarkStart w:id="279" w:name="_Toc25416"/>
      <w:bookmarkStart w:id="280" w:name="_Toc29946"/>
      <w:bookmarkStart w:id="281" w:name="_Toc29422"/>
      <w:bookmarkStart w:id="282" w:name="_Toc8846"/>
      <w:bookmarkStart w:id="283" w:name="_Toc25691"/>
      <w:bookmarkStart w:id="284" w:name="_Toc26052"/>
      <w:bookmarkStart w:id="285" w:name="_Toc20229"/>
      <w:bookmarkStart w:id="286" w:name="_Toc13835"/>
      <w:bookmarkStart w:id="287" w:name="_Toc18499"/>
      <w:bookmarkStart w:id="288" w:name="_Toc29100"/>
      <w:r>
        <w:t>规划时限</w:t>
      </w:r>
      <w:bookmarkEnd w:id="253"/>
      <w:bookmarkEnd w:id="254"/>
      <w:bookmarkEnd w:id="255"/>
      <w:bookmarkEnd w:id="256"/>
      <w:bookmarkEnd w:id="257"/>
      <w:bookmarkEnd w:id="258"/>
      <w:bookmarkEnd w:id="259"/>
      <w:bookmarkEnd w:id="260"/>
      <w:bookmarkEnd w:id="261"/>
      <w:bookmarkEnd w:id="262"/>
      <w:bookmarkEnd w:id="263"/>
      <w:bookmarkEnd w:id="276"/>
      <w:bookmarkEnd w:id="277"/>
      <w:bookmarkEnd w:id="278"/>
      <w:bookmarkEnd w:id="279"/>
      <w:bookmarkEnd w:id="280"/>
      <w:bookmarkEnd w:id="281"/>
      <w:bookmarkEnd w:id="282"/>
      <w:bookmarkEnd w:id="283"/>
      <w:bookmarkEnd w:id="284"/>
      <w:bookmarkEnd w:id="285"/>
      <w:bookmarkEnd w:id="286"/>
      <w:bookmarkEnd w:id="287"/>
      <w:bookmarkEnd w:id="288"/>
    </w:p>
    <w:p>
      <w:pPr>
        <w:pStyle w:val="41"/>
        <w:snapToGrid w:val="0"/>
        <w:spacing w:line="594" w:lineRule="exact"/>
        <w:rPr>
          <w:rFonts w:cs="Times New Roman"/>
          <w:szCs w:val="32"/>
        </w:rPr>
      </w:pPr>
    </w:p>
    <w:p>
      <w:pPr>
        <w:pStyle w:val="41"/>
        <w:snapToGrid w:val="0"/>
        <w:spacing w:line="594" w:lineRule="exact"/>
        <w:rPr>
          <w:rFonts w:cs="Times New Roman"/>
          <w:szCs w:val="32"/>
        </w:rPr>
      </w:pPr>
      <w:r>
        <w:rPr>
          <w:rFonts w:hint="eastAsia" w:cs="Times New Roman"/>
          <w:szCs w:val="32"/>
        </w:rPr>
        <w:t>规划基准年：</w:t>
      </w:r>
      <w:r>
        <w:rPr>
          <w:rFonts w:cs="Times New Roman"/>
          <w:szCs w:val="32"/>
        </w:rPr>
        <w:t>20</w:t>
      </w:r>
      <w:r>
        <w:rPr>
          <w:rFonts w:hint="eastAsia" w:cs="Times New Roman"/>
          <w:szCs w:val="32"/>
        </w:rPr>
        <w:t>21年。</w:t>
      </w:r>
    </w:p>
    <w:p>
      <w:pPr>
        <w:spacing w:line="594" w:lineRule="exact"/>
        <w:ind w:left="1600" w:leftChars="200" w:hanging="960" w:hangingChars="300"/>
      </w:pPr>
      <w:r>
        <w:rPr>
          <w:rFonts w:cs="Times New Roman"/>
          <w:szCs w:val="32"/>
        </w:rPr>
        <w:t>规划</w:t>
      </w:r>
      <w:r>
        <w:rPr>
          <w:rFonts w:hint="eastAsia" w:cs="Times New Roman"/>
          <w:szCs w:val="32"/>
        </w:rPr>
        <w:t>时</w:t>
      </w:r>
      <w:r>
        <w:rPr>
          <w:rFonts w:cs="Times New Roman"/>
          <w:szCs w:val="32"/>
        </w:rPr>
        <w:t>限：</w:t>
      </w:r>
      <w:r>
        <w:rPr>
          <w:rFonts w:hint="eastAsia" w:cs="Times New Roman"/>
          <w:szCs w:val="32"/>
        </w:rPr>
        <w:t>2022-2030</w:t>
      </w:r>
      <w:r>
        <w:rPr>
          <w:rFonts w:cs="Times New Roman"/>
          <w:szCs w:val="32"/>
        </w:rPr>
        <w:t>年</w:t>
      </w:r>
      <w:r>
        <w:rPr>
          <w:rFonts w:hint="eastAsia" w:cs="Times New Roman"/>
          <w:szCs w:val="32"/>
        </w:rPr>
        <w:t>，其中，</w:t>
      </w:r>
      <w:r>
        <w:rPr>
          <w:rFonts w:cs="Times New Roman"/>
          <w:szCs w:val="32"/>
        </w:rPr>
        <w:t>全面达标期：</w:t>
      </w:r>
      <w:r>
        <w:rPr>
          <w:rFonts w:hint="eastAsia"/>
        </w:rPr>
        <w:t>2022-2025</w:t>
      </w:r>
    </w:p>
    <w:p>
      <w:pPr>
        <w:spacing w:line="594" w:lineRule="exact"/>
        <w:ind w:firstLine="0" w:firstLineChars="0"/>
      </w:pPr>
      <w:r>
        <w:rPr>
          <w:rFonts w:hint="eastAsia"/>
        </w:rPr>
        <w:t>年；巩固提升期：2026-2030年。</w:t>
      </w:r>
    </w:p>
    <w:p/>
    <w:p>
      <w:pPr>
        <w:pStyle w:val="5"/>
      </w:pPr>
      <w:bookmarkStart w:id="289" w:name="_Toc22697"/>
      <w:bookmarkStart w:id="290" w:name="_Toc21383"/>
      <w:bookmarkStart w:id="291" w:name="_Toc8935"/>
      <w:bookmarkStart w:id="292" w:name="_Toc10340"/>
      <w:bookmarkStart w:id="293" w:name="_Toc11982"/>
      <w:bookmarkStart w:id="294" w:name="_Toc30482"/>
      <w:bookmarkStart w:id="295" w:name="_Toc30472"/>
      <w:bookmarkStart w:id="296" w:name="_Toc29200"/>
      <w:bookmarkStart w:id="297" w:name="_Toc15350"/>
      <w:bookmarkStart w:id="298" w:name="_Toc22229"/>
      <w:bookmarkStart w:id="299" w:name="_Toc2377"/>
      <w:bookmarkStart w:id="300" w:name="_Toc1448"/>
      <w:bookmarkStart w:id="301" w:name="_Toc16308"/>
      <w:bookmarkStart w:id="302" w:name="_Toc6888"/>
      <w:bookmarkStart w:id="303" w:name="_Toc5327"/>
      <w:bookmarkStart w:id="304" w:name="_Toc14728"/>
      <w:bookmarkStart w:id="305" w:name="_Toc6758"/>
      <w:bookmarkStart w:id="306" w:name="_Toc31868"/>
      <w:bookmarkStart w:id="307" w:name="_Toc3648"/>
      <w:bookmarkStart w:id="308" w:name="_Toc4965"/>
      <w:bookmarkStart w:id="309" w:name="_Toc25207"/>
      <w:bookmarkStart w:id="310" w:name="_Toc21876"/>
      <w:bookmarkStart w:id="311" w:name="_Toc14491"/>
      <w:bookmarkStart w:id="312" w:name="_Toc2368"/>
      <w:bookmarkStart w:id="313" w:name="_Toc26259"/>
      <w:bookmarkStart w:id="314" w:name="_Toc9955"/>
      <w:bookmarkStart w:id="315" w:name="_Toc8742"/>
      <w:bookmarkStart w:id="316" w:name="_Toc32423"/>
      <w:bookmarkStart w:id="317" w:name="_Toc8617"/>
      <w:r>
        <w:t>规划目标</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
      <w:pPr>
        <w:spacing w:line="594" w:lineRule="exact"/>
      </w:pPr>
      <w:r>
        <w:rPr>
          <w:rFonts w:hint="eastAsia"/>
        </w:rPr>
        <w:t>1.总体目标</w:t>
      </w:r>
    </w:p>
    <w:p>
      <w:pPr>
        <w:spacing w:line="594" w:lineRule="exact"/>
      </w:pPr>
      <w:r>
        <w:rPr>
          <w:rFonts w:hint="eastAsia"/>
        </w:rPr>
        <w:t>到2023年，全县</w:t>
      </w:r>
      <w:r>
        <w:t>节约资源和保护环境</w:t>
      </w:r>
      <w:r>
        <w:rPr>
          <w:rFonts w:hint="eastAsia"/>
        </w:rPr>
        <w:t>的</w:t>
      </w:r>
      <w:r>
        <w:t>空间格局</w:t>
      </w:r>
      <w:r>
        <w:rPr>
          <w:rFonts w:hint="eastAsia"/>
        </w:rPr>
        <w:t>基本形成，生态文明体制机制逐步完善，生态环境质量持续稳定，绿色经济体系不断发展壮大，城乡面貌进一步改善，全社会生态文明意识显著提升，基本形成共建共治共享新局面，各项指标全面达到市级生态文明建设示范县相关要求。</w:t>
      </w:r>
    </w:p>
    <w:p>
      <w:pPr>
        <w:spacing w:line="594" w:lineRule="exact"/>
      </w:pPr>
      <w:r>
        <w:rPr>
          <w:rFonts w:hint="eastAsia"/>
        </w:rPr>
        <w:t>到2025年，深化巩固市级生态文明建设示范县成果，持续完善生态文明制度、改善生态环境、筑牢生态屏障、发展生态经济、提升人居环境、培养生态文化，各项指标全面达到国家生态文明建设示范县相关要求。</w:t>
      </w:r>
    </w:p>
    <w:p>
      <w:pPr>
        <w:spacing w:line="594" w:lineRule="exact"/>
        <w:sectPr>
          <w:pgSz w:w="11906" w:h="16838"/>
          <w:pgMar w:top="2098" w:right="1474" w:bottom="1984" w:left="1587" w:header="851" w:footer="1111" w:gutter="0"/>
          <w:cols w:space="720" w:num="1"/>
          <w:docGrid w:type="lines" w:linePitch="439" w:charSpace="0"/>
        </w:sectPr>
      </w:pPr>
      <w:r>
        <w:rPr>
          <w:rFonts w:hint="eastAsia"/>
        </w:rPr>
        <w:t>到2030年，全面深化提升生态文明建设示范县成果，持续推进绿色发展，环境质量得到根本性改善，不断提高奉节生态宜居宜业水平，让奉节的天更蓝、水更清、地更绿、空气更清新，基本建成山清水秀美丽奉节。</w:t>
      </w:r>
    </w:p>
    <w:p>
      <w:pPr>
        <w:pStyle w:val="5"/>
      </w:pPr>
      <w:bookmarkStart w:id="318" w:name="_Toc9930"/>
      <w:bookmarkStart w:id="319" w:name="_Toc6570"/>
      <w:bookmarkStart w:id="320" w:name="_Toc23854"/>
      <w:bookmarkStart w:id="321" w:name="_Toc2484"/>
      <w:bookmarkStart w:id="322" w:name="_Toc6941"/>
      <w:bookmarkStart w:id="323" w:name="_Toc14012"/>
      <w:bookmarkStart w:id="324" w:name="_Toc21061"/>
      <w:bookmarkStart w:id="325" w:name="_Toc28405"/>
      <w:bookmarkStart w:id="326" w:name="_Toc22364"/>
      <w:bookmarkStart w:id="327" w:name="_Toc18325"/>
      <w:r>
        <w:rPr>
          <w:rFonts w:hint="eastAsia"/>
        </w:rPr>
        <w:t>规划指标</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
      <w:pPr>
        <w:keepNext/>
        <w:keepLines/>
        <w:widowControl w:val="0"/>
        <w:numPr>
          <w:ilvl w:val="0"/>
          <w:numId w:val="5"/>
        </w:numPr>
        <w:spacing w:line="594" w:lineRule="exact"/>
        <w:ind w:left="0" w:firstLine="643" w:firstLineChars="0"/>
        <w:rPr>
          <w:b/>
          <w:bCs/>
        </w:rPr>
      </w:pPr>
      <w:bookmarkStart w:id="328" w:name="_Toc59438067"/>
      <w:bookmarkStart w:id="329" w:name="_Toc55341051"/>
      <w:r>
        <w:rPr>
          <w:b/>
          <w:bCs/>
        </w:rPr>
        <w:t>指标</w:t>
      </w:r>
      <w:r>
        <w:rPr>
          <w:rFonts w:hint="eastAsia"/>
          <w:b/>
          <w:bCs/>
        </w:rPr>
        <w:t>评估</w:t>
      </w:r>
    </w:p>
    <w:p>
      <w:pPr>
        <w:spacing w:line="594" w:lineRule="exact"/>
        <w:rPr>
          <w:rFonts w:cs="Times New Roman"/>
        </w:rPr>
      </w:pPr>
      <w:r>
        <w:rPr>
          <w:rFonts w:hint="eastAsia" w:cs="Times New Roman"/>
        </w:rPr>
        <w:t>1.市级指标</w:t>
      </w:r>
    </w:p>
    <w:p>
      <w:pPr>
        <w:spacing w:line="594" w:lineRule="exact"/>
        <w:rPr>
          <w:rFonts w:cs="Times New Roman"/>
          <w:szCs w:val="32"/>
        </w:rPr>
      </w:pPr>
      <w:r>
        <w:rPr>
          <w:rFonts w:hint="eastAsia" w:cs="Times New Roman"/>
        </w:rPr>
        <w:t>根据</w:t>
      </w:r>
      <w:r>
        <w:rPr>
          <w:rFonts w:hint="eastAsia" w:cs="Times New Roman"/>
          <w:szCs w:val="32"/>
        </w:rPr>
        <w:t>重庆市生态环境局办公室《关于</w:t>
      </w:r>
      <w:r>
        <w:rPr>
          <w:rFonts w:hint="eastAsia" w:ascii="方正仿宋_GBK" w:cs="方正仿宋_GBK"/>
          <w:szCs w:val="32"/>
        </w:rPr>
        <w:t>印发&lt;重庆市生态文明建设示范区县管理规程及建设指标&gt;等三项</w:t>
      </w:r>
      <w:r>
        <w:rPr>
          <w:rFonts w:hint="eastAsia" w:cs="Times New Roman"/>
          <w:szCs w:val="32"/>
        </w:rPr>
        <w:t>制度的通知》（渝环办〔</w:t>
      </w:r>
      <w:r>
        <w:rPr>
          <w:rFonts w:cs="Times New Roman"/>
          <w:szCs w:val="32"/>
        </w:rPr>
        <w:t>2020〕8号）</w:t>
      </w:r>
      <w:r>
        <w:rPr>
          <w:rFonts w:hint="eastAsia" w:cs="Times New Roman"/>
          <w:szCs w:val="32"/>
        </w:rPr>
        <w:t>，奉节县市级生态文明建设示范县建设指标共38个，得分为89分，</w:t>
      </w:r>
      <w:r>
        <w:rPr>
          <w:rFonts w:hint="eastAsia"/>
        </w:rPr>
        <w:t>暂未达到重庆市生态文明建设示范区92分的考核要求。其中有33项指标得满分，5项指标未得分或者未得满分，分别为依法开展规划环境影响评价（扣1分，得1分）、市级生态文明建设示范乡镇占比（扣5分，得0分）、城镇集中式污水处理率（扣1分，得2分）、城镇人均公园绿地面积（扣2分，得0分）、生态环境教育基地（扣2分，得0分）</w:t>
      </w:r>
      <w:r>
        <w:rPr>
          <w:rFonts w:hint="eastAsia" w:cs="Times New Roman"/>
          <w:szCs w:val="32"/>
        </w:rPr>
        <w:t>（详见表2-1）。</w:t>
      </w:r>
    </w:p>
    <w:p>
      <w:pPr>
        <w:spacing w:line="594" w:lineRule="exact"/>
        <w:rPr>
          <w:rFonts w:cs="Times New Roman"/>
        </w:rPr>
      </w:pPr>
      <w:r>
        <w:rPr>
          <w:rFonts w:hint="eastAsia" w:cs="Times New Roman"/>
          <w:szCs w:val="32"/>
        </w:rPr>
        <w:t>2</w:t>
      </w:r>
      <w:r>
        <w:rPr>
          <w:rFonts w:hint="eastAsia" w:cs="Times New Roman"/>
        </w:rPr>
        <w:t>.国家指标</w:t>
      </w:r>
    </w:p>
    <w:p>
      <w:pPr>
        <w:spacing w:line="594" w:lineRule="exact"/>
        <w:rPr>
          <w:rFonts w:cs="Times New Roman"/>
          <w:szCs w:val="32"/>
        </w:rPr>
      </w:pPr>
      <w:r>
        <w:rPr>
          <w:rFonts w:hint="eastAsia" w:cs="Times New Roman"/>
        </w:rPr>
        <w:t>根据生态环境部办公厅《关于开展第五批国家生态文明建设示范区和“绿水青山就是金山银山”实践创新基地遴选工作的通知》（环办生态函〔2021〕353号），</w:t>
      </w:r>
      <w:r>
        <w:rPr>
          <w:rFonts w:hint="eastAsia" w:cs="Times New Roman"/>
          <w:szCs w:val="32"/>
        </w:rPr>
        <w:t>奉节县创建国家生态文明建设示范县涉及指标35个，已达标指标30个，4个指标暂不达标，分别是三大粮食作物化肥农药利用率、农业废弃物综合利用率（秸秆综合利用率）、村镇饮用水卫生合格率、农村生活污水治理率；1个公众对生态文明建设的参与度指标暂未开展调查（详见表2-2）。</w:t>
      </w:r>
    </w:p>
    <w:p>
      <w:pPr>
        <w:spacing w:line="594" w:lineRule="exact"/>
        <w:rPr>
          <w:rFonts w:cs="Times New Roman"/>
        </w:rPr>
      </w:pPr>
      <w:r>
        <w:rPr>
          <w:rFonts w:hint="eastAsia" w:cs="Times New Roman"/>
        </w:rPr>
        <w:t>3.重难点指标达标分析</w:t>
      </w:r>
    </w:p>
    <w:p>
      <w:pPr>
        <w:pStyle w:val="2"/>
        <w:spacing w:line="594" w:lineRule="exact"/>
        <w:ind w:left="0" w:leftChars="0"/>
      </w:pPr>
      <w:r>
        <w:rPr>
          <w:rFonts w:hint="eastAsia"/>
        </w:rPr>
        <w:t>（1）城镇人均公园绿地面积（市级指标）</w:t>
      </w:r>
    </w:p>
    <w:p>
      <w:pPr>
        <w:pStyle w:val="2"/>
        <w:spacing w:line="594" w:lineRule="exact"/>
        <w:ind w:left="0" w:leftChars="0"/>
      </w:pPr>
      <w:r>
        <w:rPr>
          <w:rFonts w:hint="eastAsia"/>
        </w:rPr>
        <w:t>2021年，奉节县城镇人均公园绿地面积达到10.14平方米，未达到市级生态文明建设示范县最低得分标准，扣2分，得0分；国家生态文明建设示范县未将该指标纳入考核。虽然该指标达标难度较大，但在生态文明建设示范县建设期间，奉节县也将积极作为，以“绿满夔州·花漾奉节”为引领，将园林绿化作为城市品质提升的重要内容，大力实施坡坎崖立体绿化、“园林绿化补缺、增绿提质”、滨河公园提档升级、高铁片区绿化建设等项目，不断提升城镇公园绿地面积。力争到2023年，城镇人均公园绿地面积达到12平方米/人。届时，该指标能达到最低得分标准，得1分，扣1分。</w:t>
      </w:r>
    </w:p>
    <w:p>
      <w:pPr>
        <w:pStyle w:val="2"/>
        <w:spacing w:line="594" w:lineRule="exact"/>
        <w:ind w:left="0" w:leftChars="0"/>
      </w:pPr>
      <w:r>
        <w:rPr>
          <w:rFonts w:hint="eastAsia"/>
        </w:rPr>
        <w:t>（2）村镇饮用水卫生合格率（市级、国家指标）</w:t>
      </w:r>
    </w:p>
    <w:p>
      <w:pPr>
        <w:pStyle w:val="2"/>
        <w:spacing w:line="594" w:lineRule="exact"/>
        <w:ind w:left="0" w:leftChars="0"/>
        <w:rPr>
          <w:rFonts w:cs="Times New Roman"/>
        </w:rPr>
      </w:pPr>
      <w:r>
        <w:rPr>
          <w:rFonts w:hint="eastAsia"/>
        </w:rPr>
        <w:t>2021年，全县村镇饮用水卫生合格率达到94.57%，该指标已满足市级生态文明建设示范县考核要求，得满分，2分；未达到国家生态文明建设示范县创建要求。生态文明建设示范县建设期间，奉节将持续巩固脱贫攻坚成果，积极贯彻落实《奉节县水安全保障“十四五”规划》，在人口居住较为分散的农村区域，加强分散小型农村供水工程标准化建设，实施“一改三提”工程，通过改善农村供水设施条件，提升水质达标率、提升工程运行管护水平，确保保障村镇饮用水符合《生活饮用水卫生标准》（GB 5749-2006）的规定，预计到2025年，村镇饮用水卫生合格率可达到100%。届时，该指标可满足国家生态文明建设示范县考核要求。</w:t>
      </w:r>
    </w:p>
    <w:p>
      <w:pPr>
        <w:spacing w:line="594" w:lineRule="exact"/>
        <w:rPr>
          <w:rFonts w:cs="Times New Roman"/>
        </w:rPr>
      </w:pPr>
      <w:r>
        <w:rPr>
          <w:rFonts w:hint="eastAsia" w:cs="Times New Roman"/>
        </w:rPr>
        <w:t>4.易达标指标达标分析</w:t>
      </w:r>
    </w:p>
    <w:p>
      <w:pPr>
        <w:pStyle w:val="2"/>
        <w:spacing w:line="594" w:lineRule="exact"/>
        <w:ind w:left="0" w:leftChars="0"/>
      </w:pPr>
      <w:r>
        <w:rPr>
          <w:rFonts w:hint="eastAsia"/>
        </w:rPr>
        <w:t>（1）市级生态文明建设示范乡镇占比（市级指标）</w:t>
      </w:r>
    </w:p>
    <w:p>
      <w:pPr>
        <w:pStyle w:val="2"/>
        <w:spacing w:line="594" w:lineRule="exact"/>
        <w:ind w:left="0" w:leftChars="0"/>
      </w:pPr>
      <w:r>
        <w:rPr>
          <w:rFonts w:hint="eastAsia"/>
        </w:rPr>
        <w:t>自2020年起，奉节县有序推进永安街道、鱼复街道、朱衣镇、白帝镇、草堂镇、兴隆镇等17个乡镇开展市级生态文明建设示范乡镇（街道）创建工作。截至2021年底，永安街道、鱼复街道、朱衣镇等7个乡镇（街道）获得市级生态文明建设示范乡镇（街道）命名，市级生态文明建设示范乡镇占比达到21.</w:t>
      </w:r>
      <w:r>
        <w:t>3</w:t>
      </w:r>
      <w:r>
        <w:rPr>
          <w:rFonts w:hint="eastAsia"/>
        </w:rPr>
        <w:t>%。2022年，奉节县持续推进白帝镇、草堂镇、兴隆镇等10个生态文明示范建设工作，全面分析各个乡镇创建优势及亮点，夯实创建基础，不断补齐短板。预计到2022年底，市级生态文明建设示范乡镇占比可达到</w:t>
      </w:r>
      <w:r>
        <w:t>51.6</w:t>
      </w:r>
      <w:r>
        <w:rPr>
          <w:rFonts w:hint="eastAsia"/>
        </w:rPr>
        <w:t>%，该指标可得满分</w:t>
      </w:r>
      <w:r>
        <w:t>，即</w:t>
      </w:r>
      <w:r>
        <w:rPr>
          <w:rFonts w:hint="eastAsia"/>
        </w:rPr>
        <w:t>5分。</w:t>
      </w:r>
    </w:p>
    <w:p>
      <w:pPr>
        <w:pStyle w:val="2"/>
        <w:spacing w:line="594" w:lineRule="exact"/>
        <w:ind w:left="0" w:leftChars="0"/>
      </w:pPr>
      <w:r>
        <w:rPr>
          <w:rFonts w:hint="eastAsia"/>
        </w:rPr>
        <w:t>（2）生态环境教育基地（市级指标）</w:t>
      </w:r>
    </w:p>
    <w:p>
      <w:pPr>
        <w:pStyle w:val="2"/>
        <w:spacing w:line="594" w:lineRule="exact"/>
        <w:ind w:left="0" w:leftChars="0"/>
      </w:pPr>
      <w:r>
        <w:rPr>
          <w:rFonts w:hint="eastAsia"/>
        </w:rPr>
        <w:t>2021年，奉节县暂未获得生态环境教育基地命名，未达到市级生态文明建设示范县考核要求，扣2分</w:t>
      </w:r>
      <w:r>
        <w:t>、</w:t>
      </w:r>
      <w:r>
        <w:rPr>
          <w:rFonts w:hint="eastAsia"/>
        </w:rPr>
        <w:t>得0分。生态文明建设示范县建设期间，奉节县将以良好的生态资源优势，积极申报</w:t>
      </w:r>
      <w:r>
        <w:t>市教育委员会、市生态环境局命名的生态环境教育基地或中小学生态环境教育实践基地。</w:t>
      </w:r>
      <w:r>
        <w:rPr>
          <w:rFonts w:hint="eastAsia"/>
        </w:rPr>
        <w:t>预计到2023年，全县至少获得1个生态环境教育基地命名，该指标得满分</w:t>
      </w:r>
      <w:r>
        <w:t>，即</w:t>
      </w:r>
      <w:r>
        <w:rPr>
          <w:rFonts w:hint="eastAsia"/>
        </w:rPr>
        <w:t>2分。</w:t>
      </w:r>
    </w:p>
    <w:p>
      <w:pPr>
        <w:pStyle w:val="2"/>
        <w:spacing w:line="594" w:lineRule="exact"/>
        <w:ind w:left="0" w:leftChars="0"/>
      </w:pPr>
      <w:r>
        <w:rPr>
          <w:rFonts w:hint="eastAsia" w:cs="Times New Roman"/>
        </w:rPr>
        <w:t>（3）依法开展规划环境影响评价</w:t>
      </w:r>
      <w:r>
        <w:rPr>
          <w:rFonts w:hint="eastAsia"/>
        </w:rPr>
        <w:t>（市级、国家指标）</w:t>
      </w:r>
    </w:p>
    <w:p>
      <w:pPr>
        <w:pStyle w:val="2"/>
        <w:spacing w:line="594" w:lineRule="exact"/>
        <w:ind w:left="0" w:leftChars="0"/>
        <w:rPr>
          <w:rFonts w:cs="Times New Roman"/>
        </w:rPr>
      </w:pPr>
      <w:r>
        <w:rPr>
          <w:rFonts w:hint="eastAsia" w:cs="Times New Roman"/>
        </w:rPr>
        <w:t>依法开展规划环境影响评价要求依据有关生态环境保护标准、环境影响评价技术导则和技术规范，对县域内的土地利用有关规划和区域、流域的建设、开发利用规划，以及工业、农业、畜牧业、林业、能源、水利、交通、城市建设、旅游、自然资源开发的有关专项规划开展环境影响评价。2021年，县域内土地利用，流域开发利用，工业、能源、水利、旅游、自然资源开发等规划均已开展规划环境影响评价，依法开展规划环境影响评价比例为90%，满足国家生态文明建设示范县开展的要求，但未达到</w:t>
      </w:r>
      <w:r>
        <w:rPr>
          <w:rFonts w:hint="eastAsia"/>
        </w:rPr>
        <w:t>市级生态文明建设示范县最低得分标准，扣1分</w:t>
      </w:r>
      <w:r>
        <w:t>、</w:t>
      </w:r>
      <w:r>
        <w:rPr>
          <w:rFonts w:hint="eastAsia"/>
        </w:rPr>
        <w:t>得1分。生态文明建设示范县建设期间，奉节县将按照相关法律法规要求，持续推进</w:t>
      </w:r>
      <w:r>
        <w:rPr>
          <w:rFonts w:hint="eastAsia" w:cs="Times New Roman"/>
        </w:rPr>
        <w:t>规划环境影响评价工作，预计到2023年，</w:t>
      </w:r>
      <w:r>
        <w:rPr>
          <w:rFonts w:hint="eastAsia"/>
        </w:rPr>
        <w:t>依法开展规划环境影响评价比例达到100%。届时，该指标可得满分</w:t>
      </w:r>
      <w:r>
        <w:t>，即</w:t>
      </w:r>
      <w:r>
        <w:rPr>
          <w:rFonts w:hint="eastAsia"/>
        </w:rPr>
        <w:t>2分。</w:t>
      </w:r>
    </w:p>
    <w:p>
      <w:pPr>
        <w:pStyle w:val="2"/>
        <w:spacing w:line="594" w:lineRule="exact"/>
        <w:ind w:left="0" w:leftChars="0"/>
      </w:pPr>
      <w:r>
        <w:rPr>
          <w:rFonts w:hint="eastAsia"/>
        </w:rPr>
        <w:t>（4）城镇集中式污水处理率（市级、国家指标）</w:t>
      </w:r>
    </w:p>
    <w:p>
      <w:pPr>
        <w:pStyle w:val="13"/>
        <w:spacing w:line="594" w:lineRule="exact"/>
      </w:pPr>
      <w:r>
        <w:rPr>
          <w:rFonts w:hint="eastAsia"/>
        </w:rPr>
        <w:t>近年来，奉节县强化了生活污水基础设施建设及维护，进一步完善排水管网布局，完成城区污水管网智慧平台搭建，有序推进老旧城区合流制管网改造。2021年，城区生活污水集中处理率为96.16%，乡镇生活污水集中处理率达85%，经核算，城镇生活污水集中处理率为92.5%，已达到国家生态文明建设示范县</w:t>
      </w:r>
      <w:r>
        <w:t>90%以上的</w:t>
      </w:r>
      <w:r>
        <w:rPr>
          <w:rFonts w:hint="eastAsia"/>
        </w:rPr>
        <w:t>创建要求，但暂未达到市级生态文明建设示范县创建要求，扣1分</w:t>
      </w:r>
      <w:r>
        <w:t>、</w:t>
      </w:r>
      <w:r>
        <w:rPr>
          <w:rFonts w:hint="eastAsia"/>
        </w:rPr>
        <w:t>得2分。生态文明建设示范县建设期间，奉节县加快补齐污水处理设施短板，强化污水处理设施及管网运行管理，实施夔州街道、鱼复街道、汾河镇、白帝镇、草堂镇等区域污水管网建设，不断提升城镇污水收集处理效率。预计到</w:t>
      </w:r>
      <w:r>
        <w:t>2023</w:t>
      </w:r>
      <w:r>
        <w:rPr>
          <w:rFonts w:hint="eastAsia"/>
        </w:rPr>
        <w:t>年，城镇集中式污水处理率可达到</w:t>
      </w:r>
      <w:r>
        <w:t>95%</w:t>
      </w:r>
      <w:r>
        <w:rPr>
          <w:rFonts w:hint="eastAsia"/>
        </w:rPr>
        <w:t>以上。</w:t>
      </w:r>
      <w:r>
        <w:rPr>
          <w:rFonts w:hint="eastAsia" w:cs="Times New Roman"/>
          <w:szCs w:val="30"/>
        </w:rPr>
        <w:t>届时，可以达到市级生态文明建设示范县相关考核标准，得满分，</w:t>
      </w:r>
      <w:r>
        <w:rPr>
          <w:rFonts w:cs="Times New Roman"/>
          <w:szCs w:val="30"/>
        </w:rPr>
        <w:t>即</w:t>
      </w:r>
      <w:r>
        <w:rPr>
          <w:rFonts w:hint="eastAsia" w:cs="Times New Roman"/>
          <w:szCs w:val="30"/>
        </w:rPr>
        <w:t>3分。</w:t>
      </w:r>
    </w:p>
    <w:p>
      <w:pPr>
        <w:pStyle w:val="2"/>
        <w:spacing w:line="594" w:lineRule="exact"/>
        <w:ind w:left="0" w:leftChars="0"/>
      </w:pPr>
      <w:r>
        <w:rPr>
          <w:rFonts w:hint="eastAsia"/>
        </w:rPr>
        <w:t>（5）农村生活污水治理率（国家指标）</w:t>
      </w:r>
    </w:p>
    <w:p>
      <w:pPr>
        <w:spacing w:line="594" w:lineRule="exact"/>
      </w:pPr>
      <w:r>
        <w:rPr>
          <w:rFonts w:hint="eastAsia"/>
        </w:rPr>
        <w:t>2021年，全县农村生活污水治理率达到49.86%，暂未达到国家生态文明建设示范县</w:t>
      </w:r>
      <w:r>
        <w:t>50%的</w:t>
      </w:r>
      <w:r>
        <w:rPr>
          <w:rFonts w:hint="eastAsia"/>
        </w:rPr>
        <w:t>考核要求。生态文明建设示范县建设期间，奉节县将以乡村振兴为契机，加大农村生活污水治理，预计到2025年，农村生活污水治理率达到50%以上，</w:t>
      </w:r>
      <w:r>
        <w:rPr>
          <w:rFonts w:hint="eastAsia" w:cs="Times New Roman"/>
          <w:szCs w:val="30"/>
        </w:rPr>
        <w:t>届时，可以达到国家生态文明建设示范县相关考核标准</w:t>
      </w:r>
      <w:r>
        <w:rPr>
          <w:rFonts w:hint="eastAsia"/>
        </w:rPr>
        <w:t>。</w:t>
      </w:r>
    </w:p>
    <w:p>
      <w:pPr>
        <w:pStyle w:val="2"/>
        <w:spacing w:line="594" w:lineRule="exact"/>
        <w:ind w:left="0" w:leftChars="0"/>
      </w:pPr>
      <w:r>
        <w:rPr>
          <w:rFonts w:hint="eastAsia"/>
        </w:rPr>
        <w:t>（6）</w:t>
      </w:r>
      <w:r>
        <w:t>三大粮食作物化肥农药利用率（化肥利用率、</w:t>
      </w:r>
      <w:r>
        <w:rPr>
          <w:rFonts w:hint="eastAsia"/>
        </w:rPr>
        <w:t>农药利用率</w:t>
      </w:r>
      <w:r>
        <w:t>）</w:t>
      </w:r>
      <w:r>
        <w:rPr>
          <w:rFonts w:hint="eastAsia"/>
        </w:rPr>
        <w:t>（国家指标）</w:t>
      </w:r>
    </w:p>
    <w:p>
      <w:pPr>
        <w:pStyle w:val="2"/>
        <w:spacing w:line="594" w:lineRule="exact"/>
        <w:ind w:left="0" w:leftChars="0"/>
      </w:pPr>
      <w:r>
        <w:rPr>
          <w:rFonts w:hint="eastAsia"/>
        </w:rPr>
        <w:t>2</w:t>
      </w:r>
      <w:r>
        <w:t>021</w:t>
      </w:r>
      <w:r>
        <w:rPr>
          <w:rFonts w:hint="eastAsia"/>
        </w:rPr>
        <w:t>年，全县三大粮食作物化肥农药利用率分别为4</w:t>
      </w:r>
      <w:r>
        <w:t>0.5</w:t>
      </w:r>
      <w:r>
        <w:rPr>
          <w:rFonts w:hint="eastAsia"/>
        </w:rPr>
        <w:t>%和42%，暂未达到国家生态文明建设示范县4</w:t>
      </w:r>
      <w:r>
        <w:t>3</w:t>
      </w:r>
      <w:r>
        <w:rPr>
          <w:rFonts w:hint="eastAsia"/>
        </w:rPr>
        <w:t>%的考核要求。奉节县为产粮油农业大县，化肥、农药利用率作为农业发展的重要指标，已制定实施</w:t>
      </w:r>
      <w:r>
        <w:rPr>
          <w:rFonts w:hint="eastAsia" w:ascii="方正仿宋_GBK" w:cs="宋体"/>
          <w:kern w:val="0"/>
          <w:szCs w:val="32"/>
        </w:rPr>
        <w:t>《奉节县土壤污染防治技术手册》。</w:t>
      </w:r>
      <w:r>
        <w:rPr>
          <w:rFonts w:hint="eastAsia"/>
        </w:rPr>
        <w:t>生态文明示范县建设期间，奉节县持续加大实施农业绿色生产，</w:t>
      </w:r>
      <w:r>
        <w:rPr>
          <w:rFonts w:hint="eastAsia" w:cs="Times New Roman"/>
          <w:szCs w:val="30"/>
        </w:rPr>
        <w:t>开展</w:t>
      </w:r>
      <w:r>
        <w:rPr>
          <w:rFonts w:cs="Times New Roman"/>
          <w:szCs w:val="30"/>
        </w:rPr>
        <w:t>农药化肥减量增效行动，</w:t>
      </w:r>
      <w:r>
        <w:rPr>
          <w:rFonts w:hint="eastAsia" w:cs="Times New Roman"/>
          <w:szCs w:val="30"/>
        </w:rPr>
        <w:t>因地制宜</w:t>
      </w:r>
      <w:r>
        <w:rPr>
          <w:rFonts w:cs="Times New Roman"/>
          <w:szCs w:val="30"/>
        </w:rPr>
        <w:t>优化施肥方式，调整施肥结构，深入开展测土配方施肥</w:t>
      </w:r>
      <w:r>
        <w:rPr>
          <w:rFonts w:hint="eastAsia" w:cs="Times New Roman"/>
          <w:szCs w:val="30"/>
        </w:rPr>
        <w:t>，提升三大粮食作物化肥农药利用率，预计到2</w:t>
      </w:r>
      <w:r>
        <w:rPr>
          <w:rFonts w:cs="Times New Roman"/>
          <w:szCs w:val="30"/>
        </w:rPr>
        <w:t>025</w:t>
      </w:r>
      <w:r>
        <w:rPr>
          <w:rFonts w:hint="eastAsia" w:cs="Times New Roman"/>
          <w:szCs w:val="30"/>
        </w:rPr>
        <w:t>年达到4</w:t>
      </w:r>
      <w:r>
        <w:rPr>
          <w:rFonts w:cs="Times New Roman"/>
          <w:szCs w:val="30"/>
        </w:rPr>
        <w:t>3</w:t>
      </w:r>
      <w:r>
        <w:rPr>
          <w:rFonts w:hint="eastAsia" w:cs="Times New Roman"/>
          <w:szCs w:val="30"/>
        </w:rPr>
        <w:t>%。届时，可以达到国家生态文明建设示范县相关考核标准。</w:t>
      </w:r>
    </w:p>
    <w:p>
      <w:pPr>
        <w:pStyle w:val="2"/>
        <w:spacing w:line="594" w:lineRule="exact"/>
        <w:ind w:left="0" w:leftChars="0"/>
      </w:pPr>
      <w:r>
        <w:rPr>
          <w:rFonts w:hint="eastAsia"/>
        </w:rPr>
        <w:t>（7）农作物废弃物综合利用率（</w:t>
      </w:r>
      <w:r>
        <w:t>秸秆综合利用率</w:t>
      </w:r>
      <w:r>
        <w:rPr>
          <w:rFonts w:hint="eastAsia"/>
        </w:rPr>
        <w:t>）（国家指标）</w:t>
      </w:r>
    </w:p>
    <w:p>
      <w:pPr>
        <w:pStyle w:val="2"/>
        <w:spacing w:line="594" w:lineRule="exact"/>
        <w:ind w:left="0" w:leftChars="0"/>
        <w:rPr>
          <w:rFonts w:cs="Times New Roman"/>
          <w:szCs w:val="30"/>
        </w:rPr>
      </w:pPr>
      <w:r>
        <w:rPr>
          <w:rFonts w:hint="eastAsia"/>
        </w:rPr>
        <w:t>农作物废物综合利用率包括秸秆综合利用率、畜禽粪污综合利用率及农膜回收利用率，</w:t>
      </w:r>
      <w:r>
        <w:t>2021</w:t>
      </w:r>
      <w:r>
        <w:rPr>
          <w:rFonts w:hint="eastAsia"/>
        </w:rPr>
        <w:t>年，奉节县秸秆综合利用率为88.</w:t>
      </w:r>
      <w:r>
        <w:t>6%</w:t>
      </w:r>
      <w:r>
        <w:rPr>
          <w:rFonts w:hint="eastAsia"/>
        </w:rPr>
        <w:t>，畜禽粪污综合利用率达9</w:t>
      </w:r>
      <w:r>
        <w:t>0</w:t>
      </w:r>
      <w:r>
        <w:rPr>
          <w:rFonts w:hint="eastAsia"/>
        </w:rPr>
        <w:t>%以上，农膜回收利用率为87</w:t>
      </w:r>
      <w:r>
        <w:t>%</w:t>
      </w:r>
      <w:r>
        <w:rPr>
          <w:rFonts w:hint="eastAsia"/>
        </w:rPr>
        <w:t>。其中秸秆综合利用率未达到国家生态文明建设示范县考核要求（90%），生态文明示范县建设期间，奉节县将进一步</w:t>
      </w:r>
      <w:r>
        <w:rPr>
          <w:rFonts w:cs="Times New Roman"/>
        </w:rPr>
        <w:t>推进农作物秸秆肥料化、饲料化、燃料化、基料化、原料化利用</w:t>
      </w:r>
      <w:r>
        <w:rPr>
          <w:rFonts w:hint="eastAsia" w:cs="Times New Roman"/>
        </w:rPr>
        <w:t>等综合利用方式，预计到2</w:t>
      </w:r>
      <w:r>
        <w:rPr>
          <w:rFonts w:cs="Times New Roman"/>
        </w:rPr>
        <w:t>025</w:t>
      </w:r>
      <w:r>
        <w:rPr>
          <w:rFonts w:hint="eastAsia" w:cs="Times New Roman"/>
        </w:rPr>
        <w:t>年达到90%以上。</w:t>
      </w:r>
      <w:r>
        <w:rPr>
          <w:rFonts w:hint="eastAsia" w:cs="Times New Roman"/>
          <w:szCs w:val="30"/>
        </w:rPr>
        <w:t>届时，可以达到国家生态文明建设示范县相关考核标准。</w:t>
      </w:r>
    </w:p>
    <w:p>
      <w:pPr>
        <w:pStyle w:val="2"/>
        <w:spacing w:line="594" w:lineRule="exact"/>
        <w:ind w:left="0" w:leftChars="0"/>
      </w:pPr>
      <w:r>
        <w:rPr>
          <w:rFonts w:hint="eastAsia"/>
        </w:rPr>
        <w:t>（8）公众对生态文明建设的参与度（国家指标）</w:t>
      </w:r>
    </w:p>
    <w:p>
      <w:pPr>
        <w:pStyle w:val="2"/>
        <w:spacing w:line="594" w:lineRule="exact"/>
        <w:ind w:left="0" w:leftChars="0"/>
        <w:rPr>
          <w:rFonts w:cs="Times New Roman"/>
          <w:szCs w:val="30"/>
        </w:rPr>
      </w:pPr>
      <w:r>
        <w:rPr>
          <w:rFonts w:hint="eastAsia" w:cs="Times New Roman"/>
          <w:szCs w:val="30"/>
        </w:rPr>
        <w:t>目前，奉节县尚未开展该项指标的调查，但随着市级生态文明建设示范乡镇（街道）、绿色学校、绿色社区等生态文明“细胞工程”的深入建设，公众参与生态文明建设的平台、渠道和方式进一步完善，预计到2025年，</w:t>
      </w:r>
      <w:r>
        <w:rPr>
          <w:rFonts w:hint="eastAsia"/>
        </w:rPr>
        <w:t>公众对生态文明建设的参与度达到80%以上。</w:t>
      </w:r>
      <w:r>
        <w:rPr>
          <w:rFonts w:hint="eastAsia" w:cs="Times New Roman"/>
          <w:szCs w:val="30"/>
        </w:rPr>
        <w:t>届时，可达到国家生态文明建设示范县相关考核标准。</w:t>
      </w:r>
    </w:p>
    <w:p>
      <w:pPr>
        <w:keepNext/>
        <w:keepLines/>
        <w:widowControl w:val="0"/>
        <w:numPr>
          <w:ilvl w:val="0"/>
          <w:numId w:val="5"/>
        </w:numPr>
        <w:spacing w:line="594" w:lineRule="exact"/>
        <w:ind w:left="0" w:firstLine="643" w:firstLineChars="0"/>
        <w:rPr>
          <w:b/>
          <w:bCs/>
        </w:rPr>
      </w:pPr>
      <w:r>
        <w:rPr>
          <w:rFonts w:hint="eastAsia"/>
          <w:b/>
          <w:bCs/>
        </w:rPr>
        <w:t>规划目标</w:t>
      </w:r>
    </w:p>
    <w:p>
      <w:pPr>
        <w:spacing w:line="594" w:lineRule="exact"/>
      </w:pPr>
      <w:r>
        <w:t>1</w:t>
      </w:r>
      <w:r>
        <w:rPr>
          <w:rFonts w:hint="eastAsia"/>
        </w:rPr>
        <w:t>.具体指标</w:t>
      </w:r>
    </w:p>
    <w:p>
      <w:pPr>
        <w:pStyle w:val="2"/>
        <w:spacing w:line="594" w:lineRule="exact"/>
        <w:ind w:left="0" w:leftChars="0"/>
        <w:rPr>
          <w:rFonts w:cs="Times New Roman"/>
          <w:szCs w:val="30"/>
        </w:rPr>
      </w:pPr>
      <w:r>
        <w:rPr>
          <w:rFonts w:hint="eastAsia" w:cs="Times New Roman"/>
          <w:szCs w:val="30"/>
        </w:rPr>
        <w:t>奉节县市级、国家生态文明建设示范县建设基本条件、建设指标目标值见表2-1、2-2。</w:t>
      </w:r>
    </w:p>
    <w:p>
      <w:pPr>
        <w:pStyle w:val="2"/>
        <w:spacing w:line="594" w:lineRule="exact"/>
        <w:ind w:left="0" w:leftChars="0"/>
      </w:pPr>
    </w:p>
    <w:p>
      <w:pPr>
        <w:pStyle w:val="2"/>
        <w:spacing w:line="594" w:lineRule="exact"/>
        <w:ind w:left="0" w:leftChars="0"/>
      </w:pPr>
    </w:p>
    <w:p>
      <w:pPr>
        <w:pStyle w:val="2"/>
        <w:spacing w:line="594" w:lineRule="exact"/>
        <w:ind w:left="0" w:leftChars="0"/>
        <w:sectPr>
          <w:pgSz w:w="11906" w:h="16838"/>
          <w:pgMar w:top="2098" w:right="1474" w:bottom="1984" w:left="1587" w:header="851" w:footer="1111" w:gutter="0"/>
          <w:cols w:space="720" w:num="1"/>
          <w:docGrid w:type="lines" w:linePitch="439" w:charSpace="0"/>
        </w:sectPr>
      </w:pPr>
    </w:p>
    <w:p>
      <w:pPr>
        <w:jc w:val="center"/>
        <w:rPr>
          <w:rFonts w:eastAsia="方正黑体_GBK" w:cs="Times New Roman"/>
          <w:sz w:val="28"/>
          <w:szCs w:val="22"/>
        </w:rPr>
      </w:pPr>
      <w:r>
        <w:rPr>
          <w:rFonts w:eastAsia="方正黑体_GBK" w:cs="Times New Roman"/>
          <w:sz w:val="28"/>
          <w:szCs w:val="22"/>
        </w:rPr>
        <w:t>表2-</w:t>
      </w:r>
      <w:r>
        <w:rPr>
          <w:rFonts w:hint="eastAsia" w:eastAsia="方正黑体_GBK" w:cs="Times New Roman"/>
          <w:sz w:val="28"/>
          <w:szCs w:val="22"/>
        </w:rPr>
        <w:t xml:space="preserve">1 </w:t>
      </w:r>
      <w:r>
        <w:rPr>
          <w:rFonts w:eastAsia="方正黑体_GBK" w:cs="Times New Roman"/>
          <w:sz w:val="28"/>
          <w:szCs w:val="22"/>
        </w:rPr>
        <w:t>市级生态文明建设示范县</w:t>
      </w:r>
      <w:r>
        <w:rPr>
          <w:rFonts w:hint="eastAsia" w:eastAsia="方正黑体_GBK" w:cs="Times New Roman"/>
          <w:sz w:val="28"/>
          <w:szCs w:val="22"/>
        </w:rPr>
        <w:t>基本条件、建设指标目标及任务分解</w:t>
      </w:r>
    </w:p>
    <w:tbl>
      <w:tblPr>
        <w:tblStyle w:val="27"/>
        <w:tblW w:w="14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1"/>
        <w:gridCol w:w="440"/>
        <w:gridCol w:w="975"/>
        <w:gridCol w:w="2261"/>
        <w:gridCol w:w="545"/>
        <w:gridCol w:w="1850"/>
        <w:gridCol w:w="525"/>
        <w:gridCol w:w="1007"/>
        <w:gridCol w:w="1140"/>
        <w:gridCol w:w="2492"/>
        <w:gridCol w:w="2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ind w:firstLine="0" w:firstLineChars="0"/>
              <w:jc w:val="center"/>
              <w:rPr>
                <w:rFonts w:eastAsia="方正黑体_GBK"/>
                <w:sz w:val="21"/>
                <w:szCs w:val="21"/>
              </w:rPr>
            </w:pPr>
            <w:r>
              <w:rPr>
                <w:rFonts w:eastAsia="方正黑体_GBK"/>
                <w:sz w:val="21"/>
                <w:szCs w:val="21"/>
              </w:rPr>
              <w:t>领域</w:t>
            </w:r>
          </w:p>
        </w:tc>
        <w:tc>
          <w:tcPr>
            <w:tcW w:w="4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ind w:firstLine="0" w:firstLineChars="0"/>
              <w:jc w:val="center"/>
              <w:rPr>
                <w:rFonts w:eastAsia="方正黑体_GBK"/>
                <w:sz w:val="21"/>
                <w:szCs w:val="21"/>
              </w:rPr>
            </w:pPr>
            <w:r>
              <w:rPr>
                <w:rFonts w:eastAsia="方正黑体_GBK"/>
                <w:sz w:val="21"/>
                <w:szCs w:val="21"/>
              </w:rPr>
              <w:t>序号</w:t>
            </w:r>
          </w:p>
        </w:tc>
        <w:tc>
          <w:tcPr>
            <w:tcW w:w="323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ind w:firstLine="0" w:firstLineChars="0"/>
              <w:jc w:val="center"/>
              <w:rPr>
                <w:rFonts w:eastAsia="方正黑体_GBK"/>
                <w:sz w:val="21"/>
                <w:szCs w:val="21"/>
              </w:rPr>
            </w:pPr>
            <w:r>
              <w:rPr>
                <w:rFonts w:eastAsia="方正黑体_GBK"/>
                <w:sz w:val="21"/>
                <w:szCs w:val="21"/>
              </w:rPr>
              <w:t>指标名称</w:t>
            </w:r>
          </w:p>
        </w:tc>
        <w:tc>
          <w:tcPr>
            <w:tcW w:w="5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ind w:firstLine="0" w:firstLineChars="0"/>
              <w:jc w:val="center"/>
              <w:rPr>
                <w:rFonts w:eastAsia="方正黑体_GBK"/>
                <w:sz w:val="21"/>
                <w:szCs w:val="21"/>
              </w:rPr>
            </w:pPr>
            <w:r>
              <w:rPr>
                <w:rFonts w:eastAsia="方正黑体_GBK"/>
                <w:sz w:val="21"/>
                <w:szCs w:val="21"/>
              </w:rPr>
              <w:t>单位</w:t>
            </w:r>
          </w:p>
        </w:tc>
        <w:tc>
          <w:tcPr>
            <w:tcW w:w="1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ind w:firstLine="0" w:firstLineChars="0"/>
              <w:jc w:val="center"/>
              <w:rPr>
                <w:rFonts w:eastAsia="方正黑体_GBK"/>
                <w:sz w:val="21"/>
                <w:szCs w:val="21"/>
              </w:rPr>
            </w:pPr>
            <w:r>
              <w:rPr>
                <w:rFonts w:eastAsia="方正黑体_GBK"/>
                <w:sz w:val="21"/>
                <w:szCs w:val="21"/>
              </w:rPr>
              <w:t>指标值(A)</w:t>
            </w:r>
          </w:p>
        </w:tc>
        <w:tc>
          <w:tcPr>
            <w:tcW w:w="5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ind w:firstLine="0" w:firstLineChars="0"/>
              <w:jc w:val="center"/>
              <w:rPr>
                <w:rFonts w:eastAsia="方正黑体_GBK"/>
                <w:sz w:val="21"/>
                <w:szCs w:val="21"/>
              </w:rPr>
            </w:pPr>
            <w:r>
              <w:rPr>
                <w:rFonts w:eastAsia="方正黑体_GBK"/>
                <w:sz w:val="21"/>
                <w:szCs w:val="21"/>
              </w:rPr>
              <w:t>分值</w:t>
            </w:r>
          </w:p>
        </w:tc>
        <w:tc>
          <w:tcPr>
            <w:tcW w:w="21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ind w:firstLine="0" w:firstLineChars="0"/>
              <w:jc w:val="center"/>
              <w:rPr>
                <w:rFonts w:eastAsia="方正黑体_GBK"/>
                <w:sz w:val="21"/>
                <w:szCs w:val="21"/>
              </w:rPr>
            </w:pPr>
            <w:r>
              <w:rPr>
                <w:rFonts w:hint="eastAsia" w:eastAsia="方正黑体_GBK"/>
                <w:sz w:val="21"/>
                <w:szCs w:val="21"/>
              </w:rPr>
              <w:t>2</w:t>
            </w:r>
            <w:r>
              <w:rPr>
                <w:rFonts w:eastAsia="方正黑体_GBK"/>
                <w:sz w:val="21"/>
                <w:szCs w:val="21"/>
              </w:rPr>
              <w:t>02</w:t>
            </w:r>
            <w:r>
              <w:rPr>
                <w:rFonts w:hint="eastAsia" w:eastAsia="方正黑体_GBK"/>
                <w:sz w:val="21"/>
                <w:szCs w:val="21"/>
              </w:rPr>
              <w:t>1年</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eastAsia="方正黑体_GBK"/>
                <w:sz w:val="21"/>
                <w:szCs w:val="21"/>
              </w:rPr>
            </w:pPr>
            <w:r>
              <w:rPr>
                <w:rFonts w:hint="eastAsia" w:eastAsia="方正黑体_GBK"/>
                <w:sz w:val="21"/>
                <w:szCs w:val="21"/>
              </w:rPr>
              <w:t>目标值</w:t>
            </w:r>
          </w:p>
          <w:p>
            <w:pPr>
              <w:adjustRightInd w:val="0"/>
              <w:snapToGrid w:val="0"/>
              <w:spacing w:line="240" w:lineRule="atLeast"/>
              <w:jc w:val="center"/>
              <w:rPr>
                <w:rFonts w:eastAsia="方正黑体_GBK"/>
                <w:sz w:val="21"/>
                <w:szCs w:val="21"/>
              </w:rPr>
            </w:pPr>
            <w:r>
              <w:rPr>
                <w:rFonts w:hint="eastAsia" w:eastAsia="方正黑体_GBK"/>
                <w:sz w:val="21"/>
                <w:szCs w:val="21"/>
              </w:rPr>
              <w:t>（2</w:t>
            </w:r>
            <w:r>
              <w:rPr>
                <w:rFonts w:eastAsia="方正黑体_GBK"/>
                <w:sz w:val="21"/>
                <w:szCs w:val="21"/>
              </w:rPr>
              <w:t>023</w:t>
            </w:r>
            <w:r>
              <w:rPr>
                <w:rFonts w:hint="eastAsia" w:eastAsia="方正黑体_GBK"/>
                <w:sz w:val="21"/>
                <w:szCs w:val="21"/>
              </w:rPr>
              <w:t>年）</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eastAsia="方正黑体_GBK"/>
                <w:sz w:val="21"/>
                <w:szCs w:val="21"/>
              </w:rPr>
            </w:pPr>
            <w:r>
              <w:rPr>
                <w:rFonts w:hint="eastAsia" w:eastAsia="方正黑体_GBK"/>
                <w:sz w:val="21"/>
                <w:szCs w:val="21"/>
              </w:rPr>
              <w:t>牵头单位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4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4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5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1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5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eastAsia="方正黑体_GBK"/>
                <w:sz w:val="21"/>
                <w:szCs w:val="21"/>
              </w:rPr>
            </w:pPr>
            <w:r>
              <w:rPr>
                <w:rFonts w:hint="eastAsia" w:eastAsia="方正黑体_GBK"/>
                <w:sz w:val="21"/>
                <w:szCs w:val="21"/>
              </w:rPr>
              <w:t>现状值</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eastAsia="方正黑体_GBK"/>
                <w:sz w:val="21"/>
                <w:szCs w:val="21"/>
              </w:rPr>
            </w:pPr>
            <w:r>
              <w:rPr>
                <w:rFonts w:hint="eastAsia" w:eastAsia="方正黑体_GBK"/>
                <w:sz w:val="21"/>
                <w:szCs w:val="21"/>
              </w:rPr>
              <w:t>得分情况</w:t>
            </w:r>
          </w:p>
        </w:tc>
        <w:tc>
          <w:tcPr>
            <w:tcW w:w="2492" w:type="dxa"/>
            <w:vMerge w:val="continue"/>
            <w:tcBorders>
              <w:top w:val="single" w:color="auto" w:sz="4" w:space="0"/>
              <w:left w:val="single" w:color="auto" w:sz="4" w:space="0"/>
              <w:bottom w:val="single" w:color="auto" w:sz="4" w:space="0"/>
              <w:right w:val="single" w:color="auto" w:sz="4" w:space="0"/>
            </w:tcBorders>
            <w:vAlign w:val="center"/>
          </w:tcPr>
          <w:p/>
        </w:tc>
        <w:tc>
          <w:tcPr>
            <w:tcW w:w="2466" w:type="dxa"/>
            <w:vMerge w:val="continue"/>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基本条件</w:t>
            </w: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w:t>
            </w:r>
          </w:p>
        </w:tc>
        <w:tc>
          <w:tcPr>
            <w:tcW w:w="563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rFonts w:hint="eastAsia"/>
                <w:sz w:val="21"/>
                <w:szCs w:val="21"/>
              </w:rPr>
              <w:t>重庆市生态文明建设示范区县创建规划正式发布实施且实施2年以上，并报市生态环境局备案；</w:t>
            </w:r>
          </w:p>
        </w:tc>
        <w:tc>
          <w:tcPr>
            <w:tcW w:w="52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实行“一票否决”制</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正在编制</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正在编制</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210" w:firstLineChars="100"/>
              <w:jc w:val="center"/>
              <w:rPr>
                <w:sz w:val="21"/>
                <w:szCs w:val="21"/>
              </w:rPr>
            </w:pPr>
            <w:r>
              <w:rPr>
                <w:rFonts w:hint="eastAsia"/>
                <w:sz w:val="21"/>
                <w:szCs w:val="21"/>
              </w:rPr>
              <w:t>印发实施</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县政府办公室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563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rFonts w:hint="eastAsia"/>
                <w:sz w:val="21"/>
                <w:szCs w:val="21"/>
              </w:rPr>
              <w:t>党政领导干部生态环境损害责任追究、领导干部自然资源资产离任审计、自然资源资产负债表、生态环境损害赔偿、“三线一单”等制度保障工作按照国家和市级总体部署有效开展；</w:t>
            </w:r>
          </w:p>
        </w:tc>
        <w:tc>
          <w:tcPr>
            <w:tcW w:w="525" w:type="dxa"/>
            <w:vMerge w:val="continue"/>
            <w:tcBorders>
              <w:top w:val="single" w:color="auto" w:sz="4" w:space="0"/>
              <w:left w:val="single" w:color="auto" w:sz="4" w:space="0"/>
              <w:bottom w:val="single" w:color="auto" w:sz="4" w:space="0"/>
              <w:right w:val="single" w:color="auto" w:sz="4" w:space="0"/>
            </w:tcBorders>
            <w:vAlign w:val="center"/>
          </w:tcP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无“一票否决”情形</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无“一票否决”情形</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210" w:firstLineChars="100"/>
              <w:jc w:val="center"/>
              <w:rPr>
                <w:sz w:val="21"/>
                <w:szCs w:val="21"/>
              </w:rPr>
            </w:pPr>
            <w:r>
              <w:rPr>
                <w:rFonts w:hint="eastAsia"/>
                <w:sz w:val="21"/>
                <w:szCs w:val="21"/>
              </w:rPr>
              <w:t>无“一票否决”情形</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cs="Arial Unicode MS"/>
                <w:sz w:val="21"/>
                <w:szCs w:val="21"/>
              </w:rPr>
              <w:t>县委纪委监委、县生态环境局、县审计局、县规划自然资源局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3</w:t>
            </w:r>
          </w:p>
        </w:tc>
        <w:tc>
          <w:tcPr>
            <w:tcW w:w="563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rFonts w:hint="eastAsia"/>
                <w:sz w:val="21"/>
                <w:szCs w:val="21"/>
              </w:rPr>
              <w:t>近两年按要求完成国家和重庆市下达的生态环境质量、节能减排、排污许可证核发等生态环境保护重点工作任务；</w:t>
            </w:r>
          </w:p>
        </w:tc>
        <w:tc>
          <w:tcPr>
            <w:tcW w:w="525" w:type="dxa"/>
            <w:vMerge w:val="continue"/>
            <w:tcBorders>
              <w:top w:val="single" w:color="auto" w:sz="4" w:space="0"/>
              <w:left w:val="single" w:color="auto" w:sz="4" w:space="0"/>
              <w:bottom w:val="single" w:color="auto" w:sz="4" w:space="0"/>
              <w:right w:val="single" w:color="auto" w:sz="4" w:space="0"/>
            </w:tcBorders>
            <w:vAlign w:val="center"/>
          </w:tcP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vAlign w:val="center"/>
          </w:tcPr>
          <w:p/>
        </w:tc>
        <w:tc>
          <w:tcPr>
            <w:tcW w:w="2492" w:type="dxa"/>
            <w:vMerge w:val="continue"/>
            <w:tcBorders>
              <w:top w:val="single" w:color="auto" w:sz="4" w:space="0"/>
              <w:left w:val="single" w:color="auto" w:sz="4" w:space="0"/>
              <w:bottom w:val="single" w:color="auto" w:sz="4" w:space="0"/>
              <w:right w:val="single" w:color="auto" w:sz="4" w:space="0"/>
            </w:tcBorders>
            <w:vAlign w:val="center"/>
          </w:tcP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县生态环境局、县发展改革委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4</w:t>
            </w:r>
          </w:p>
        </w:tc>
        <w:tc>
          <w:tcPr>
            <w:tcW w:w="563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rFonts w:hint="eastAsia"/>
                <w:sz w:val="21"/>
                <w:szCs w:val="21"/>
              </w:rPr>
              <w:t>按计划完成中央和市级生态环境保护督察反馈的重点问题整改；</w:t>
            </w:r>
          </w:p>
        </w:tc>
        <w:tc>
          <w:tcPr>
            <w:tcW w:w="525" w:type="dxa"/>
            <w:vMerge w:val="continue"/>
            <w:tcBorders>
              <w:top w:val="single" w:color="auto" w:sz="4" w:space="0"/>
              <w:left w:val="single" w:color="auto" w:sz="4" w:space="0"/>
              <w:bottom w:val="single" w:color="auto" w:sz="4" w:space="0"/>
              <w:right w:val="single" w:color="auto" w:sz="4" w:space="0"/>
            </w:tcBorders>
            <w:vAlign w:val="center"/>
          </w:tcP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vAlign w:val="center"/>
          </w:tcPr>
          <w:p/>
        </w:tc>
        <w:tc>
          <w:tcPr>
            <w:tcW w:w="2492" w:type="dxa"/>
            <w:vMerge w:val="continue"/>
            <w:tcBorders>
              <w:top w:val="single" w:color="auto" w:sz="4" w:space="0"/>
              <w:left w:val="single" w:color="auto" w:sz="4" w:space="0"/>
              <w:bottom w:val="single" w:color="auto" w:sz="4" w:space="0"/>
              <w:right w:val="single" w:color="auto" w:sz="4" w:space="0"/>
            </w:tcBorders>
            <w:vAlign w:val="center"/>
          </w:tcP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县委办公室、县政府办公室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5</w:t>
            </w:r>
          </w:p>
        </w:tc>
        <w:tc>
          <w:tcPr>
            <w:tcW w:w="563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rFonts w:hint="eastAsia"/>
                <w:sz w:val="21"/>
                <w:szCs w:val="21"/>
              </w:rPr>
              <w:t>近两年未发生重、特大突发环境事件或生态破坏事件，未因重大生态环境问题被生态环境部、市委市政府约谈、挂牌督办或实施区域限批；</w:t>
            </w:r>
          </w:p>
        </w:tc>
        <w:tc>
          <w:tcPr>
            <w:tcW w:w="525" w:type="dxa"/>
            <w:vMerge w:val="continue"/>
            <w:tcBorders>
              <w:top w:val="single" w:color="auto" w:sz="4" w:space="0"/>
              <w:left w:val="single" w:color="auto" w:sz="4" w:space="0"/>
              <w:bottom w:val="single" w:color="auto" w:sz="4" w:space="0"/>
              <w:right w:val="single" w:color="auto" w:sz="4" w:space="0"/>
            </w:tcBorders>
            <w:vAlign w:val="center"/>
          </w:tcP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vAlign w:val="center"/>
          </w:tcPr>
          <w:p/>
        </w:tc>
        <w:tc>
          <w:tcPr>
            <w:tcW w:w="2492" w:type="dxa"/>
            <w:vMerge w:val="continue"/>
            <w:tcBorders>
              <w:top w:val="single" w:color="auto" w:sz="4" w:space="0"/>
              <w:left w:val="single" w:color="auto" w:sz="4" w:space="0"/>
              <w:bottom w:val="single" w:color="auto" w:sz="4" w:space="0"/>
              <w:right w:val="single" w:color="auto" w:sz="4" w:space="0"/>
            </w:tcBorders>
            <w:vAlign w:val="center"/>
          </w:tcP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6</w:t>
            </w:r>
          </w:p>
        </w:tc>
        <w:tc>
          <w:tcPr>
            <w:tcW w:w="563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rFonts w:hint="eastAsia"/>
                <w:sz w:val="21"/>
                <w:szCs w:val="21"/>
              </w:rPr>
              <w:t>近两年区县生态环境质量监测评价与考核结果未“明显变差”“显著变差”；</w:t>
            </w:r>
          </w:p>
        </w:tc>
        <w:tc>
          <w:tcPr>
            <w:tcW w:w="525" w:type="dxa"/>
            <w:vMerge w:val="continue"/>
            <w:tcBorders>
              <w:top w:val="single" w:color="auto" w:sz="4" w:space="0"/>
              <w:left w:val="single" w:color="auto" w:sz="4" w:space="0"/>
              <w:bottom w:val="single" w:color="auto" w:sz="4" w:space="0"/>
              <w:right w:val="single" w:color="auto" w:sz="4" w:space="0"/>
            </w:tcBorders>
            <w:vAlign w:val="center"/>
          </w:tcP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vAlign w:val="center"/>
          </w:tcPr>
          <w:p/>
        </w:tc>
        <w:tc>
          <w:tcPr>
            <w:tcW w:w="2492" w:type="dxa"/>
            <w:vMerge w:val="continue"/>
            <w:tcBorders>
              <w:top w:val="single" w:color="auto" w:sz="4" w:space="0"/>
              <w:left w:val="single" w:color="auto" w:sz="4" w:space="0"/>
              <w:bottom w:val="single" w:color="auto" w:sz="4" w:space="0"/>
              <w:right w:val="single" w:color="auto" w:sz="4" w:space="0"/>
            </w:tcBorders>
            <w:vAlign w:val="center"/>
          </w:tcP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8"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7</w:t>
            </w:r>
          </w:p>
        </w:tc>
        <w:tc>
          <w:tcPr>
            <w:tcW w:w="563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rFonts w:hint="eastAsia"/>
                <w:sz w:val="21"/>
                <w:szCs w:val="21"/>
              </w:rPr>
              <w:t>市级生态环保实绩考核片区内区县排名名列前茅。</w:t>
            </w:r>
          </w:p>
        </w:tc>
        <w:tc>
          <w:tcPr>
            <w:tcW w:w="525" w:type="dxa"/>
            <w:vMerge w:val="continue"/>
            <w:tcBorders>
              <w:top w:val="single" w:color="auto" w:sz="4" w:space="0"/>
              <w:left w:val="single" w:color="auto" w:sz="4" w:space="0"/>
              <w:bottom w:val="single" w:color="auto" w:sz="4" w:space="0"/>
              <w:right w:val="single" w:color="auto" w:sz="4" w:space="0"/>
            </w:tcBorders>
            <w:vAlign w:val="center"/>
          </w:tcP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vAlign w:val="center"/>
          </w:tcPr>
          <w:p/>
        </w:tc>
        <w:tc>
          <w:tcPr>
            <w:tcW w:w="2492" w:type="dxa"/>
            <w:vMerge w:val="continue"/>
            <w:tcBorders>
              <w:top w:val="single" w:color="auto" w:sz="4" w:space="0"/>
              <w:left w:val="single" w:color="auto" w:sz="4" w:space="0"/>
              <w:bottom w:val="single" w:color="auto" w:sz="4" w:space="0"/>
              <w:right w:val="single" w:color="auto" w:sz="4" w:space="0"/>
            </w:tcBorders>
            <w:vAlign w:val="center"/>
          </w:tcP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生</w:t>
            </w:r>
          </w:p>
          <w:p>
            <w:pPr>
              <w:adjustRightInd w:val="0"/>
              <w:snapToGrid w:val="0"/>
              <w:spacing w:line="240" w:lineRule="atLeast"/>
              <w:ind w:firstLine="0" w:firstLineChars="0"/>
              <w:jc w:val="center"/>
              <w:rPr>
                <w:sz w:val="21"/>
                <w:szCs w:val="21"/>
              </w:rPr>
            </w:pPr>
            <w:r>
              <w:rPr>
                <w:sz w:val="21"/>
                <w:szCs w:val="21"/>
              </w:rPr>
              <w:t>态</w:t>
            </w:r>
          </w:p>
          <w:p>
            <w:pPr>
              <w:adjustRightInd w:val="0"/>
              <w:snapToGrid w:val="0"/>
              <w:spacing w:line="240" w:lineRule="atLeast"/>
              <w:ind w:firstLine="0" w:firstLineChars="0"/>
              <w:jc w:val="center"/>
              <w:rPr>
                <w:sz w:val="21"/>
                <w:szCs w:val="21"/>
              </w:rPr>
            </w:pPr>
            <w:r>
              <w:rPr>
                <w:sz w:val="21"/>
                <w:szCs w:val="21"/>
              </w:rPr>
              <w:t>制</w:t>
            </w:r>
          </w:p>
          <w:p>
            <w:pPr>
              <w:adjustRightInd w:val="0"/>
              <w:snapToGrid w:val="0"/>
              <w:spacing w:line="240" w:lineRule="atLeast"/>
              <w:ind w:firstLine="0" w:firstLineChars="0"/>
              <w:jc w:val="center"/>
              <w:rPr>
                <w:sz w:val="21"/>
                <w:szCs w:val="21"/>
              </w:rPr>
            </w:pPr>
            <w:r>
              <w:rPr>
                <w:sz w:val="21"/>
                <w:szCs w:val="21"/>
              </w:rPr>
              <w:t>度</w:t>
            </w: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区县党委政府对生态文明建设重大目标任务部署情况</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有效开展</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有效开展</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210" w:firstLineChars="100"/>
              <w:jc w:val="center"/>
              <w:rPr>
                <w:sz w:val="21"/>
                <w:szCs w:val="21"/>
              </w:rPr>
            </w:pPr>
            <w:r>
              <w:rPr>
                <w:rFonts w:hint="eastAsia"/>
                <w:sz w:val="21"/>
                <w:szCs w:val="21"/>
              </w:rPr>
              <w:t>有效开展</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县委办公室、县政府办公室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生态文明建设工作占党政实绩考核的比例</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25</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≥20</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县委组织部（县考核办）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生态文明制度建设</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开展</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开展</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开展</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县委组织部、县生态环境局、县发展改革委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3"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4</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河长制</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全面实施</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全面实施</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全面实施</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生</w:t>
            </w:r>
          </w:p>
          <w:p>
            <w:pPr>
              <w:adjustRightInd w:val="0"/>
              <w:snapToGrid w:val="0"/>
              <w:spacing w:line="240" w:lineRule="atLeast"/>
              <w:ind w:firstLine="0" w:firstLineChars="0"/>
              <w:jc w:val="center"/>
              <w:rPr>
                <w:sz w:val="21"/>
                <w:szCs w:val="21"/>
              </w:rPr>
            </w:pPr>
            <w:r>
              <w:rPr>
                <w:sz w:val="21"/>
                <w:szCs w:val="21"/>
              </w:rPr>
              <w:t>态</w:t>
            </w:r>
          </w:p>
          <w:p>
            <w:pPr>
              <w:adjustRightInd w:val="0"/>
              <w:snapToGrid w:val="0"/>
              <w:spacing w:line="240" w:lineRule="atLeast"/>
              <w:ind w:firstLine="0" w:firstLineChars="0"/>
              <w:jc w:val="center"/>
              <w:rPr>
                <w:sz w:val="21"/>
                <w:szCs w:val="21"/>
              </w:rPr>
            </w:pPr>
            <w:r>
              <w:rPr>
                <w:sz w:val="21"/>
                <w:szCs w:val="21"/>
              </w:rPr>
              <w:t>环</w:t>
            </w:r>
          </w:p>
          <w:p>
            <w:pPr>
              <w:adjustRightInd w:val="0"/>
              <w:snapToGrid w:val="0"/>
              <w:spacing w:line="240" w:lineRule="atLeast"/>
              <w:ind w:firstLine="0" w:firstLineChars="0"/>
              <w:jc w:val="center"/>
              <w:rPr>
                <w:sz w:val="21"/>
                <w:szCs w:val="21"/>
              </w:rPr>
            </w:pPr>
            <w:r>
              <w:rPr>
                <w:sz w:val="21"/>
                <w:szCs w:val="21"/>
              </w:rPr>
              <w:t>境</w:t>
            </w: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5</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环境空气质量</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4"/>
                <w:sz w:val="21"/>
                <w:szCs w:val="21"/>
              </w:rPr>
            </w:pPr>
            <w:r>
              <w:rPr>
                <w:spacing w:val="-4"/>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4"/>
                <w:sz w:val="21"/>
                <w:szCs w:val="21"/>
              </w:rPr>
            </w:pPr>
            <w:r>
              <w:rPr>
                <w:sz w:val="21"/>
                <w:szCs w:val="21"/>
              </w:rPr>
              <w:t>优良天数比例</w:t>
            </w:r>
            <w:r>
              <w:rPr>
                <w:spacing w:val="-4"/>
                <w:sz w:val="21"/>
                <w:szCs w:val="21"/>
              </w:rPr>
              <w:t>≥85</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cs="Arial Unicode MS"/>
                <w:sz w:val="21"/>
                <w:szCs w:val="21"/>
              </w:rPr>
              <w:t>95.9</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pacing w:val="-4"/>
                <w:sz w:val="21"/>
                <w:szCs w:val="21"/>
              </w:rPr>
              <w:t>≥9</w:t>
            </w:r>
            <w:r>
              <w:rPr>
                <w:rFonts w:hint="eastAsia"/>
                <w:spacing w:val="-4"/>
                <w:sz w:val="21"/>
                <w:szCs w:val="21"/>
              </w:rPr>
              <w:t>0</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县城管局、县住房城乡建委、县经济信息委、县发展改革委、县生态环境局、县民政局、县公安局、县市场监管局、县农业农村委、县交通局、县商务委、县机关事务中心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4"/>
                <w:sz w:val="21"/>
                <w:szCs w:val="21"/>
              </w:rPr>
            </w:pPr>
            <w:r>
              <w:rPr>
                <w:rFonts w:hint="eastAsia" w:ascii="方正仿宋_GBK" w:cs="方正仿宋_GBK"/>
                <w:spacing w:val="-4"/>
                <w:sz w:val="21"/>
                <w:szCs w:val="21"/>
              </w:rPr>
              <w:t>μ</w:t>
            </w:r>
            <w:r>
              <w:rPr>
                <w:spacing w:val="-4"/>
                <w:sz w:val="21"/>
                <w:szCs w:val="21"/>
              </w:rPr>
              <w:t>g/m</w:t>
            </w:r>
            <w:r>
              <w:rPr>
                <w:spacing w:val="-4"/>
                <w:sz w:val="21"/>
                <w:szCs w:val="21"/>
                <w:vertAlign w:val="superscript"/>
              </w:rPr>
              <w:t>3</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PM</w:t>
            </w:r>
            <w:r>
              <w:rPr>
                <w:sz w:val="21"/>
                <w:szCs w:val="21"/>
                <w:vertAlign w:val="subscript"/>
              </w:rPr>
              <w:t>2.5</w:t>
            </w:r>
            <w:r>
              <w:rPr>
                <w:sz w:val="21"/>
                <w:szCs w:val="21"/>
              </w:rPr>
              <w:t>浓度</w:t>
            </w:r>
            <w:r>
              <w:rPr>
                <w:spacing w:val="-4"/>
                <w:sz w:val="21"/>
                <w:szCs w:val="21"/>
              </w:rPr>
              <w:t>≤37</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30</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pacing w:val="-4"/>
                <w:sz w:val="21"/>
                <w:szCs w:val="21"/>
              </w:rPr>
              <w:t>≤3</w:t>
            </w:r>
            <w:r>
              <w:rPr>
                <w:rFonts w:hint="eastAsia"/>
                <w:spacing w:val="-4"/>
                <w:sz w:val="21"/>
                <w:szCs w:val="21"/>
              </w:rPr>
              <w:t>5</w:t>
            </w: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8"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4"/>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pacing w:val="-4"/>
                <w:sz w:val="21"/>
                <w:szCs w:val="21"/>
              </w:rPr>
              <w:t>基本消除重污染天气</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无重污染天气</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pacing w:val="-4"/>
                <w:sz w:val="21"/>
                <w:szCs w:val="21"/>
              </w:rPr>
              <w:t>基本消除重污染天气</w:t>
            </w: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6</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水环境质量</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4"/>
                <w:sz w:val="21"/>
                <w:szCs w:val="21"/>
              </w:rPr>
            </w:pPr>
            <w:r>
              <w:rPr>
                <w:spacing w:val="-4"/>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4"/>
                <w:sz w:val="21"/>
                <w:szCs w:val="21"/>
              </w:rPr>
            </w:pPr>
            <w:r>
              <w:rPr>
                <w:sz w:val="21"/>
                <w:szCs w:val="21"/>
              </w:rPr>
              <w:t>水质达到年度考核目标任务</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达到年度考核目标任务</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达到年度考核目标任务</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县水利局、县住房城乡建委、县生态环境局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6"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4"/>
                <w:sz w:val="21"/>
                <w:szCs w:val="21"/>
              </w:rPr>
            </w:pPr>
            <w:r>
              <w:rPr>
                <w:spacing w:val="-4"/>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pacing w:val="-4"/>
                <w:sz w:val="21"/>
                <w:szCs w:val="21"/>
              </w:rPr>
              <w:t>无劣V类水体</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无</w:t>
            </w:r>
            <w:r>
              <w:rPr>
                <w:spacing w:val="-4"/>
                <w:sz w:val="21"/>
                <w:szCs w:val="21"/>
              </w:rPr>
              <w:t>劣V类水体</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无</w:t>
            </w: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6"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4"/>
                <w:sz w:val="21"/>
                <w:szCs w:val="21"/>
              </w:rPr>
            </w:pPr>
            <w:r>
              <w:rPr>
                <w:spacing w:val="-4"/>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4"/>
                <w:sz w:val="21"/>
                <w:szCs w:val="21"/>
              </w:rPr>
            </w:pPr>
            <w:r>
              <w:rPr>
                <w:spacing w:val="-4"/>
                <w:sz w:val="21"/>
                <w:szCs w:val="21"/>
              </w:rPr>
              <w:t>基本消除黑臭水体</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基本消除</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基本消除</w:t>
            </w: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7</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建设用地土壤污染风险管控和修复名录制度</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4"/>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4"/>
                <w:sz w:val="21"/>
                <w:szCs w:val="21"/>
              </w:rPr>
            </w:pPr>
            <w:r>
              <w:rPr>
                <w:sz w:val="21"/>
                <w:szCs w:val="21"/>
              </w:rPr>
              <w:t>建立</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建立</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完善</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县生态环境局、县规划自然资源局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1"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危险废物利用处置率</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sz w:val="21"/>
                <w:szCs w:val="21"/>
              </w:rPr>
              <w:t>100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w:t>
            </w:r>
            <w:r>
              <w:rPr>
                <w:sz w:val="21"/>
                <w:szCs w:val="21"/>
              </w:rPr>
              <w:t>00</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w:t>
            </w:r>
            <w:r>
              <w:rPr>
                <w:sz w:val="21"/>
                <w:szCs w:val="21"/>
              </w:rPr>
              <w:t>00</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县卫生健康委、县经济信息委、县城管局、县商务委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9"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9</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集中式饮用水水源地水质优良比例</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100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100</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3</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w:t>
            </w:r>
            <w:r>
              <w:rPr>
                <w:sz w:val="21"/>
                <w:szCs w:val="21"/>
              </w:rPr>
              <w:t>00</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县生态环境局、县水利局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0"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城区100，乡镇完成上级考核要求</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3" w:hRule="atLeast"/>
          <w:jc w:val="center"/>
        </w:trPr>
        <w:tc>
          <w:tcPr>
            <w:tcW w:w="47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ind w:firstLine="0" w:firstLineChars="0"/>
              <w:jc w:val="center"/>
              <w:rPr>
                <w:sz w:val="21"/>
                <w:szCs w:val="21"/>
              </w:rPr>
            </w:pPr>
            <w:r>
              <w:rPr>
                <w:sz w:val="21"/>
                <w:szCs w:val="21"/>
              </w:rPr>
              <w:t>生</w:t>
            </w:r>
          </w:p>
          <w:p>
            <w:pPr>
              <w:widowControl/>
              <w:adjustRightInd w:val="0"/>
              <w:snapToGrid w:val="0"/>
              <w:spacing w:line="240" w:lineRule="atLeast"/>
              <w:ind w:firstLine="0" w:firstLineChars="0"/>
              <w:jc w:val="center"/>
              <w:rPr>
                <w:sz w:val="21"/>
                <w:szCs w:val="21"/>
              </w:rPr>
            </w:pPr>
            <w:r>
              <w:rPr>
                <w:sz w:val="21"/>
                <w:szCs w:val="21"/>
              </w:rPr>
              <w:t>态</w:t>
            </w:r>
          </w:p>
          <w:p>
            <w:pPr>
              <w:widowControl/>
              <w:adjustRightInd w:val="0"/>
              <w:snapToGrid w:val="0"/>
              <w:spacing w:line="240" w:lineRule="atLeast"/>
              <w:ind w:firstLine="0" w:firstLineChars="0"/>
              <w:jc w:val="center"/>
              <w:rPr>
                <w:sz w:val="21"/>
                <w:szCs w:val="21"/>
              </w:rPr>
            </w:pPr>
            <w:r>
              <w:rPr>
                <w:sz w:val="21"/>
                <w:szCs w:val="21"/>
              </w:rPr>
              <w:t>屏</w:t>
            </w:r>
          </w:p>
          <w:p>
            <w:pPr>
              <w:widowControl/>
              <w:adjustRightInd w:val="0"/>
              <w:snapToGrid w:val="0"/>
              <w:spacing w:line="240" w:lineRule="atLeast"/>
              <w:ind w:firstLine="0" w:firstLineChars="0"/>
              <w:jc w:val="center"/>
              <w:rPr>
                <w:sz w:val="21"/>
                <w:szCs w:val="21"/>
              </w:rPr>
            </w:pPr>
            <w:r>
              <w:rPr>
                <w:sz w:val="21"/>
                <w:szCs w:val="21"/>
              </w:rPr>
              <w:t>障</w:t>
            </w: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10</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生态环境状况指数</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≥60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cs="宋体"/>
                <w:sz w:val="21"/>
              </w:rPr>
              <w:t>7</w:t>
            </w:r>
            <w:r>
              <w:rPr>
                <w:rFonts w:cs="宋体"/>
                <w:sz w:val="21"/>
              </w:rPr>
              <w:t>2.93</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宋体"/>
                <w:sz w:val="21"/>
              </w:rPr>
            </w:pPr>
            <w:r>
              <w:rPr>
                <w:rFonts w:hint="eastAsia" w:cs="宋体"/>
                <w:sz w:val="21"/>
              </w:rPr>
              <w:t>3</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r>
              <w:rPr>
                <w:rFonts w:hint="eastAsia"/>
                <w:sz w:val="21"/>
                <w:szCs w:val="21"/>
              </w:rPr>
              <w:t>70</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1"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60＞A≥55</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1"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55＞A≥50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11</w:t>
            </w: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森林覆盖率</w:t>
            </w:r>
          </w:p>
        </w:tc>
        <w:tc>
          <w:tcPr>
            <w:tcW w:w="226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山区</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≥60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cs="宋体"/>
                <w:sz w:val="21"/>
              </w:rPr>
              <w:t>63.4</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宋体"/>
                <w:sz w:val="21"/>
              </w:rPr>
            </w:pPr>
            <w:r>
              <w:rPr>
                <w:rFonts w:hint="eastAsia" w:cs="宋体"/>
                <w:sz w:val="21"/>
              </w:rPr>
              <w:t>2</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r>
              <w:rPr>
                <w:rFonts w:hint="eastAsia"/>
                <w:sz w:val="21"/>
                <w:szCs w:val="21"/>
              </w:rPr>
              <w:t>63</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975" w:type="dxa"/>
            <w:vMerge w:val="continue"/>
            <w:tcBorders>
              <w:top w:val="single" w:color="auto" w:sz="4" w:space="0"/>
              <w:left w:val="single" w:color="auto" w:sz="4" w:space="0"/>
              <w:bottom w:val="single" w:color="auto" w:sz="4" w:space="0"/>
              <w:right w:val="single" w:color="auto" w:sz="4" w:space="0"/>
            </w:tcBorders>
            <w:vAlign w:val="center"/>
          </w:tcPr>
          <w:p/>
        </w:tc>
        <w:tc>
          <w:tcPr>
            <w:tcW w:w="2261" w:type="dxa"/>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60＞A≥55</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23"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12</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自然生态空间</w:t>
            </w:r>
          </w:p>
          <w:p>
            <w:pPr>
              <w:adjustRightInd w:val="0"/>
              <w:snapToGrid w:val="0"/>
              <w:spacing w:line="240" w:lineRule="atLeast"/>
              <w:ind w:firstLine="0" w:firstLineChars="0"/>
              <w:jc w:val="left"/>
              <w:rPr>
                <w:sz w:val="21"/>
                <w:szCs w:val="21"/>
              </w:rPr>
            </w:pPr>
            <w:r>
              <w:rPr>
                <w:sz w:val="21"/>
                <w:szCs w:val="21"/>
              </w:rPr>
              <w:t>生态保护红线</w:t>
            </w:r>
          </w:p>
          <w:p>
            <w:pPr>
              <w:adjustRightInd w:val="0"/>
              <w:snapToGrid w:val="0"/>
              <w:spacing w:line="240" w:lineRule="atLeast"/>
              <w:ind w:firstLine="0" w:firstLineChars="0"/>
              <w:jc w:val="left"/>
              <w:rPr>
                <w:sz w:val="21"/>
                <w:szCs w:val="21"/>
              </w:rPr>
            </w:pPr>
            <w:r>
              <w:rPr>
                <w:sz w:val="21"/>
                <w:szCs w:val="21"/>
              </w:rPr>
              <w:t>自然保护地</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面积不减少，性质不改变，功能不降低</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4</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面积不减少，性质不改变，功能不降低</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4</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面积不减少，性质不改变，功能不降低</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县生态环境局、县规划自然资源局、县林业局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4" w:hRule="atLeast"/>
          <w:jc w:val="center"/>
        </w:trPr>
        <w:tc>
          <w:tcPr>
            <w:tcW w:w="47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生</w:t>
            </w:r>
          </w:p>
          <w:p>
            <w:pPr>
              <w:adjustRightInd w:val="0"/>
              <w:snapToGrid w:val="0"/>
              <w:spacing w:line="240" w:lineRule="atLeast"/>
              <w:ind w:firstLine="0" w:firstLineChars="0"/>
              <w:jc w:val="center"/>
              <w:rPr>
                <w:sz w:val="21"/>
                <w:szCs w:val="21"/>
              </w:rPr>
            </w:pPr>
            <w:r>
              <w:rPr>
                <w:sz w:val="21"/>
                <w:szCs w:val="21"/>
              </w:rPr>
              <w:t>态</w:t>
            </w:r>
          </w:p>
          <w:p>
            <w:pPr>
              <w:adjustRightInd w:val="0"/>
              <w:snapToGrid w:val="0"/>
              <w:spacing w:line="240" w:lineRule="atLeast"/>
              <w:ind w:firstLine="0" w:firstLineChars="0"/>
              <w:jc w:val="center"/>
              <w:rPr>
                <w:sz w:val="21"/>
                <w:szCs w:val="21"/>
              </w:rPr>
            </w:pPr>
            <w:r>
              <w:rPr>
                <w:sz w:val="21"/>
                <w:szCs w:val="21"/>
              </w:rPr>
              <w:t>安</w:t>
            </w:r>
          </w:p>
          <w:p>
            <w:pPr>
              <w:adjustRightInd w:val="0"/>
              <w:snapToGrid w:val="0"/>
              <w:spacing w:line="240" w:lineRule="atLeast"/>
              <w:ind w:firstLine="0" w:firstLineChars="0"/>
              <w:jc w:val="center"/>
              <w:rPr>
                <w:sz w:val="21"/>
                <w:szCs w:val="21"/>
              </w:rPr>
            </w:pPr>
            <w:r>
              <w:rPr>
                <w:sz w:val="21"/>
                <w:szCs w:val="21"/>
              </w:rPr>
              <w:t>全</w:t>
            </w: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13</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生物多样性保护</w:t>
            </w:r>
          </w:p>
          <w:p>
            <w:pPr>
              <w:adjustRightInd w:val="0"/>
              <w:snapToGrid w:val="0"/>
              <w:spacing w:line="240" w:lineRule="atLeast"/>
              <w:ind w:firstLine="0" w:firstLineChars="0"/>
              <w:jc w:val="left"/>
              <w:rPr>
                <w:sz w:val="21"/>
                <w:szCs w:val="21"/>
              </w:rPr>
            </w:pPr>
            <w:r>
              <w:rPr>
                <w:sz w:val="21"/>
                <w:szCs w:val="21"/>
              </w:rPr>
              <w:t>重点保护物种受到严格保护</w:t>
            </w:r>
          </w:p>
          <w:p>
            <w:pPr>
              <w:adjustRightInd w:val="0"/>
              <w:snapToGrid w:val="0"/>
              <w:spacing w:line="240" w:lineRule="atLeast"/>
              <w:ind w:firstLine="0" w:firstLineChars="0"/>
              <w:jc w:val="left"/>
              <w:rPr>
                <w:sz w:val="21"/>
                <w:szCs w:val="21"/>
              </w:rPr>
            </w:pPr>
            <w:r>
              <w:rPr>
                <w:sz w:val="21"/>
                <w:szCs w:val="21"/>
              </w:rPr>
              <w:t>外来物种入侵</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p>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执行</w:t>
            </w:r>
          </w:p>
        </w:tc>
        <w:tc>
          <w:tcPr>
            <w:tcW w:w="52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执行</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执行</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县林业局、县农业农村委、县公安局、县生态环境局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3"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不明显</w:t>
            </w:r>
          </w:p>
        </w:tc>
        <w:tc>
          <w:tcPr>
            <w:tcW w:w="525" w:type="dxa"/>
            <w:vMerge w:val="continue"/>
            <w:tcBorders>
              <w:top w:val="single" w:color="auto" w:sz="4" w:space="0"/>
              <w:left w:val="single" w:color="auto" w:sz="4" w:space="0"/>
              <w:bottom w:val="single" w:color="auto" w:sz="4" w:space="0"/>
              <w:right w:val="single" w:color="auto" w:sz="4" w:space="0"/>
            </w:tcBorders>
            <w:vAlign w:val="center"/>
          </w:tcP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不明显</w:t>
            </w:r>
          </w:p>
        </w:tc>
        <w:tc>
          <w:tcPr>
            <w:tcW w:w="1140" w:type="dxa"/>
            <w:vMerge w:val="continue"/>
            <w:tcBorders>
              <w:top w:val="single" w:color="auto" w:sz="4" w:space="0"/>
              <w:left w:val="single" w:color="auto" w:sz="4" w:space="0"/>
              <w:bottom w:val="single" w:color="auto" w:sz="4" w:space="0"/>
              <w:right w:val="single" w:color="auto" w:sz="4" w:space="0"/>
            </w:tcBorders>
            <w:vAlign w:val="center"/>
          </w:tcP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不明显</w:t>
            </w: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81"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14</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突发生态环境事件应急管理机制</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建立</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建立</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建立</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rPr>
                <w:sz w:val="21"/>
                <w:szCs w:val="21"/>
              </w:rPr>
            </w:pPr>
            <w:r>
              <w:rPr>
                <w:rFonts w:hint="eastAsia"/>
                <w:sz w:val="21"/>
                <w:szCs w:val="21"/>
              </w:rPr>
              <w:t>县应急管理局、县生态环境局、县消防救援大队、县交通局、县卫生健康委、县经济信息委、县商务委、县住房城乡建委、县农业农村委、县人民医院、县公安局、长江奉节航道管理处等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0"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15</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自然保护地、生态保护红线重点问题整改率</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82.76</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3</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≥80</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县林业局、县规划自然资源局、县生态环境局及相关单位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80＞A≥65</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6" w:hRule="atLeast"/>
          <w:jc w:val="center"/>
        </w:trPr>
        <w:tc>
          <w:tcPr>
            <w:tcW w:w="47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生</w:t>
            </w:r>
          </w:p>
          <w:p>
            <w:pPr>
              <w:adjustRightInd w:val="0"/>
              <w:snapToGrid w:val="0"/>
              <w:spacing w:line="240" w:lineRule="atLeast"/>
              <w:ind w:firstLine="0" w:firstLineChars="0"/>
              <w:jc w:val="center"/>
              <w:rPr>
                <w:sz w:val="21"/>
                <w:szCs w:val="21"/>
              </w:rPr>
            </w:pPr>
            <w:r>
              <w:rPr>
                <w:sz w:val="21"/>
                <w:szCs w:val="21"/>
              </w:rPr>
              <w:t>态</w:t>
            </w:r>
          </w:p>
          <w:p>
            <w:pPr>
              <w:adjustRightInd w:val="0"/>
              <w:snapToGrid w:val="0"/>
              <w:spacing w:line="240" w:lineRule="atLeast"/>
              <w:ind w:firstLine="0" w:firstLineChars="0"/>
              <w:jc w:val="center"/>
              <w:rPr>
                <w:sz w:val="21"/>
                <w:szCs w:val="21"/>
              </w:rPr>
            </w:pPr>
            <w:r>
              <w:rPr>
                <w:sz w:val="21"/>
                <w:szCs w:val="21"/>
              </w:rPr>
              <w:t>经</w:t>
            </w:r>
          </w:p>
          <w:p>
            <w:pPr>
              <w:adjustRightInd w:val="0"/>
              <w:snapToGrid w:val="0"/>
              <w:spacing w:line="240" w:lineRule="atLeast"/>
              <w:ind w:firstLine="0" w:firstLineChars="0"/>
              <w:jc w:val="center"/>
              <w:rPr>
                <w:sz w:val="21"/>
                <w:szCs w:val="21"/>
              </w:rPr>
            </w:pPr>
            <w:r>
              <w:rPr>
                <w:sz w:val="21"/>
                <w:szCs w:val="21"/>
              </w:rPr>
              <w:t>济</w:t>
            </w: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16</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依法开展规划环境影响评价</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100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90</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w:t>
            </w:r>
            <w:r>
              <w:rPr>
                <w:sz w:val="21"/>
                <w:szCs w:val="21"/>
              </w:rPr>
              <w:t>00</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县发展改革委、县经济信息委、县规划自然资源局、县住房城乡建委、县生态环境局、县水利局、县交通局、县文化旅游委、县林业局、县农业农村委、县生态工业园区管理委员会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100＞A≥90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17</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单位地区生产总值能耗</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sz w:val="21"/>
                <w:szCs w:val="21"/>
              </w:rPr>
              <w:t>吨标准煤/万元</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sz w:val="21"/>
                <w:szCs w:val="21"/>
              </w:rPr>
              <w:t>完成市级规定的目标任务</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w:t>
            </w:r>
          </w:p>
        </w:tc>
        <w:tc>
          <w:tcPr>
            <w:tcW w:w="1007" w:type="dxa"/>
            <w:tcBorders>
              <w:top w:val="single" w:color="auto" w:sz="4" w:space="0"/>
              <w:left w:val="single" w:color="auto" w:sz="4" w:space="0"/>
              <w:bottom w:val="single" w:color="auto" w:sz="4" w:space="0"/>
              <w:right w:val="single" w:color="auto" w:sz="4" w:space="0"/>
            </w:tcBorders>
            <w:vAlign w:val="center"/>
          </w:tcPr>
          <w:p>
            <w:pPr>
              <w:widowControl/>
              <w:spacing w:line="0" w:lineRule="atLeast"/>
              <w:ind w:firstLine="0" w:firstLineChars="0"/>
              <w:jc w:val="center"/>
              <w:rPr>
                <w:sz w:val="21"/>
                <w:szCs w:val="21"/>
              </w:rPr>
            </w:pPr>
            <w:r>
              <w:rPr>
                <w:sz w:val="21"/>
                <w:szCs w:val="21"/>
              </w:rPr>
              <w:t>完成市级规定的目标任务</w:t>
            </w:r>
            <w:r>
              <w:rPr>
                <w:rFonts w:hint="eastAsia"/>
                <w:sz w:val="21"/>
                <w:szCs w:val="21"/>
              </w:rPr>
              <w:t>，0.072</w:t>
            </w:r>
          </w:p>
        </w:tc>
        <w:tc>
          <w:tcPr>
            <w:tcW w:w="114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cs="宋体"/>
                <w:kern w:val="0"/>
                <w:sz w:val="21"/>
              </w:rPr>
            </w:pPr>
            <w:r>
              <w:rPr>
                <w:rFonts w:hint="eastAsia" w:cs="宋体"/>
                <w:kern w:val="0"/>
                <w:sz w:val="21"/>
              </w:rPr>
              <w:t>3</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完成市级规定的目标任务</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县发展改革委、县经济信息委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18</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单位地区生产总值用水量</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spacing w:val="-10"/>
                <w:sz w:val="21"/>
                <w:szCs w:val="21"/>
              </w:rPr>
              <w:t>立方米/万元</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spacing w:val="-10"/>
                <w:sz w:val="21"/>
                <w:szCs w:val="21"/>
              </w:rPr>
              <w:t>完成</w:t>
            </w:r>
            <w:r>
              <w:rPr>
                <w:sz w:val="21"/>
                <w:szCs w:val="21"/>
              </w:rPr>
              <w:t>市级</w:t>
            </w:r>
            <w:r>
              <w:rPr>
                <w:spacing w:val="-10"/>
                <w:sz w:val="21"/>
                <w:szCs w:val="21"/>
              </w:rPr>
              <w:t>规定的目标任务</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w:t>
            </w:r>
          </w:p>
        </w:tc>
        <w:tc>
          <w:tcPr>
            <w:tcW w:w="1007" w:type="dxa"/>
            <w:tcBorders>
              <w:top w:val="single" w:color="auto" w:sz="4" w:space="0"/>
              <w:left w:val="single" w:color="auto" w:sz="4" w:space="0"/>
              <w:bottom w:val="single" w:color="auto" w:sz="4" w:space="0"/>
              <w:right w:val="single" w:color="auto" w:sz="4" w:space="0"/>
            </w:tcBorders>
            <w:vAlign w:val="center"/>
          </w:tcPr>
          <w:p>
            <w:pPr>
              <w:widowControl/>
              <w:spacing w:line="0" w:lineRule="atLeast"/>
              <w:ind w:firstLine="0" w:firstLineChars="0"/>
              <w:jc w:val="center"/>
              <w:rPr>
                <w:sz w:val="21"/>
                <w:szCs w:val="21"/>
              </w:rPr>
            </w:pPr>
            <w:r>
              <w:rPr>
                <w:rFonts w:hint="eastAsia" w:cs="Arial Unicode MS"/>
                <w:spacing w:val="-10"/>
                <w:sz w:val="21"/>
                <w:szCs w:val="21"/>
              </w:rPr>
              <w:t>完成市级规定的目标任务，</w:t>
            </w:r>
            <w:r>
              <w:rPr>
                <w:rFonts w:hint="eastAsia" w:cs="宋体"/>
                <w:kern w:val="0"/>
                <w:sz w:val="21"/>
              </w:rPr>
              <w:t>29.96</w:t>
            </w:r>
          </w:p>
        </w:tc>
        <w:tc>
          <w:tcPr>
            <w:tcW w:w="114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ind w:firstLine="0" w:firstLineChars="0"/>
              <w:jc w:val="center"/>
              <w:rPr>
                <w:rFonts w:cs="Arial Unicode MS"/>
                <w:spacing w:val="-10"/>
                <w:sz w:val="21"/>
                <w:szCs w:val="21"/>
              </w:rPr>
            </w:pPr>
            <w:r>
              <w:rPr>
                <w:rFonts w:hint="eastAsia" w:cs="Arial Unicode MS"/>
                <w:spacing w:val="-10"/>
                <w:sz w:val="21"/>
                <w:szCs w:val="21"/>
              </w:rPr>
              <w:t>3</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pacing w:val="-10"/>
                <w:sz w:val="21"/>
                <w:szCs w:val="21"/>
              </w:rPr>
              <w:t>完成</w:t>
            </w:r>
            <w:r>
              <w:rPr>
                <w:sz w:val="21"/>
                <w:szCs w:val="21"/>
              </w:rPr>
              <w:t>市级</w:t>
            </w:r>
            <w:r>
              <w:rPr>
                <w:spacing w:val="-10"/>
                <w:sz w:val="21"/>
                <w:szCs w:val="21"/>
              </w:rPr>
              <w:t>规定的目标任务</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rFonts w:hint="eastAsia"/>
                <w:sz w:val="21"/>
                <w:szCs w:val="21"/>
              </w:rPr>
              <w:t>县水利局、县经济信息委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53"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19</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单位地区生产总值建设用地使用面积下降率</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pacing w:val="-10"/>
                <w:sz w:val="21"/>
                <w:szCs w:val="21"/>
              </w:rPr>
              <w:t>完成</w:t>
            </w:r>
            <w:r>
              <w:rPr>
                <w:sz w:val="21"/>
                <w:szCs w:val="21"/>
              </w:rPr>
              <w:t>市级</w:t>
            </w:r>
            <w:r>
              <w:rPr>
                <w:spacing w:val="-10"/>
                <w:sz w:val="21"/>
                <w:szCs w:val="21"/>
              </w:rPr>
              <w:t>规定的目标任务</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sz w:val="21"/>
                <w:szCs w:val="21"/>
              </w:rPr>
              <w:t>完成市级规定的目标任务</w:t>
            </w:r>
            <w:r>
              <w:rPr>
                <w:rFonts w:hint="eastAsia"/>
                <w:sz w:val="21"/>
                <w:szCs w:val="21"/>
              </w:rPr>
              <w:t>，10.95</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pacing w:val="-10"/>
                <w:sz w:val="21"/>
                <w:szCs w:val="21"/>
              </w:rPr>
              <w:t>完成</w:t>
            </w:r>
            <w:r>
              <w:rPr>
                <w:sz w:val="21"/>
                <w:szCs w:val="21"/>
              </w:rPr>
              <w:t>市级</w:t>
            </w:r>
            <w:r>
              <w:rPr>
                <w:spacing w:val="-10"/>
                <w:sz w:val="21"/>
                <w:szCs w:val="21"/>
              </w:rPr>
              <w:t>规定的目标任务</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rFonts w:hint="eastAsia"/>
                <w:sz w:val="21"/>
                <w:szCs w:val="21"/>
              </w:rPr>
              <w:t>县规划自然资源局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20</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应当实施强制性清洁生产企业通过审核的比例</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4"/>
                <w:sz w:val="21"/>
                <w:szCs w:val="21"/>
              </w:rPr>
            </w:pPr>
            <w:r>
              <w:rPr>
                <w:spacing w:val="-4"/>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4"/>
                <w:sz w:val="21"/>
                <w:szCs w:val="21"/>
              </w:rPr>
            </w:pPr>
            <w:r>
              <w:rPr>
                <w:spacing w:val="-10"/>
                <w:sz w:val="21"/>
                <w:szCs w:val="21"/>
              </w:rPr>
              <w:t>完成</w:t>
            </w:r>
            <w:r>
              <w:rPr>
                <w:sz w:val="21"/>
                <w:szCs w:val="21"/>
              </w:rPr>
              <w:t>市级</w:t>
            </w:r>
            <w:r>
              <w:rPr>
                <w:spacing w:val="-10"/>
                <w:sz w:val="21"/>
                <w:szCs w:val="21"/>
              </w:rPr>
              <w:t>规定的目标任务</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sz w:val="21"/>
                <w:szCs w:val="21"/>
              </w:rPr>
              <w:t>市级</w:t>
            </w:r>
            <w:r>
              <w:rPr>
                <w:rFonts w:hint="eastAsia"/>
                <w:sz w:val="21"/>
                <w:szCs w:val="21"/>
              </w:rPr>
              <w:t>未下达</w:t>
            </w:r>
            <w:r>
              <w:rPr>
                <w:spacing w:val="-10"/>
                <w:sz w:val="21"/>
                <w:szCs w:val="21"/>
              </w:rPr>
              <w:t>目标任务</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rFonts w:hint="eastAsia"/>
                <w:spacing w:val="-10"/>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pacing w:val="-10"/>
                <w:sz w:val="21"/>
                <w:szCs w:val="21"/>
              </w:rPr>
              <w:t>完成</w:t>
            </w:r>
            <w:r>
              <w:rPr>
                <w:sz w:val="21"/>
                <w:szCs w:val="21"/>
              </w:rPr>
              <w:t>市级</w:t>
            </w:r>
            <w:r>
              <w:rPr>
                <w:spacing w:val="-10"/>
                <w:sz w:val="21"/>
                <w:szCs w:val="21"/>
              </w:rPr>
              <w:t>规定的目标任务</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rFonts w:hint="eastAsia"/>
                <w:sz w:val="21"/>
                <w:szCs w:val="21"/>
              </w:rPr>
              <w:t>县生态环境局、县发展改革委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21</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农业废弃物综合利用率</w:t>
            </w:r>
          </w:p>
          <w:p>
            <w:pPr>
              <w:adjustRightInd w:val="0"/>
              <w:snapToGrid w:val="0"/>
              <w:spacing w:line="240" w:lineRule="atLeast"/>
              <w:ind w:firstLine="0" w:firstLineChars="0"/>
              <w:jc w:val="left"/>
              <w:rPr>
                <w:sz w:val="21"/>
                <w:szCs w:val="21"/>
              </w:rPr>
            </w:pPr>
            <w:r>
              <w:rPr>
                <w:sz w:val="21"/>
                <w:szCs w:val="21"/>
              </w:rPr>
              <w:t>秸秆综合利用率</w:t>
            </w:r>
          </w:p>
          <w:p>
            <w:pPr>
              <w:adjustRightInd w:val="0"/>
              <w:snapToGrid w:val="0"/>
              <w:spacing w:line="240" w:lineRule="atLeast"/>
              <w:ind w:firstLine="0" w:firstLineChars="0"/>
              <w:jc w:val="left"/>
              <w:rPr>
                <w:sz w:val="21"/>
                <w:szCs w:val="21"/>
              </w:rPr>
            </w:pPr>
            <w:r>
              <w:rPr>
                <w:sz w:val="21"/>
                <w:szCs w:val="21"/>
              </w:rPr>
              <w:t>畜禽粪污综合利用率</w:t>
            </w:r>
          </w:p>
          <w:p>
            <w:pPr>
              <w:adjustRightInd w:val="0"/>
              <w:snapToGrid w:val="0"/>
              <w:spacing w:line="240" w:lineRule="atLeast"/>
              <w:ind w:firstLine="0" w:firstLineChars="0"/>
              <w:jc w:val="left"/>
              <w:rPr>
                <w:sz w:val="21"/>
                <w:szCs w:val="21"/>
              </w:rPr>
            </w:pPr>
            <w:r>
              <w:rPr>
                <w:sz w:val="21"/>
                <w:szCs w:val="21"/>
              </w:rPr>
              <w:t>农膜回收利用率</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p>
          <w:p>
            <w:pPr>
              <w:adjustRightInd w:val="0"/>
              <w:snapToGrid w:val="0"/>
              <w:spacing w:line="240" w:lineRule="atLeast"/>
              <w:ind w:firstLine="0" w:firstLineChars="0"/>
              <w:jc w:val="center"/>
              <w:rPr>
                <w:sz w:val="21"/>
                <w:szCs w:val="21"/>
              </w:rPr>
            </w:pPr>
            <w:r>
              <w:rPr>
                <w:sz w:val="21"/>
                <w:szCs w:val="21"/>
              </w:rPr>
              <w:t>≥85</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p>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sz w:val="21"/>
                <w:szCs w:val="21"/>
              </w:rPr>
            </w:pPr>
            <w:r>
              <w:rPr>
                <w:rFonts w:cs="Arial Unicode MS"/>
                <w:sz w:val="21"/>
                <w:szCs w:val="21"/>
              </w:rPr>
              <w:t>8</w:t>
            </w:r>
            <w:r>
              <w:rPr>
                <w:rFonts w:hint="eastAsia" w:cs="Arial Unicode MS"/>
                <w:sz w:val="21"/>
                <w:szCs w:val="21"/>
              </w:rPr>
              <w:t>8.</w:t>
            </w:r>
            <w:r>
              <w:rPr>
                <w:rFonts w:cs="Arial Unicode MS"/>
                <w:sz w:val="21"/>
                <w:szCs w:val="21"/>
              </w:rPr>
              <w:t>6</w:t>
            </w:r>
          </w:p>
        </w:tc>
        <w:tc>
          <w:tcPr>
            <w:tcW w:w="1140"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w:t>
            </w:r>
          </w:p>
        </w:tc>
        <w:tc>
          <w:tcPr>
            <w:tcW w:w="2492"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≥85</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县农业农村委、县供销联社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≥70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cs="Arial Unicode MS"/>
                <w:sz w:val="21"/>
                <w:szCs w:val="21"/>
              </w:rPr>
              <w:t>90</w:t>
            </w:r>
          </w:p>
        </w:tc>
        <w:tc>
          <w:tcPr>
            <w:tcW w:w="1140"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w:t>
            </w:r>
          </w:p>
        </w:tc>
        <w:tc>
          <w:tcPr>
            <w:tcW w:w="2492"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≥90</w:t>
            </w: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≥75</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cs="Arial Unicode MS"/>
                <w:sz w:val="21"/>
                <w:szCs w:val="21"/>
              </w:rPr>
              <w:t>87</w:t>
            </w:r>
          </w:p>
        </w:tc>
        <w:tc>
          <w:tcPr>
            <w:tcW w:w="1140"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w:t>
            </w:r>
          </w:p>
        </w:tc>
        <w:tc>
          <w:tcPr>
            <w:tcW w:w="2492"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≥75</w:t>
            </w: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22</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一般工业固体废物综合利用率</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99.2</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r>
              <w:rPr>
                <w:rFonts w:hint="eastAsia"/>
                <w:sz w:val="21"/>
                <w:szCs w:val="21"/>
              </w:rPr>
              <w:t>80</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县经济信息委、县商务委、县生态环境局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80＞A≥70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23</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政府绿色采购比例</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80.56</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≥80</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80＞A≥70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5" w:hRule="atLeast"/>
          <w:jc w:val="center"/>
        </w:trPr>
        <w:tc>
          <w:tcPr>
            <w:tcW w:w="47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生</w:t>
            </w:r>
          </w:p>
          <w:p>
            <w:pPr>
              <w:adjustRightInd w:val="0"/>
              <w:snapToGrid w:val="0"/>
              <w:spacing w:line="240" w:lineRule="atLeast"/>
              <w:ind w:firstLine="0" w:firstLineChars="0"/>
              <w:jc w:val="center"/>
              <w:rPr>
                <w:sz w:val="21"/>
                <w:szCs w:val="21"/>
              </w:rPr>
            </w:pPr>
            <w:r>
              <w:rPr>
                <w:sz w:val="21"/>
                <w:szCs w:val="21"/>
              </w:rPr>
              <w:t>态</w:t>
            </w:r>
          </w:p>
          <w:p>
            <w:pPr>
              <w:adjustRightInd w:val="0"/>
              <w:snapToGrid w:val="0"/>
              <w:spacing w:line="240" w:lineRule="atLeast"/>
              <w:ind w:firstLine="0" w:firstLineChars="0"/>
              <w:jc w:val="center"/>
              <w:rPr>
                <w:sz w:val="21"/>
                <w:szCs w:val="21"/>
              </w:rPr>
            </w:pPr>
            <w:r>
              <w:rPr>
                <w:sz w:val="21"/>
                <w:szCs w:val="21"/>
              </w:rPr>
              <w:t>人</w:t>
            </w:r>
          </w:p>
          <w:p>
            <w:pPr>
              <w:adjustRightInd w:val="0"/>
              <w:snapToGrid w:val="0"/>
              <w:spacing w:line="240" w:lineRule="atLeast"/>
              <w:ind w:firstLine="0" w:firstLineChars="0"/>
              <w:jc w:val="center"/>
              <w:rPr>
                <w:sz w:val="21"/>
                <w:szCs w:val="21"/>
              </w:rPr>
            </w:pPr>
            <w:r>
              <w:rPr>
                <w:sz w:val="21"/>
                <w:szCs w:val="21"/>
              </w:rPr>
              <w:t>居</w:t>
            </w:r>
          </w:p>
          <w:p>
            <w:pPr>
              <w:adjustRightInd w:val="0"/>
              <w:snapToGrid w:val="0"/>
              <w:spacing w:line="240" w:lineRule="atLeast"/>
              <w:jc w:val="center"/>
              <w:rPr>
                <w:sz w:val="21"/>
                <w:szCs w:val="21"/>
              </w:rPr>
            </w:p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24</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市级生态文明建设示范乡镇占比</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≥50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5</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21.</w:t>
            </w:r>
            <w:r>
              <w:rPr>
                <w:sz w:val="21"/>
                <w:szCs w:val="21"/>
              </w:rPr>
              <w:t>3</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0</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≥50</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永安街道、夔门街道、白帝镇、长安乡等乡镇（街道）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50＞A≥40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4</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40＞A≥30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25</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村镇饮用水卫生合格率</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≥85</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94.57</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r>
              <w:rPr>
                <w:rFonts w:hint="eastAsia"/>
                <w:sz w:val="21"/>
                <w:szCs w:val="21"/>
              </w:rPr>
              <w:t>95</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县卫生健康委、县水利局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85＞A≥75</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26</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城镇集中式污水处理率</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≥95</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92.5</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r>
              <w:rPr>
                <w:rFonts w:hint="eastAsia"/>
                <w:sz w:val="21"/>
                <w:szCs w:val="21"/>
              </w:rPr>
              <w:t>95</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县住房城乡建委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95＞A≥90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27</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城镇生活垃圾无害化处理率</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pacing w:val="-10"/>
                <w:sz w:val="21"/>
                <w:szCs w:val="21"/>
              </w:rPr>
            </w:pPr>
            <w:r>
              <w:rPr>
                <w:sz w:val="21"/>
                <w:szCs w:val="21"/>
              </w:rPr>
              <w:t>≥95</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9</w:t>
            </w:r>
            <w:r>
              <w:rPr>
                <w:rFonts w:hint="eastAsia"/>
                <w:sz w:val="21"/>
                <w:szCs w:val="21"/>
              </w:rPr>
              <w:t>8</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3</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≥95</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县城管局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6"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95＞A≥90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9"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28</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城镇人均公园绿地面积</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平方米/人</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≥15</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10.14</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0</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r>
              <w:rPr>
                <w:rFonts w:hint="eastAsia"/>
                <w:sz w:val="21"/>
                <w:szCs w:val="21"/>
              </w:rPr>
              <w:t>12</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县城管局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15＞A≥12</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29</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农村无害化卫生厕所普及率</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完成上级规定的目标任务</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完成上级规定的目标任务</w:t>
            </w:r>
            <w:r>
              <w:rPr>
                <w:rFonts w:hint="eastAsia"/>
                <w:sz w:val="21"/>
                <w:szCs w:val="21"/>
              </w:rPr>
              <w:t>，69.26</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完成上级规定的目标任务</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县乡村振兴局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30</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城镇新建绿色建筑</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≥50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100</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100</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县住房城乡建委、县规划自然资源局、县生态环境局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31</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开展生活垃圾分类收集</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开展</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开展</w:t>
            </w:r>
          </w:p>
        </w:tc>
        <w:tc>
          <w:tcPr>
            <w:tcW w:w="1140"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tLeast"/>
              <w:ind w:firstLine="0" w:firstLineChars="0"/>
              <w:jc w:val="center"/>
              <w:rPr>
                <w:sz w:val="21"/>
                <w:szCs w:val="21"/>
              </w:rPr>
            </w:pPr>
            <w:r>
              <w:rPr>
                <w:rFonts w:hint="eastAsia"/>
                <w:sz w:val="21"/>
                <w:szCs w:val="21"/>
              </w:rPr>
              <w:t>开展</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县城管局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32</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生态环境案件办结率</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≥90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w:t>
            </w:r>
            <w:r>
              <w:rPr>
                <w:sz w:val="21"/>
                <w:szCs w:val="21"/>
              </w:rPr>
              <w:t>00</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w:t>
            </w:r>
            <w:r>
              <w:rPr>
                <w:sz w:val="21"/>
                <w:szCs w:val="21"/>
              </w:rPr>
              <w:t>00</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90＞A≥80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33</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人居环境品质提升项目</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个</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≥10</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≥10</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县农业农村委、县城管局、县住房城乡建设、县乡村振兴局、县生态环境局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生</w:t>
            </w:r>
          </w:p>
          <w:p>
            <w:pPr>
              <w:adjustRightInd w:val="0"/>
              <w:snapToGrid w:val="0"/>
              <w:spacing w:line="240" w:lineRule="atLeast"/>
              <w:ind w:firstLine="0" w:firstLineChars="0"/>
              <w:jc w:val="center"/>
              <w:rPr>
                <w:sz w:val="21"/>
                <w:szCs w:val="21"/>
              </w:rPr>
            </w:pPr>
            <w:r>
              <w:rPr>
                <w:sz w:val="21"/>
                <w:szCs w:val="21"/>
              </w:rPr>
              <w:t>态</w:t>
            </w:r>
          </w:p>
          <w:p>
            <w:pPr>
              <w:adjustRightInd w:val="0"/>
              <w:snapToGrid w:val="0"/>
              <w:spacing w:line="240" w:lineRule="atLeast"/>
              <w:ind w:firstLine="0" w:firstLineChars="0"/>
              <w:jc w:val="center"/>
              <w:rPr>
                <w:sz w:val="21"/>
                <w:szCs w:val="21"/>
              </w:rPr>
            </w:pPr>
            <w:r>
              <w:rPr>
                <w:sz w:val="21"/>
                <w:szCs w:val="21"/>
              </w:rPr>
              <w:t>文</w:t>
            </w:r>
          </w:p>
          <w:p>
            <w:pPr>
              <w:adjustRightInd w:val="0"/>
              <w:snapToGrid w:val="0"/>
              <w:spacing w:line="240" w:lineRule="atLeast"/>
              <w:ind w:firstLine="0" w:firstLineChars="0"/>
              <w:jc w:val="center"/>
              <w:rPr>
                <w:sz w:val="21"/>
                <w:szCs w:val="21"/>
              </w:rPr>
            </w:pPr>
            <w:r>
              <w:rPr>
                <w:sz w:val="21"/>
                <w:szCs w:val="21"/>
              </w:rPr>
              <w:t>化</w:t>
            </w: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34</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党政领导干部参加生态文明培训的人数比例</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100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w:t>
            </w:r>
            <w:r>
              <w:rPr>
                <w:sz w:val="21"/>
                <w:szCs w:val="21"/>
              </w:rPr>
              <w:t>00</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w:t>
            </w:r>
            <w:r>
              <w:rPr>
                <w:sz w:val="21"/>
                <w:szCs w:val="21"/>
              </w:rPr>
              <w:t>00</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县委组织部、县生态环境局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35</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生态环境信息公开率</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100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w:t>
            </w:r>
            <w:r>
              <w:rPr>
                <w:sz w:val="21"/>
                <w:szCs w:val="21"/>
              </w:rPr>
              <w:t>00</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1</w:t>
            </w:r>
            <w:r>
              <w:rPr>
                <w:sz w:val="21"/>
                <w:szCs w:val="21"/>
              </w:rPr>
              <w:t>00</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36</w:t>
            </w:r>
          </w:p>
        </w:tc>
        <w:tc>
          <w:tcPr>
            <w:tcW w:w="323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pacing w:val="-12"/>
                <w:sz w:val="21"/>
                <w:szCs w:val="21"/>
              </w:rPr>
            </w:pPr>
            <w:r>
              <w:rPr>
                <w:spacing w:val="-12"/>
                <w:sz w:val="21"/>
                <w:szCs w:val="21"/>
              </w:rPr>
              <w:t>公众对生态文明建设的满意度</w:t>
            </w:r>
          </w:p>
        </w:tc>
        <w:tc>
          <w:tcPr>
            <w:tcW w:w="5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98.57</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r>
              <w:rPr>
                <w:rFonts w:hint="eastAsia"/>
                <w:sz w:val="21"/>
                <w:szCs w:val="21"/>
              </w:rPr>
              <w:t>80</w:t>
            </w:r>
          </w:p>
        </w:tc>
        <w:tc>
          <w:tcPr>
            <w:tcW w:w="24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vMerge w:val="continue"/>
            <w:tcBorders>
              <w:top w:val="single" w:color="auto" w:sz="4" w:space="0"/>
              <w:left w:val="single" w:color="auto" w:sz="4" w:space="0"/>
              <w:bottom w:val="single" w:color="auto" w:sz="4" w:space="0"/>
              <w:right w:val="single" w:color="auto" w:sz="4" w:space="0"/>
            </w:tcBorders>
            <w:vAlign w:val="center"/>
          </w:tcPr>
          <w:p/>
        </w:tc>
        <w:tc>
          <w:tcPr>
            <w:tcW w:w="3236" w:type="dxa"/>
            <w:gridSpan w:val="2"/>
            <w:vMerge w:val="continue"/>
            <w:tcBorders>
              <w:top w:val="single" w:color="auto" w:sz="4" w:space="0"/>
              <w:left w:val="single" w:color="auto" w:sz="4" w:space="0"/>
              <w:bottom w:val="single" w:color="auto" w:sz="4" w:space="0"/>
              <w:right w:val="single" w:color="auto" w:sz="4" w:space="0"/>
            </w:tcBorders>
            <w:vAlign w:val="center"/>
          </w:tcPr>
          <w:p/>
        </w:tc>
        <w:tc>
          <w:tcPr>
            <w:tcW w:w="545" w:type="dxa"/>
            <w:vMerge w:val="continue"/>
            <w:tcBorders>
              <w:top w:val="single" w:color="auto" w:sz="4" w:space="0"/>
              <w:left w:val="single" w:color="auto" w:sz="4" w:space="0"/>
              <w:bottom w:val="single" w:color="auto" w:sz="4" w:space="0"/>
              <w:right w:val="single" w:color="auto" w:sz="4" w:space="0"/>
            </w:tcBorders>
            <w:vAlign w:val="center"/>
          </w:tc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80＞A≥70</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w:t>
            </w:r>
          </w:p>
        </w:tc>
        <w:tc>
          <w:tcPr>
            <w:tcW w:w="1007" w:type="dxa"/>
            <w:vMerge w:val="continue"/>
            <w:tcBorders>
              <w:top w:val="single" w:color="auto" w:sz="4" w:space="0"/>
              <w:left w:val="single" w:color="auto" w:sz="4" w:space="0"/>
              <w:bottom w:val="single" w:color="auto" w:sz="4" w:space="0"/>
              <w:right w:val="single" w:color="auto" w:sz="4" w:space="0"/>
            </w:tcBorders>
            <w:vAlign w:val="center"/>
          </w:tcPr>
          <w:p/>
        </w:tc>
        <w:tc>
          <w:tcPr>
            <w:tcW w:w="1140" w:type="dxa"/>
            <w:vMerge w:val="continue"/>
            <w:tcBorders>
              <w:top w:val="single" w:color="auto" w:sz="4" w:space="0"/>
              <w:left w:val="single" w:color="auto" w:sz="4" w:space="0"/>
              <w:bottom w:val="single" w:color="auto" w:sz="4" w:space="0"/>
              <w:right w:val="single" w:color="auto" w:sz="4" w:space="0"/>
            </w:tcBorders>
          </w:tcPr>
          <w:p/>
        </w:tc>
        <w:tc>
          <w:tcPr>
            <w:tcW w:w="2492" w:type="dxa"/>
            <w:vMerge w:val="continue"/>
            <w:tcBorders>
              <w:top w:val="single" w:color="auto" w:sz="4" w:space="0"/>
              <w:left w:val="single" w:color="auto" w:sz="4" w:space="0"/>
              <w:bottom w:val="single" w:color="auto" w:sz="4" w:space="0"/>
              <w:right w:val="single" w:color="auto" w:sz="4" w:space="0"/>
            </w:tcBorders>
          </w:tcPr>
          <w:p/>
        </w:tc>
        <w:tc>
          <w:tcPr>
            <w:tcW w:w="2466"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37</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pacing w:val="-12"/>
                <w:sz w:val="21"/>
                <w:szCs w:val="21"/>
              </w:rPr>
            </w:pPr>
            <w:r>
              <w:rPr>
                <w:sz w:val="21"/>
                <w:szCs w:val="21"/>
              </w:rPr>
              <w:t>中小学开展生态文明教育</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开展</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开展</w:t>
            </w:r>
          </w:p>
        </w:tc>
        <w:tc>
          <w:tcPr>
            <w:tcW w:w="1140"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tLeast"/>
              <w:ind w:firstLine="0" w:firstLineChars="0"/>
              <w:jc w:val="center"/>
              <w:rPr>
                <w:sz w:val="21"/>
                <w:szCs w:val="21"/>
              </w:rPr>
            </w:pPr>
            <w:r>
              <w:rPr>
                <w:rFonts w:hint="eastAsia"/>
                <w:sz w:val="21"/>
                <w:szCs w:val="21"/>
              </w:rPr>
              <w:t>2</w:t>
            </w:r>
          </w:p>
        </w:tc>
        <w:tc>
          <w:tcPr>
            <w:tcW w:w="2492"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tLeast"/>
              <w:ind w:firstLine="0" w:firstLineChars="0"/>
              <w:jc w:val="center"/>
              <w:rPr>
                <w:sz w:val="21"/>
                <w:szCs w:val="21"/>
              </w:rPr>
            </w:pPr>
            <w:r>
              <w:rPr>
                <w:rFonts w:hint="eastAsia"/>
                <w:sz w:val="21"/>
                <w:szCs w:val="21"/>
              </w:rPr>
              <w:t>开展</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县教委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71" w:type="dxa"/>
            <w:vMerge w:val="continue"/>
            <w:tcBorders>
              <w:top w:val="single" w:color="auto" w:sz="4" w:space="0"/>
              <w:left w:val="single" w:color="auto" w:sz="4" w:space="0"/>
              <w:bottom w:val="single" w:color="auto" w:sz="4" w:space="0"/>
              <w:right w:val="single" w:color="auto" w:sz="4" w:space="0"/>
            </w:tcBorders>
            <w:vAlign w:val="center"/>
          </w:tcPr>
          <w:p/>
        </w:tc>
        <w:tc>
          <w:tcPr>
            <w:tcW w:w="4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38</w:t>
            </w:r>
          </w:p>
        </w:tc>
        <w:tc>
          <w:tcPr>
            <w:tcW w:w="323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sz w:val="21"/>
                <w:szCs w:val="21"/>
              </w:rPr>
            </w:pPr>
            <w:r>
              <w:rPr>
                <w:sz w:val="21"/>
                <w:szCs w:val="21"/>
              </w:rPr>
              <w:t>生态环境教育基地</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个</w:t>
            </w: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≥1</w:t>
            </w: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0</w:t>
            </w: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0</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sz w:val="21"/>
                <w:szCs w:val="21"/>
              </w:rPr>
              <w:t>≥</w:t>
            </w:r>
            <w:r>
              <w:rPr>
                <w:rFonts w:hint="eastAsia"/>
                <w:sz w:val="21"/>
                <w:szCs w:val="21"/>
              </w:rPr>
              <w:t>1</w:t>
            </w: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县教委</w:t>
            </w:r>
            <w:r>
              <w:rPr>
                <w:sz w:val="21"/>
                <w:szCs w:val="21"/>
              </w:rPr>
              <w:t>、县生态环境局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14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合计</w:t>
            </w:r>
          </w:p>
        </w:tc>
        <w:tc>
          <w:tcPr>
            <w:tcW w:w="5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p>
        </w:tc>
        <w:tc>
          <w:tcPr>
            <w:tcW w:w="1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p>
        </w:tc>
        <w:tc>
          <w:tcPr>
            <w:tcW w:w="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89</w:t>
            </w:r>
          </w:p>
        </w:tc>
        <w:tc>
          <w:tcPr>
            <w:tcW w:w="24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p>
        </w:tc>
        <w:tc>
          <w:tcPr>
            <w:tcW w:w="24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p>
        </w:tc>
      </w:tr>
    </w:tbl>
    <w:p>
      <w:pPr>
        <w:pStyle w:val="2"/>
      </w:pPr>
    </w:p>
    <w:p>
      <w:pPr>
        <w:pStyle w:val="6"/>
        <w:ind w:firstLine="643"/>
        <w:sectPr>
          <w:pgSz w:w="16838" w:h="11906" w:orient="landscape"/>
          <w:pgMar w:top="1587" w:right="2098" w:bottom="1474" w:left="1984" w:header="851" w:footer="992" w:gutter="0"/>
          <w:cols w:space="720" w:num="1"/>
          <w:docGrid w:type="lines" w:linePitch="439" w:charSpace="0"/>
        </w:sectPr>
      </w:pPr>
    </w:p>
    <w:p>
      <w:pPr>
        <w:jc w:val="center"/>
        <w:rPr>
          <w:rFonts w:eastAsia="方正黑体_GBK" w:cs="Times New Roman"/>
          <w:sz w:val="28"/>
          <w:szCs w:val="22"/>
        </w:rPr>
      </w:pPr>
      <w:r>
        <w:rPr>
          <w:rFonts w:eastAsia="方正黑体_GBK" w:cs="Times New Roman"/>
          <w:sz w:val="28"/>
          <w:szCs w:val="22"/>
        </w:rPr>
        <w:t>表</w:t>
      </w:r>
      <w:r>
        <w:rPr>
          <w:rFonts w:hint="eastAsia" w:eastAsia="方正黑体_GBK" w:cs="Times New Roman"/>
          <w:sz w:val="28"/>
          <w:szCs w:val="22"/>
        </w:rPr>
        <w:t>2</w:t>
      </w:r>
      <w:r>
        <w:rPr>
          <w:rFonts w:eastAsia="方正黑体_GBK" w:cs="Times New Roman"/>
          <w:sz w:val="28"/>
          <w:szCs w:val="22"/>
        </w:rPr>
        <w:t>-</w:t>
      </w:r>
      <w:r>
        <w:rPr>
          <w:rFonts w:hint="eastAsia" w:eastAsia="方正黑体_GBK" w:cs="Times New Roman"/>
          <w:sz w:val="28"/>
          <w:szCs w:val="22"/>
        </w:rPr>
        <w:t xml:space="preserve">2 </w:t>
      </w:r>
      <w:r>
        <w:rPr>
          <w:rFonts w:eastAsia="方正黑体_GBK" w:cs="Times New Roman"/>
          <w:sz w:val="28"/>
          <w:szCs w:val="22"/>
        </w:rPr>
        <w:t>国家生态文明建设示范县</w:t>
      </w:r>
      <w:r>
        <w:rPr>
          <w:rFonts w:hint="eastAsia" w:eastAsia="方正黑体_GBK" w:cs="Times New Roman"/>
          <w:sz w:val="28"/>
          <w:szCs w:val="22"/>
        </w:rPr>
        <w:t>申报要求、建设指标目标</w:t>
      </w:r>
      <w:r>
        <w:rPr>
          <w:rFonts w:hint="eastAsia" w:eastAsia="方正黑体_GBK" w:cs="Times New Roman"/>
          <w:sz w:val="28"/>
          <w:szCs w:val="22"/>
          <w:lang w:eastAsia="zh-CN"/>
        </w:rPr>
        <w:t>及</w:t>
      </w:r>
      <w:r>
        <w:rPr>
          <w:rFonts w:hint="eastAsia" w:eastAsia="方正黑体_GBK" w:cs="Times New Roman"/>
          <w:sz w:val="28"/>
          <w:szCs w:val="22"/>
        </w:rPr>
        <w:t>任务分解</w:t>
      </w:r>
    </w:p>
    <w:tbl>
      <w:tblPr>
        <w:tblStyle w:val="27"/>
        <w:tblW w:w="141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62"/>
        <w:gridCol w:w="589"/>
        <w:gridCol w:w="493"/>
        <w:gridCol w:w="2383"/>
        <w:gridCol w:w="750"/>
        <w:gridCol w:w="1143"/>
        <w:gridCol w:w="790"/>
        <w:gridCol w:w="1283"/>
        <w:gridCol w:w="1234"/>
        <w:gridCol w:w="1334"/>
        <w:gridCol w:w="1382"/>
        <w:gridCol w:w="23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71" w:hRule="atLeast"/>
          <w:tblHeader/>
          <w:jc w:val="center"/>
        </w:trPr>
        <w:tc>
          <w:tcPr>
            <w:tcW w:w="462"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b/>
                <w:bCs/>
                <w:sz w:val="21"/>
                <w:szCs w:val="21"/>
              </w:rPr>
              <w:t>领域</w:t>
            </w:r>
          </w:p>
        </w:tc>
        <w:tc>
          <w:tcPr>
            <w:tcW w:w="589"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b/>
                <w:bCs/>
                <w:sz w:val="21"/>
                <w:szCs w:val="21"/>
              </w:rPr>
              <w:t>任务</w:t>
            </w:r>
          </w:p>
        </w:tc>
        <w:tc>
          <w:tcPr>
            <w:tcW w:w="493"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b/>
                <w:bCs/>
                <w:sz w:val="21"/>
                <w:szCs w:val="21"/>
              </w:rPr>
              <w:t>序号</w:t>
            </w:r>
          </w:p>
        </w:tc>
        <w:tc>
          <w:tcPr>
            <w:tcW w:w="2383"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b/>
                <w:bCs/>
                <w:sz w:val="21"/>
                <w:szCs w:val="21"/>
              </w:rPr>
              <w:t>指标名称</w:t>
            </w:r>
          </w:p>
        </w:tc>
        <w:tc>
          <w:tcPr>
            <w:tcW w:w="750"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b/>
                <w:bCs/>
                <w:sz w:val="21"/>
                <w:szCs w:val="21"/>
              </w:rPr>
              <w:t>单位</w:t>
            </w:r>
          </w:p>
        </w:tc>
        <w:tc>
          <w:tcPr>
            <w:tcW w:w="1143"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b/>
                <w:bCs/>
                <w:sz w:val="21"/>
                <w:szCs w:val="21"/>
              </w:rPr>
              <w:t>指标值</w:t>
            </w:r>
          </w:p>
        </w:tc>
        <w:tc>
          <w:tcPr>
            <w:tcW w:w="790"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b/>
                <w:bCs/>
                <w:sz w:val="21"/>
                <w:szCs w:val="21"/>
              </w:rPr>
              <w:t>指标属性</w:t>
            </w:r>
          </w:p>
        </w:tc>
        <w:tc>
          <w:tcPr>
            <w:tcW w:w="2517" w:type="dxa"/>
            <w:gridSpan w:val="2"/>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cs="Arial Unicode MS"/>
                <w:b/>
                <w:bCs/>
                <w:sz w:val="21"/>
                <w:szCs w:val="21"/>
              </w:rPr>
              <w:t>2021</w:t>
            </w:r>
            <w:r>
              <w:rPr>
                <w:rFonts w:hint="eastAsia" w:cs="Arial Unicode MS"/>
                <w:b/>
                <w:bCs/>
                <w:sz w:val="21"/>
                <w:szCs w:val="21"/>
              </w:rPr>
              <w:t>年</w:t>
            </w:r>
          </w:p>
        </w:tc>
        <w:tc>
          <w:tcPr>
            <w:tcW w:w="271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b/>
                <w:bCs/>
                <w:sz w:val="21"/>
                <w:szCs w:val="21"/>
              </w:rPr>
              <w:t>目标值</w:t>
            </w:r>
          </w:p>
        </w:tc>
        <w:tc>
          <w:tcPr>
            <w:tcW w:w="2330"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b/>
                <w:bCs/>
                <w:sz w:val="21"/>
                <w:szCs w:val="21"/>
              </w:rPr>
              <w:t>牵头单位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71" w:hRule="atLeast"/>
          <w:tblHeader/>
          <w:jc w:val="center"/>
        </w:trPr>
        <w:tc>
          <w:tcPr>
            <w:tcW w:w="462" w:type="dxa"/>
            <w:vMerge w:val="continue"/>
            <w:tcBorders>
              <w:left w:val="single" w:color="auto" w:sz="4" w:space="0"/>
              <w:bottom w:val="single" w:color="auto" w:sz="4" w:space="0"/>
              <w:right w:val="single" w:color="auto" w:sz="4" w:space="0"/>
            </w:tcBorders>
            <w:vAlign w:val="center"/>
          </w:tcPr>
          <w:p/>
        </w:tc>
        <w:tc>
          <w:tcPr>
            <w:tcW w:w="589" w:type="dxa"/>
            <w:vMerge w:val="continue"/>
            <w:tcBorders>
              <w:left w:val="single" w:color="auto" w:sz="4" w:space="0"/>
              <w:bottom w:val="single" w:color="auto" w:sz="4" w:space="0"/>
              <w:right w:val="single" w:color="auto" w:sz="4" w:space="0"/>
            </w:tcBorders>
            <w:vAlign w:val="center"/>
          </w:tcPr>
          <w:p/>
        </w:tc>
        <w:tc>
          <w:tcPr>
            <w:tcW w:w="493" w:type="dxa"/>
            <w:vMerge w:val="continue"/>
            <w:tcBorders>
              <w:left w:val="single" w:color="auto" w:sz="4" w:space="0"/>
              <w:bottom w:val="single" w:color="auto" w:sz="4" w:space="0"/>
              <w:right w:val="single" w:color="auto" w:sz="4" w:space="0"/>
            </w:tcBorders>
            <w:vAlign w:val="center"/>
          </w:tcPr>
          <w:p/>
        </w:tc>
        <w:tc>
          <w:tcPr>
            <w:tcW w:w="2383" w:type="dxa"/>
            <w:vMerge w:val="continue"/>
            <w:tcBorders>
              <w:left w:val="single" w:color="auto" w:sz="4" w:space="0"/>
              <w:bottom w:val="single" w:color="auto" w:sz="4" w:space="0"/>
              <w:right w:val="single" w:color="auto" w:sz="4" w:space="0"/>
            </w:tcBorders>
            <w:vAlign w:val="center"/>
          </w:tcPr>
          <w:p/>
        </w:tc>
        <w:tc>
          <w:tcPr>
            <w:tcW w:w="750" w:type="dxa"/>
            <w:vMerge w:val="continue"/>
            <w:tcBorders>
              <w:left w:val="single" w:color="auto" w:sz="4" w:space="0"/>
              <w:bottom w:val="single" w:color="auto" w:sz="4" w:space="0"/>
              <w:right w:val="single" w:color="auto" w:sz="4" w:space="0"/>
            </w:tcBorders>
            <w:vAlign w:val="center"/>
          </w:tcPr>
          <w:p/>
        </w:tc>
        <w:tc>
          <w:tcPr>
            <w:tcW w:w="1143" w:type="dxa"/>
            <w:vMerge w:val="continue"/>
            <w:tcBorders>
              <w:left w:val="single" w:color="auto" w:sz="4" w:space="0"/>
              <w:bottom w:val="single" w:color="auto" w:sz="4" w:space="0"/>
              <w:right w:val="single" w:color="auto" w:sz="4" w:space="0"/>
            </w:tcBorders>
            <w:vAlign w:val="center"/>
          </w:tcPr>
          <w:p/>
        </w:tc>
        <w:tc>
          <w:tcPr>
            <w:tcW w:w="790" w:type="dxa"/>
            <w:vMerge w:val="continue"/>
            <w:tcBorders>
              <w:left w:val="single" w:color="auto" w:sz="4" w:space="0"/>
              <w:bottom w:val="single" w:color="auto" w:sz="4" w:space="0"/>
              <w:right w:val="single" w:color="auto" w:sz="4" w:space="0"/>
            </w:tcBorders>
            <w:vAlign w:val="center"/>
          </w:tcPr>
          <w:p/>
        </w:tc>
        <w:tc>
          <w:tcPr>
            <w:tcW w:w="1283"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b/>
                <w:bCs/>
                <w:sz w:val="21"/>
                <w:szCs w:val="21"/>
              </w:rPr>
              <w:t>现状值</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b/>
                <w:bCs/>
                <w:sz w:val="21"/>
                <w:szCs w:val="21"/>
              </w:rPr>
              <w:t>达标情况</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b/>
                <w:bCs/>
                <w:sz w:val="21"/>
                <w:szCs w:val="21"/>
              </w:rPr>
              <w:t>2</w:t>
            </w:r>
            <w:r>
              <w:rPr>
                <w:rFonts w:cs="Arial Unicode MS"/>
                <w:b/>
                <w:bCs/>
                <w:sz w:val="21"/>
                <w:szCs w:val="21"/>
              </w:rPr>
              <w:t>025</w:t>
            </w:r>
            <w:r>
              <w:rPr>
                <w:rFonts w:hint="eastAsia" w:cs="Arial Unicode MS"/>
                <w:b/>
                <w:bCs/>
                <w:sz w:val="21"/>
                <w:szCs w:val="21"/>
              </w:rPr>
              <w:t>年</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b/>
                <w:bCs/>
                <w:sz w:val="21"/>
                <w:szCs w:val="21"/>
              </w:rPr>
              <w:t>2</w:t>
            </w:r>
            <w:r>
              <w:rPr>
                <w:rFonts w:cs="Arial Unicode MS"/>
                <w:b/>
                <w:bCs/>
                <w:sz w:val="21"/>
                <w:szCs w:val="21"/>
              </w:rPr>
              <w:t>0</w:t>
            </w:r>
            <w:r>
              <w:rPr>
                <w:rFonts w:hint="eastAsia" w:cs="Arial Unicode MS"/>
                <w:b/>
                <w:bCs/>
                <w:sz w:val="21"/>
                <w:szCs w:val="21"/>
              </w:rPr>
              <w:t>30年</w:t>
            </w:r>
          </w:p>
        </w:tc>
        <w:tc>
          <w:tcPr>
            <w:tcW w:w="2330" w:type="dxa"/>
            <w:vMerge w:val="continue"/>
            <w:tcBorders>
              <w:left w:val="single" w:color="auto" w:sz="4" w:space="0"/>
              <w:bottom w:val="single" w:color="auto" w:sz="4" w:space="0"/>
              <w:right w:val="single" w:color="auto" w:sz="4" w:space="0"/>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76" w:hRule="atLeast"/>
          <w:jc w:val="center"/>
        </w:trPr>
        <w:tc>
          <w:tcPr>
            <w:tcW w:w="1051" w:type="dxa"/>
            <w:gridSpan w:val="2"/>
            <w:vMerge w:val="restart"/>
            <w:tcBorders>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申报条件</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第九条</w:t>
            </w:r>
          </w:p>
        </w:tc>
        <w:tc>
          <w:tcPr>
            <w:tcW w:w="493"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w:t>
            </w:r>
          </w:p>
        </w:tc>
        <w:tc>
          <w:tcPr>
            <w:tcW w:w="5066" w:type="dxa"/>
            <w:gridSpan w:val="4"/>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建设规划发布实施且处在有效期内；</w:t>
            </w:r>
          </w:p>
        </w:tc>
        <w:tc>
          <w:tcPr>
            <w:tcW w:w="1283"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正在制定</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正在制定</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印发实施</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印发实施</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县政府办公室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51" w:type="dxa"/>
            <w:gridSpan w:val="2"/>
            <w:vMerge w:val="continue"/>
            <w:tcBorders>
              <w:left w:val="single" w:color="auto" w:sz="4" w:space="0"/>
              <w:right w:val="single" w:color="auto" w:sz="4" w:space="0"/>
            </w:tcBorders>
            <w:vAlign w:val="center"/>
          </w:tcPr>
          <w:p/>
        </w:tc>
        <w:tc>
          <w:tcPr>
            <w:tcW w:w="493"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w:t>
            </w:r>
          </w:p>
        </w:tc>
        <w:tc>
          <w:tcPr>
            <w:tcW w:w="5066" w:type="dxa"/>
            <w:gridSpan w:val="4"/>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相关法律法规得到严格落实。党政领导干部生态环境损害责任追究、领导干部自然资源资产离任审计、自然资源资产负债表、生态环境损害赔偿、“三线一单”等制度保障工作按照国家和省级总体部署有效开展；</w:t>
            </w:r>
          </w:p>
        </w:tc>
        <w:tc>
          <w:tcPr>
            <w:tcW w:w="1283"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严格落实</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满足申报</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条件</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严格落实</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严格落实</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县生态环境局、县审计局、县规划自然资源局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051" w:type="dxa"/>
            <w:gridSpan w:val="2"/>
            <w:vMerge w:val="continue"/>
            <w:tcBorders>
              <w:left w:val="single" w:color="auto" w:sz="4" w:space="0"/>
              <w:bottom w:val="single" w:color="auto" w:sz="4" w:space="0"/>
              <w:right w:val="single" w:color="auto" w:sz="4" w:space="0"/>
            </w:tcBorders>
            <w:vAlign w:val="center"/>
          </w:tcPr>
          <w:p/>
        </w:tc>
        <w:tc>
          <w:tcPr>
            <w:tcW w:w="493"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w:t>
            </w:r>
          </w:p>
        </w:tc>
        <w:tc>
          <w:tcPr>
            <w:tcW w:w="5066" w:type="dxa"/>
            <w:gridSpan w:val="4"/>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经自查已达到国家生态文明建设示范市县各项建设指标要求。</w:t>
            </w:r>
          </w:p>
        </w:tc>
        <w:tc>
          <w:tcPr>
            <w:tcW w:w="1283"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4个指标未达标，1个指标未开展调查</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4个指标未达标，1个指标未开展调查</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35个指标全达标</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35个指标全达标</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相关单位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051" w:type="dxa"/>
            <w:gridSpan w:val="2"/>
            <w:vMerge w:val="restart"/>
            <w:tcBorders>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申报条件</w:t>
            </w:r>
          </w:p>
          <w:p>
            <w:pPr>
              <w:adjustRightInd w:val="0"/>
              <w:snapToGrid w:val="0"/>
              <w:spacing w:line="240" w:lineRule="atLeast"/>
              <w:ind w:firstLine="0" w:firstLineChars="0"/>
              <w:jc w:val="center"/>
              <w:rPr>
                <w:rFonts w:cs="Arial Unicode MS"/>
                <w:b/>
                <w:bCs/>
                <w:sz w:val="21"/>
                <w:szCs w:val="21"/>
              </w:rPr>
            </w:pPr>
            <w:r>
              <w:rPr>
                <w:rFonts w:hint="eastAsia" w:cs="Arial Unicode MS"/>
                <w:sz w:val="21"/>
                <w:szCs w:val="21"/>
              </w:rPr>
              <w:t>第十条</w:t>
            </w:r>
          </w:p>
        </w:tc>
        <w:tc>
          <w:tcPr>
            <w:tcW w:w="493"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w:t>
            </w:r>
          </w:p>
        </w:tc>
        <w:tc>
          <w:tcPr>
            <w:tcW w:w="5066" w:type="dxa"/>
            <w:gridSpan w:val="4"/>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b/>
                <w:bCs/>
                <w:sz w:val="21"/>
                <w:szCs w:val="21"/>
              </w:rPr>
            </w:pPr>
            <w:r>
              <w:rPr>
                <w:rFonts w:hint="eastAsia" w:cs="Arial Unicode MS"/>
                <w:sz w:val="21"/>
                <w:szCs w:val="21"/>
              </w:rPr>
              <w:t>中央生态环境保护督察和生态环境部组织的各类专项督查中存在重大问题，且未按计划完成整改任务的；</w:t>
            </w:r>
          </w:p>
        </w:tc>
        <w:tc>
          <w:tcPr>
            <w:tcW w:w="1283" w:type="dxa"/>
            <w:vMerge w:val="restart"/>
            <w:tcBorders>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sz w:val="21"/>
                <w:szCs w:val="21"/>
              </w:rPr>
              <w:t>不存在以上情形</w:t>
            </w:r>
          </w:p>
        </w:tc>
        <w:tc>
          <w:tcPr>
            <w:tcW w:w="1234"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满足申报</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条件</w:t>
            </w:r>
          </w:p>
        </w:tc>
        <w:tc>
          <w:tcPr>
            <w:tcW w:w="1334"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sz w:val="21"/>
                <w:szCs w:val="21"/>
              </w:rPr>
              <w:t>不存在以上情形</w:t>
            </w:r>
          </w:p>
        </w:tc>
        <w:tc>
          <w:tcPr>
            <w:tcW w:w="1382"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sz w:val="21"/>
                <w:szCs w:val="21"/>
              </w:rPr>
              <w:t>不存在以上情形</w:t>
            </w:r>
          </w:p>
        </w:tc>
        <w:tc>
          <w:tcPr>
            <w:tcW w:w="2330"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县委办公室、县政府办公室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051" w:type="dxa"/>
            <w:gridSpan w:val="2"/>
            <w:vMerge w:val="continue"/>
            <w:tcBorders>
              <w:left w:val="single" w:color="auto" w:sz="4" w:space="0"/>
              <w:right w:val="single" w:color="auto" w:sz="4" w:space="0"/>
            </w:tcBorders>
            <w:vAlign w:val="center"/>
          </w:tcPr>
          <w:p/>
        </w:tc>
        <w:tc>
          <w:tcPr>
            <w:tcW w:w="493"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w:t>
            </w:r>
          </w:p>
        </w:tc>
        <w:tc>
          <w:tcPr>
            <w:tcW w:w="5066" w:type="dxa"/>
            <w:gridSpan w:val="4"/>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未完成国家下达的生态环境质量、节能减排、排污许可证核发等生态环境保护重点工作任务的；</w:t>
            </w:r>
          </w:p>
        </w:tc>
        <w:tc>
          <w:tcPr>
            <w:tcW w:w="1283" w:type="dxa"/>
            <w:vMerge w:val="continue"/>
            <w:tcBorders>
              <w:left w:val="single" w:color="auto" w:sz="4" w:space="0"/>
              <w:right w:val="single" w:color="auto" w:sz="4" w:space="0"/>
            </w:tcBorders>
            <w:vAlign w:val="center"/>
          </w:tcPr>
          <w:p/>
        </w:tc>
        <w:tc>
          <w:tcPr>
            <w:tcW w:w="1234" w:type="dxa"/>
            <w:vMerge w:val="continue"/>
            <w:tcBorders>
              <w:left w:val="single" w:color="auto" w:sz="4" w:space="0"/>
              <w:right w:val="single" w:color="auto" w:sz="4" w:space="0"/>
            </w:tcBorders>
            <w:vAlign w:val="center"/>
          </w:tcPr>
          <w:p/>
        </w:tc>
        <w:tc>
          <w:tcPr>
            <w:tcW w:w="1334" w:type="dxa"/>
            <w:vMerge w:val="continue"/>
            <w:tcBorders>
              <w:left w:val="single" w:color="auto" w:sz="4" w:space="0"/>
              <w:right w:val="single" w:color="auto" w:sz="4" w:space="0"/>
            </w:tcBorders>
            <w:vAlign w:val="center"/>
          </w:tcPr>
          <w:p/>
        </w:tc>
        <w:tc>
          <w:tcPr>
            <w:tcW w:w="1382" w:type="dxa"/>
            <w:vMerge w:val="continue"/>
            <w:tcBorders>
              <w:left w:val="single" w:color="auto" w:sz="4" w:space="0"/>
              <w:right w:val="single" w:color="auto" w:sz="4" w:space="0"/>
            </w:tcBorders>
            <w:vAlign w:val="center"/>
          </w:tcPr>
          <w:p/>
        </w:tc>
        <w:tc>
          <w:tcPr>
            <w:tcW w:w="2330" w:type="dxa"/>
            <w:tcBorders>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sz w:val="21"/>
                <w:szCs w:val="21"/>
              </w:rPr>
              <w:t>县生态环境局、县发展改革委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051" w:type="dxa"/>
            <w:gridSpan w:val="2"/>
            <w:vMerge w:val="continue"/>
            <w:tcBorders>
              <w:left w:val="single" w:color="auto" w:sz="4" w:space="0"/>
              <w:right w:val="single" w:color="auto" w:sz="4" w:space="0"/>
            </w:tcBorders>
            <w:vAlign w:val="center"/>
          </w:tcPr>
          <w:p/>
        </w:tc>
        <w:tc>
          <w:tcPr>
            <w:tcW w:w="493"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w:t>
            </w:r>
          </w:p>
        </w:tc>
        <w:tc>
          <w:tcPr>
            <w:tcW w:w="5066" w:type="dxa"/>
            <w:gridSpan w:val="4"/>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发生重、特大突发环境事件或生态破坏事件的，以及因重大生态环境问题被生态环境部约谈、挂牌督办或实施区域限批的；</w:t>
            </w:r>
          </w:p>
        </w:tc>
        <w:tc>
          <w:tcPr>
            <w:tcW w:w="1283" w:type="dxa"/>
            <w:vMerge w:val="continue"/>
            <w:tcBorders>
              <w:left w:val="single" w:color="auto" w:sz="4" w:space="0"/>
              <w:right w:val="single" w:color="auto" w:sz="4" w:space="0"/>
            </w:tcBorders>
            <w:vAlign w:val="center"/>
          </w:tcPr>
          <w:p/>
        </w:tc>
        <w:tc>
          <w:tcPr>
            <w:tcW w:w="1234" w:type="dxa"/>
            <w:vMerge w:val="continue"/>
            <w:tcBorders>
              <w:left w:val="single" w:color="auto" w:sz="4" w:space="0"/>
              <w:right w:val="single" w:color="auto" w:sz="4" w:space="0"/>
            </w:tcBorders>
            <w:vAlign w:val="center"/>
          </w:tcPr>
          <w:p/>
        </w:tc>
        <w:tc>
          <w:tcPr>
            <w:tcW w:w="1334" w:type="dxa"/>
            <w:vMerge w:val="continue"/>
            <w:tcBorders>
              <w:left w:val="single" w:color="auto" w:sz="4" w:space="0"/>
              <w:right w:val="single" w:color="auto" w:sz="4" w:space="0"/>
            </w:tcBorders>
            <w:vAlign w:val="center"/>
          </w:tcPr>
          <w:p/>
        </w:tc>
        <w:tc>
          <w:tcPr>
            <w:tcW w:w="1382" w:type="dxa"/>
            <w:vMerge w:val="continue"/>
            <w:tcBorders>
              <w:left w:val="single" w:color="auto" w:sz="4" w:space="0"/>
              <w:right w:val="single" w:color="auto" w:sz="4" w:space="0"/>
            </w:tcBorders>
            <w:vAlign w:val="center"/>
          </w:tcPr>
          <w:p/>
        </w:tc>
        <w:tc>
          <w:tcPr>
            <w:tcW w:w="2330" w:type="dxa"/>
            <w:tcBorders>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sz w:val="21"/>
                <w:szCs w:val="21"/>
              </w:rPr>
              <w:t>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051" w:type="dxa"/>
            <w:gridSpan w:val="2"/>
            <w:vMerge w:val="continue"/>
            <w:tcBorders>
              <w:left w:val="single" w:color="auto" w:sz="4" w:space="0"/>
              <w:right w:val="single" w:color="auto" w:sz="4" w:space="0"/>
            </w:tcBorders>
            <w:vAlign w:val="center"/>
          </w:tcPr>
          <w:p/>
        </w:tc>
        <w:tc>
          <w:tcPr>
            <w:tcW w:w="493"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4</w:t>
            </w:r>
          </w:p>
        </w:tc>
        <w:tc>
          <w:tcPr>
            <w:tcW w:w="5066" w:type="dxa"/>
            <w:gridSpan w:val="4"/>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群众信访举报的生态环境案件未及时办理、办结率低的；</w:t>
            </w:r>
          </w:p>
        </w:tc>
        <w:tc>
          <w:tcPr>
            <w:tcW w:w="1283" w:type="dxa"/>
            <w:vMerge w:val="continue"/>
            <w:tcBorders>
              <w:left w:val="single" w:color="auto" w:sz="4" w:space="0"/>
              <w:right w:val="single" w:color="auto" w:sz="4" w:space="0"/>
            </w:tcBorders>
            <w:vAlign w:val="center"/>
          </w:tcPr>
          <w:p/>
        </w:tc>
        <w:tc>
          <w:tcPr>
            <w:tcW w:w="1234" w:type="dxa"/>
            <w:vMerge w:val="continue"/>
            <w:tcBorders>
              <w:left w:val="single" w:color="auto" w:sz="4" w:space="0"/>
              <w:right w:val="single" w:color="auto" w:sz="4" w:space="0"/>
            </w:tcBorders>
            <w:vAlign w:val="center"/>
          </w:tcPr>
          <w:p/>
        </w:tc>
        <w:tc>
          <w:tcPr>
            <w:tcW w:w="1334" w:type="dxa"/>
            <w:vMerge w:val="continue"/>
            <w:tcBorders>
              <w:left w:val="single" w:color="auto" w:sz="4" w:space="0"/>
              <w:right w:val="single" w:color="auto" w:sz="4" w:space="0"/>
            </w:tcBorders>
            <w:vAlign w:val="center"/>
          </w:tcPr>
          <w:p/>
        </w:tc>
        <w:tc>
          <w:tcPr>
            <w:tcW w:w="1382" w:type="dxa"/>
            <w:vMerge w:val="continue"/>
            <w:tcBorders>
              <w:left w:val="single" w:color="auto" w:sz="4" w:space="0"/>
              <w:right w:val="single" w:color="auto" w:sz="4" w:space="0"/>
            </w:tcBorders>
            <w:vAlign w:val="center"/>
          </w:tcPr>
          <w:p/>
        </w:tc>
        <w:tc>
          <w:tcPr>
            <w:tcW w:w="2330" w:type="dxa"/>
            <w:tcBorders>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sz w:val="21"/>
                <w:szCs w:val="21"/>
              </w:rPr>
              <w:t>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051" w:type="dxa"/>
            <w:gridSpan w:val="2"/>
            <w:vMerge w:val="continue"/>
            <w:tcBorders>
              <w:left w:val="single" w:color="auto" w:sz="4" w:space="0"/>
              <w:right w:val="single" w:color="auto" w:sz="4" w:space="0"/>
            </w:tcBorders>
            <w:vAlign w:val="center"/>
          </w:tcPr>
          <w:p/>
        </w:tc>
        <w:tc>
          <w:tcPr>
            <w:tcW w:w="493"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5</w:t>
            </w:r>
          </w:p>
        </w:tc>
        <w:tc>
          <w:tcPr>
            <w:tcW w:w="5066" w:type="dxa"/>
            <w:gridSpan w:val="4"/>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国家重点生态功能区县域生态环境质量监测评价与考核结果为“一般变差”“明显变差”的；</w:t>
            </w:r>
          </w:p>
        </w:tc>
        <w:tc>
          <w:tcPr>
            <w:tcW w:w="1283" w:type="dxa"/>
            <w:vMerge w:val="continue"/>
            <w:tcBorders>
              <w:left w:val="single" w:color="auto" w:sz="4" w:space="0"/>
              <w:right w:val="single" w:color="auto" w:sz="4" w:space="0"/>
            </w:tcBorders>
            <w:vAlign w:val="center"/>
          </w:tcPr>
          <w:p/>
        </w:tc>
        <w:tc>
          <w:tcPr>
            <w:tcW w:w="1234" w:type="dxa"/>
            <w:vMerge w:val="continue"/>
            <w:tcBorders>
              <w:left w:val="single" w:color="auto" w:sz="4" w:space="0"/>
              <w:right w:val="single" w:color="auto" w:sz="4" w:space="0"/>
            </w:tcBorders>
            <w:vAlign w:val="center"/>
          </w:tcPr>
          <w:p/>
        </w:tc>
        <w:tc>
          <w:tcPr>
            <w:tcW w:w="1334" w:type="dxa"/>
            <w:vMerge w:val="continue"/>
            <w:tcBorders>
              <w:left w:val="single" w:color="auto" w:sz="4" w:space="0"/>
              <w:right w:val="single" w:color="auto" w:sz="4" w:space="0"/>
            </w:tcBorders>
            <w:vAlign w:val="center"/>
          </w:tcPr>
          <w:p/>
        </w:tc>
        <w:tc>
          <w:tcPr>
            <w:tcW w:w="1382" w:type="dxa"/>
            <w:vMerge w:val="continue"/>
            <w:tcBorders>
              <w:left w:val="single" w:color="auto" w:sz="4" w:space="0"/>
              <w:right w:val="single" w:color="auto" w:sz="4" w:space="0"/>
            </w:tcBorders>
            <w:vAlign w:val="center"/>
          </w:tcPr>
          <w:p/>
        </w:tc>
        <w:tc>
          <w:tcPr>
            <w:tcW w:w="2330" w:type="dxa"/>
            <w:tcBorders>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sz w:val="21"/>
                <w:szCs w:val="21"/>
              </w:rPr>
              <w:t>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051" w:type="dxa"/>
            <w:gridSpan w:val="2"/>
            <w:vMerge w:val="continue"/>
            <w:tcBorders>
              <w:left w:val="single" w:color="auto" w:sz="4" w:space="0"/>
              <w:bottom w:val="single" w:color="auto" w:sz="4" w:space="0"/>
              <w:right w:val="single" w:color="auto" w:sz="4" w:space="0"/>
            </w:tcBorders>
            <w:vAlign w:val="center"/>
          </w:tcPr>
          <w:p/>
        </w:tc>
        <w:tc>
          <w:tcPr>
            <w:tcW w:w="493"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6</w:t>
            </w:r>
          </w:p>
        </w:tc>
        <w:tc>
          <w:tcPr>
            <w:tcW w:w="5066" w:type="dxa"/>
            <w:gridSpan w:val="4"/>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出现生态环境监测数据造假的。</w:t>
            </w:r>
          </w:p>
        </w:tc>
        <w:tc>
          <w:tcPr>
            <w:tcW w:w="1283" w:type="dxa"/>
            <w:vMerge w:val="continue"/>
            <w:tcBorders>
              <w:left w:val="single" w:color="auto" w:sz="4" w:space="0"/>
              <w:bottom w:val="single" w:color="auto" w:sz="4" w:space="0"/>
              <w:right w:val="single" w:color="auto" w:sz="4" w:space="0"/>
            </w:tcBorders>
            <w:vAlign w:val="center"/>
          </w:tcPr>
          <w:p/>
        </w:tc>
        <w:tc>
          <w:tcPr>
            <w:tcW w:w="1234" w:type="dxa"/>
            <w:vMerge w:val="continue"/>
            <w:tcBorders>
              <w:left w:val="single" w:color="auto" w:sz="4" w:space="0"/>
              <w:bottom w:val="single" w:color="auto" w:sz="4" w:space="0"/>
              <w:right w:val="single" w:color="auto" w:sz="4" w:space="0"/>
            </w:tcBorders>
            <w:vAlign w:val="center"/>
          </w:tcPr>
          <w:p/>
        </w:tc>
        <w:tc>
          <w:tcPr>
            <w:tcW w:w="1334" w:type="dxa"/>
            <w:vMerge w:val="continue"/>
            <w:tcBorders>
              <w:left w:val="single" w:color="auto" w:sz="4" w:space="0"/>
              <w:bottom w:val="single" w:color="auto" w:sz="4" w:space="0"/>
              <w:right w:val="single" w:color="auto" w:sz="4" w:space="0"/>
            </w:tcBorders>
            <w:vAlign w:val="center"/>
          </w:tcPr>
          <w:p/>
        </w:tc>
        <w:tc>
          <w:tcPr>
            <w:tcW w:w="1382" w:type="dxa"/>
            <w:vMerge w:val="continue"/>
            <w:tcBorders>
              <w:left w:val="single" w:color="auto" w:sz="4" w:space="0"/>
              <w:bottom w:val="single" w:color="auto" w:sz="4" w:space="0"/>
              <w:right w:val="single" w:color="auto" w:sz="4" w:space="0"/>
            </w:tcBorders>
            <w:vAlign w:val="center"/>
          </w:tcPr>
          <w:p/>
        </w:tc>
        <w:tc>
          <w:tcPr>
            <w:tcW w:w="2330"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b/>
                <w:bCs/>
                <w:sz w:val="21"/>
                <w:szCs w:val="21"/>
              </w:rPr>
            </w:pPr>
            <w:r>
              <w:rPr>
                <w:rFonts w:hint="eastAsia" w:cs="Arial Unicode MS"/>
                <w:sz w:val="21"/>
                <w:szCs w:val="21"/>
              </w:rPr>
              <w:t>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生</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态</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制</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度</w:t>
            </w:r>
          </w:p>
        </w:tc>
        <w:tc>
          <w:tcPr>
            <w:tcW w:w="58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（一）</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目标责任体系与制度建设</w:t>
            </w: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生态文明建设规划</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制定实施</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正在制定</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正在制定</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实施</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实施</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党委政府对生态文明建设重大目标任务部署情况</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有效开展</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有效开展</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有效开展</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有效开展</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县委办公室、县政府办公室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生态文明建设工作占党政实绩考核的比例</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25</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sz w:val="21"/>
                <w:szCs w:val="21"/>
              </w:rPr>
              <w:t>≥20</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县委组织部（县考核办）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4</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河长制</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全面实施</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全面实施</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全面实施</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全面实施</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县水利局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5</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生态环境信息公开率</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w:t>
            </w:r>
            <w:r>
              <w:rPr>
                <w:rFonts w:cs="Arial Unicode MS"/>
                <w:sz w:val="21"/>
                <w:szCs w:val="21"/>
              </w:rPr>
              <w:t>00</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w:t>
            </w:r>
            <w:r>
              <w:rPr>
                <w:rFonts w:cs="Arial Unicode MS"/>
                <w:sz w:val="21"/>
                <w:szCs w:val="21"/>
              </w:rPr>
              <w:t>00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6</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依法开展规划环境影响评价</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p>
            <w:pPr>
              <w:adjustRightInd w:val="0"/>
              <w:snapToGrid w:val="0"/>
              <w:spacing w:line="240" w:lineRule="atLeast"/>
              <w:ind w:firstLine="0" w:firstLineChars="0"/>
              <w:jc w:val="center"/>
              <w:rPr>
                <w:rFonts w:cs="Arial Unicode MS"/>
                <w:sz w:val="21"/>
                <w:szCs w:val="21"/>
              </w:rPr>
            </w:pPr>
            <w:r>
              <w:rPr>
                <w:rFonts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市：100</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县：开展</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市：约束性</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县：参考性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开展</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开展</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开展</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671" w:hRule="atLeast"/>
          <w:jc w:val="center"/>
        </w:trPr>
        <w:tc>
          <w:tcPr>
            <w:tcW w:w="462"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生</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态</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安</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全</w:t>
            </w:r>
          </w:p>
        </w:tc>
        <w:tc>
          <w:tcPr>
            <w:tcW w:w="589"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（二）</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生态环境质量改善</w:t>
            </w:r>
          </w:p>
        </w:tc>
        <w:tc>
          <w:tcPr>
            <w:tcW w:w="493"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7</w:t>
            </w:r>
          </w:p>
        </w:tc>
        <w:tc>
          <w:tcPr>
            <w:tcW w:w="2383"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环境空气质量</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优良天数比例</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PM</w:t>
            </w:r>
            <w:r>
              <w:rPr>
                <w:rFonts w:hint="eastAsia" w:cs="Arial Unicode MS"/>
                <w:sz w:val="21"/>
                <w:szCs w:val="21"/>
                <w:vertAlign w:val="subscript"/>
              </w:rPr>
              <w:t>2.5</w:t>
            </w:r>
            <w:r>
              <w:rPr>
                <w:rFonts w:hint="eastAsia" w:cs="Arial Unicode MS"/>
                <w:sz w:val="21"/>
                <w:szCs w:val="21"/>
              </w:rPr>
              <w:t>浓度下降幅度</w:t>
            </w:r>
          </w:p>
        </w:tc>
        <w:tc>
          <w:tcPr>
            <w:tcW w:w="750"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pacing w:val="-4"/>
                <w:sz w:val="21"/>
                <w:szCs w:val="21"/>
              </w:rPr>
              <w:t>完成上级规定的考核任务；保持稳定或持续改善</w:t>
            </w:r>
          </w:p>
        </w:tc>
        <w:tc>
          <w:tcPr>
            <w:tcW w:w="790"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完成上级规定的考核任务。</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（1）优良天数比例：95.9%；</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（2）PM</w:t>
            </w:r>
            <w:r>
              <w:rPr>
                <w:rFonts w:hint="eastAsia" w:cs="Arial Unicode MS"/>
                <w:sz w:val="21"/>
                <w:szCs w:val="21"/>
                <w:vertAlign w:val="subscript"/>
              </w:rPr>
              <w:t>2.5</w:t>
            </w:r>
            <w:r>
              <w:rPr>
                <w:rFonts w:hint="eastAsia" w:cs="Arial Unicode MS"/>
                <w:sz w:val="21"/>
                <w:szCs w:val="21"/>
              </w:rPr>
              <w:t>浓度：30</w:t>
            </w:r>
            <w:r>
              <w:rPr>
                <w:rFonts w:hint="eastAsia" w:ascii="方正仿宋_GBK" w:cs="方正仿宋_GBK"/>
                <w:sz w:val="21"/>
                <w:szCs w:val="21"/>
              </w:rPr>
              <w:t>μ</w:t>
            </w:r>
            <w:r>
              <w:rPr>
                <w:rFonts w:hint="eastAsia" w:cs="Arial Unicode MS"/>
                <w:sz w:val="21"/>
                <w:szCs w:val="21"/>
              </w:rPr>
              <w:t>g/m</w:t>
            </w:r>
            <w:r>
              <w:rPr>
                <w:rFonts w:hint="eastAsia" w:cs="Arial Unicode MS"/>
                <w:sz w:val="21"/>
                <w:szCs w:val="21"/>
                <w:vertAlign w:val="superscript"/>
              </w:rPr>
              <w:t>3</w:t>
            </w:r>
            <w:r>
              <w:rPr>
                <w:rFonts w:hint="eastAsia" w:cs="Arial Unicode MS"/>
                <w:sz w:val="21"/>
                <w:szCs w:val="21"/>
              </w:rPr>
              <w:t>；</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（3）基本消除重污染天气。</w:t>
            </w:r>
          </w:p>
        </w:tc>
        <w:tc>
          <w:tcPr>
            <w:tcW w:w="1234"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pacing w:val="-4"/>
                <w:sz w:val="21"/>
                <w:szCs w:val="21"/>
              </w:rPr>
              <w:t>完成上级规定的考核任务；保持稳定或持续改善</w:t>
            </w:r>
          </w:p>
        </w:tc>
        <w:tc>
          <w:tcPr>
            <w:tcW w:w="1382"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left"/>
              <w:rPr>
                <w:rFonts w:cs="Arial Unicode MS"/>
                <w:spacing w:val="-4"/>
                <w:sz w:val="21"/>
                <w:szCs w:val="21"/>
              </w:rPr>
            </w:pPr>
            <w:r>
              <w:rPr>
                <w:rFonts w:hint="eastAsia" w:cs="Arial Unicode MS"/>
                <w:spacing w:val="-4"/>
                <w:sz w:val="21"/>
                <w:szCs w:val="21"/>
              </w:rPr>
              <w:t>完成上级规定的考核任务；保持稳定或持续改善</w:t>
            </w:r>
          </w:p>
        </w:tc>
        <w:tc>
          <w:tcPr>
            <w:tcW w:w="2330"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pacing w:val="-4"/>
                <w:sz w:val="21"/>
                <w:szCs w:val="21"/>
              </w:rPr>
              <w:t>县城管局、县住房城乡建委、县经济信息委、县发展改革委、县民政局、县公安局、县市场监管局、县农业农村委、县交通局、县商务委、县机关事务中心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2"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水环境质量</w:t>
            </w:r>
          </w:p>
          <w:p>
            <w:pPr>
              <w:adjustRightInd w:val="0"/>
              <w:snapToGrid w:val="0"/>
              <w:spacing w:line="240" w:lineRule="atLeast"/>
              <w:ind w:firstLine="0" w:firstLineChars="0"/>
              <w:jc w:val="left"/>
              <w:rPr>
                <w:rFonts w:cs="Arial Unicode MS"/>
                <w:spacing w:val="-4"/>
                <w:sz w:val="21"/>
                <w:szCs w:val="21"/>
              </w:rPr>
            </w:pPr>
            <w:r>
              <w:rPr>
                <w:rFonts w:hint="eastAsia" w:cs="Arial Unicode MS"/>
                <w:spacing w:val="-4"/>
                <w:sz w:val="21"/>
                <w:szCs w:val="21"/>
              </w:rPr>
              <w:t>水质达到或优于Ⅲ类比例提高幅度</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劣V类水体比例下降幅度</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黑臭水体消除比例</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pacing w:val="-4"/>
                <w:sz w:val="21"/>
                <w:szCs w:val="21"/>
              </w:rPr>
              <w:t>完成上级规定的考核任务；保持稳定或持续改善</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pacing w:val="-4"/>
                <w:sz w:val="21"/>
                <w:szCs w:val="21"/>
              </w:rPr>
            </w:pPr>
            <w:r>
              <w:rPr>
                <w:rFonts w:hint="eastAsia" w:cs="Arial Unicode MS"/>
                <w:spacing w:val="-4"/>
                <w:sz w:val="21"/>
                <w:szCs w:val="21"/>
              </w:rPr>
              <w:t>完成上级规定的考核任务。</w:t>
            </w:r>
          </w:p>
          <w:p>
            <w:pPr>
              <w:numPr>
                <w:ilvl w:val="0"/>
                <w:numId w:val="6"/>
              </w:numPr>
              <w:adjustRightInd w:val="0"/>
              <w:snapToGrid w:val="0"/>
              <w:spacing w:line="240" w:lineRule="atLeast"/>
              <w:ind w:firstLineChars="0"/>
              <w:jc w:val="left"/>
              <w:rPr>
                <w:rFonts w:cs="Arial Unicode MS"/>
                <w:sz w:val="21"/>
                <w:szCs w:val="21"/>
              </w:rPr>
            </w:pPr>
            <w:r>
              <w:rPr>
                <w:rFonts w:hint="eastAsia" w:cs="Arial Unicode MS"/>
                <w:sz w:val="21"/>
                <w:szCs w:val="21"/>
              </w:rPr>
              <w:t>水质达到或优于Ⅲ类比例100%；</w:t>
            </w:r>
          </w:p>
          <w:p>
            <w:pPr>
              <w:numPr>
                <w:ilvl w:val="0"/>
                <w:numId w:val="6"/>
              </w:numPr>
              <w:adjustRightInd w:val="0"/>
              <w:snapToGrid w:val="0"/>
              <w:spacing w:line="240" w:lineRule="atLeast"/>
              <w:ind w:firstLineChars="0"/>
              <w:jc w:val="left"/>
              <w:rPr>
                <w:rFonts w:cs="Arial Unicode MS"/>
                <w:sz w:val="21"/>
                <w:szCs w:val="21"/>
              </w:rPr>
            </w:pPr>
            <w:r>
              <w:rPr>
                <w:rFonts w:hint="eastAsia" w:cs="Arial Unicode MS"/>
                <w:sz w:val="21"/>
                <w:szCs w:val="21"/>
              </w:rPr>
              <w:t>无劣Ⅴ类水体；（3）基本消除黑臭水体。</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pacing w:val="-4"/>
                <w:sz w:val="21"/>
                <w:szCs w:val="21"/>
              </w:rPr>
              <w:t>完成上级规定的考核任务；保持稳定或持续改善</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pacing w:val="-4"/>
                <w:sz w:val="21"/>
                <w:szCs w:val="21"/>
              </w:rPr>
              <w:t>完成上级规定的考核任务；保持稳定或持续改善</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pacing w:val="-4"/>
                <w:sz w:val="21"/>
                <w:szCs w:val="21"/>
              </w:rPr>
              <w:t>县水利局、县住房城乡建委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823"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9</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pacing w:val="-6"/>
                <w:sz w:val="21"/>
                <w:szCs w:val="21"/>
              </w:rPr>
            </w:pPr>
            <w:r>
              <w:rPr>
                <w:rFonts w:hint="eastAsia" w:cs="Arial Unicode MS"/>
                <w:spacing w:val="-6"/>
                <w:sz w:val="21"/>
                <w:szCs w:val="21"/>
              </w:rPr>
              <w:t>近岸海域水质优良（一、二类）比例</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pacing w:val="-4"/>
                <w:sz w:val="21"/>
                <w:szCs w:val="21"/>
              </w:rPr>
              <w:t>完成上级规定的考核任务；保持稳定或持续改善</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523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不涉及</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662" w:hRule="atLeast"/>
          <w:jc w:val="center"/>
        </w:trPr>
        <w:tc>
          <w:tcPr>
            <w:tcW w:w="462" w:type="dxa"/>
            <w:vMerge w:val="continue"/>
            <w:tcBorders>
              <w:left w:val="single" w:color="auto" w:sz="4" w:space="0"/>
              <w:right w:val="single" w:color="auto" w:sz="4" w:space="0"/>
            </w:tcBorders>
            <w:vAlign w:val="center"/>
          </w:tcPr>
          <w:p/>
        </w:tc>
        <w:tc>
          <w:tcPr>
            <w:tcW w:w="589"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（三）</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生态系统保护</w:t>
            </w: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生态环境状况指数</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湿润地区</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≥60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宋体"/>
                <w:sz w:val="21"/>
              </w:rPr>
              <w:t>7</w:t>
            </w:r>
            <w:r>
              <w:rPr>
                <w:rFonts w:cs="宋体"/>
                <w:sz w:val="21"/>
              </w:rPr>
              <w:t>2.93</w:t>
            </w:r>
            <w:r>
              <w:rPr>
                <w:rStyle w:val="33"/>
                <w:rFonts w:cs="宋体"/>
                <w:sz w:val="21"/>
              </w:rPr>
              <w:footnoteReference w:id="5"/>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宋体"/>
                <w:sz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≥70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保持稳定</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pacing w:val="-4"/>
                <w:sz w:val="21"/>
                <w:szCs w:val="21"/>
              </w:rPr>
              <w:t>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648" w:hRule="atLeast"/>
          <w:jc w:val="center"/>
        </w:trPr>
        <w:tc>
          <w:tcPr>
            <w:tcW w:w="462" w:type="dxa"/>
            <w:vMerge w:val="continue"/>
            <w:tcBorders>
              <w:left w:val="single" w:color="auto" w:sz="4" w:space="0"/>
              <w:bottom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11</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林草覆盖率</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山区</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≥60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63.4</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≥65</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保持稳定</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p>
          <w:p>
            <w:pPr>
              <w:adjustRightInd w:val="0"/>
              <w:snapToGrid w:val="0"/>
              <w:spacing w:line="240" w:lineRule="atLeast"/>
              <w:ind w:firstLine="0" w:firstLineChars="0"/>
              <w:jc w:val="center"/>
              <w:rPr>
                <w:rFonts w:cs="Arial Unicode MS"/>
                <w:sz w:val="21"/>
                <w:szCs w:val="21"/>
              </w:rPr>
            </w:pPr>
            <w:r>
              <w:rPr>
                <w:rFonts w:hint="eastAsia" w:cs="Arial Unicode MS"/>
                <w:spacing w:val="-4"/>
                <w:sz w:val="21"/>
                <w:szCs w:val="21"/>
              </w:rPr>
              <w:t>县林业局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89" w:hRule="atLeast"/>
          <w:jc w:val="center"/>
        </w:trPr>
        <w:tc>
          <w:tcPr>
            <w:tcW w:w="462"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p>
        </w:tc>
        <w:tc>
          <w:tcPr>
            <w:tcW w:w="589" w:type="dxa"/>
            <w:vMerge w:val="continue"/>
            <w:tcBorders>
              <w:left w:val="single" w:color="auto" w:sz="4" w:space="0"/>
              <w:right w:val="single" w:color="auto" w:sz="4" w:space="0"/>
            </w:tcBorders>
            <w:vAlign w:val="center"/>
          </w:tcPr>
          <w:p/>
        </w:tc>
        <w:tc>
          <w:tcPr>
            <w:tcW w:w="493"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12</w:t>
            </w:r>
          </w:p>
        </w:tc>
        <w:tc>
          <w:tcPr>
            <w:tcW w:w="2383"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生物多样性保护</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国家重点保护野生动植物保护率</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外来物种入侵</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特有性或指示性水生物种保持率</w:t>
            </w:r>
          </w:p>
        </w:tc>
        <w:tc>
          <w:tcPr>
            <w:tcW w:w="750"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r>
              <w:rPr>
                <w:rFonts w:cs="Arial Unicode MS"/>
                <w:sz w:val="21"/>
                <w:szCs w:val="21"/>
              </w:rPr>
              <w:t>%</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p>
            <w:pPr>
              <w:adjustRightInd w:val="0"/>
              <w:snapToGrid w:val="0"/>
              <w:spacing w:line="240" w:lineRule="atLeast"/>
              <w:ind w:firstLine="0" w:firstLineChars="0"/>
              <w:jc w:val="center"/>
              <w:rPr>
                <w:rFonts w:cs="Arial Unicode MS"/>
                <w:sz w:val="21"/>
                <w:szCs w:val="21"/>
              </w:rPr>
            </w:pPr>
            <w:r>
              <w:rPr>
                <w:rFonts w:cs="Arial Unicode MS"/>
                <w:sz w:val="21"/>
                <w:szCs w:val="21"/>
              </w:rPr>
              <w:t>%</w:t>
            </w:r>
          </w:p>
        </w:tc>
        <w:tc>
          <w:tcPr>
            <w:tcW w:w="1143"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≥95</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不明显</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不降低</w:t>
            </w:r>
          </w:p>
        </w:tc>
        <w:tc>
          <w:tcPr>
            <w:tcW w:w="790"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cs="Arial Unicode MS"/>
                <w:sz w:val="21"/>
                <w:szCs w:val="21"/>
              </w:rPr>
              <w:t>98</w:t>
            </w:r>
          </w:p>
        </w:tc>
        <w:tc>
          <w:tcPr>
            <w:tcW w:w="1234"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≥95</w:t>
            </w:r>
          </w:p>
        </w:tc>
        <w:tc>
          <w:tcPr>
            <w:tcW w:w="1382"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保持稳定</w:t>
            </w:r>
          </w:p>
        </w:tc>
        <w:tc>
          <w:tcPr>
            <w:tcW w:w="2330"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县林业局、县农业农村委、县生态环境局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83"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vMerge w:val="continue"/>
            <w:tcBorders>
              <w:left w:val="single" w:color="auto" w:sz="4" w:space="0"/>
              <w:right w:val="single" w:color="auto" w:sz="4" w:space="0"/>
            </w:tcBorders>
            <w:vAlign w:val="center"/>
          </w:tcPr>
          <w:p/>
        </w:tc>
        <w:tc>
          <w:tcPr>
            <w:tcW w:w="2383" w:type="dxa"/>
            <w:vMerge w:val="continue"/>
            <w:tcBorders>
              <w:left w:val="single" w:color="auto" w:sz="4" w:space="0"/>
              <w:right w:val="single" w:color="auto" w:sz="4" w:space="0"/>
            </w:tcBorders>
            <w:vAlign w:val="center"/>
          </w:tcPr>
          <w:p/>
        </w:tc>
        <w:tc>
          <w:tcPr>
            <w:tcW w:w="750" w:type="dxa"/>
            <w:vMerge w:val="continue"/>
            <w:tcBorders>
              <w:left w:val="single" w:color="auto" w:sz="4" w:space="0"/>
              <w:right w:val="single" w:color="auto" w:sz="4" w:space="0"/>
            </w:tcBorders>
            <w:vAlign w:val="center"/>
          </w:tcPr>
          <w:p/>
        </w:tc>
        <w:tc>
          <w:tcPr>
            <w:tcW w:w="1143" w:type="dxa"/>
            <w:vMerge w:val="continue"/>
            <w:tcBorders>
              <w:left w:val="single" w:color="auto" w:sz="4" w:space="0"/>
              <w:right w:val="single" w:color="auto" w:sz="4" w:space="0"/>
            </w:tcBorders>
            <w:vAlign w:val="center"/>
          </w:tcPr>
          <w:p/>
        </w:tc>
        <w:tc>
          <w:tcPr>
            <w:tcW w:w="790" w:type="dxa"/>
            <w:vMerge w:val="continue"/>
            <w:tcBorders>
              <w:left w:val="single" w:color="auto" w:sz="4" w:space="0"/>
              <w:right w:val="single" w:color="auto" w:sz="4" w:space="0"/>
            </w:tcBorders>
            <w:vAlign w:val="center"/>
          </w:tcP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不明显</w:t>
            </w:r>
          </w:p>
        </w:tc>
        <w:tc>
          <w:tcPr>
            <w:tcW w:w="1234" w:type="dxa"/>
            <w:tcBorders>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不明显</w:t>
            </w:r>
          </w:p>
        </w:tc>
        <w:tc>
          <w:tcPr>
            <w:tcW w:w="1382" w:type="dxa"/>
            <w:tcBorders>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不明显</w:t>
            </w:r>
          </w:p>
        </w:tc>
        <w:tc>
          <w:tcPr>
            <w:tcW w:w="2330" w:type="dxa"/>
            <w:vMerge w:val="continue"/>
            <w:tcBorders>
              <w:left w:val="single" w:color="auto" w:sz="4" w:space="0"/>
              <w:right w:val="single" w:color="auto" w:sz="4" w:space="0"/>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34"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vMerge w:val="continue"/>
            <w:tcBorders>
              <w:left w:val="single" w:color="auto" w:sz="4" w:space="0"/>
              <w:bottom w:val="single" w:color="auto" w:sz="4" w:space="0"/>
              <w:right w:val="single" w:color="auto" w:sz="4" w:space="0"/>
            </w:tcBorders>
            <w:vAlign w:val="center"/>
          </w:tcPr>
          <w:p/>
        </w:tc>
        <w:tc>
          <w:tcPr>
            <w:tcW w:w="2383" w:type="dxa"/>
            <w:vMerge w:val="continue"/>
            <w:tcBorders>
              <w:left w:val="single" w:color="auto" w:sz="4" w:space="0"/>
              <w:bottom w:val="single" w:color="auto" w:sz="4" w:space="0"/>
              <w:right w:val="single" w:color="auto" w:sz="4" w:space="0"/>
            </w:tcBorders>
            <w:vAlign w:val="center"/>
          </w:tcPr>
          <w:p/>
        </w:tc>
        <w:tc>
          <w:tcPr>
            <w:tcW w:w="750" w:type="dxa"/>
            <w:vMerge w:val="continue"/>
            <w:tcBorders>
              <w:left w:val="single" w:color="auto" w:sz="4" w:space="0"/>
              <w:bottom w:val="single" w:color="auto" w:sz="4" w:space="0"/>
              <w:right w:val="single" w:color="auto" w:sz="4" w:space="0"/>
            </w:tcBorders>
            <w:vAlign w:val="center"/>
          </w:tcPr>
          <w:p/>
        </w:tc>
        <w:tc>
          <w:tcPr>
            <w:tcW w:w="1143" w:type="dxa"/>
            <w:vMerge w:val="continue"/>
            <w:tcBorders>
              <w:left w:val="single" w:color="auto" w:sz="4" w:space="0"/>
              <w:bottom w:val="single" w:color="auto" w:sz="4" w:space="0"/>
              <w:right w:val="single" w:color="auto" w:sz="4" w:space="0"/>
            </w:tcBorders>
            <w:vAlign w:val="center"/>
          </w:tcPr>
          <w:p/>
        </w:tc>
        <w:tc>
          <w:tcPr>
            <w:tcW w:w="790" w:type="dxa"/>
            <w:vMerge w:val="continue"/>
            <w:tcBorders>
              <w:left w:val="single" w:color="auto" w:sz="4" w:space="0"/>
              <w:bottom w:val="single" w:color="auto" w:sz="4" w:space="0"/>
              <w:right w:val="single" w:color="auto" w:sz="4" w:space="0"/>
            </w:tcBorders>
            <w:vAlign w:val="center"/>
          </w:tcP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不降低</w:t>
            </w:r>
          </w:p>
        </w:tc>
        <w:tc>
          <w:tcPr>
            <w:tcW w:w="1234"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不降低</w:t>
            </w:r>
          </w:p>
        </w:tc>
        <w:tc>
          <w:tcPr>
            <w:tcW w:w="1382"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不降低</w:t>
            </w:r>
          </w:p>
        </w:tc>
        <w:tc>
          <w:tcPr>
            <w:tcW w:w="2330" w:type="dxa"/>
            <w:vMerge w:val="continue"/>
            <w:tcBorders>
              <w:left w:val="single" w:color="auto" w:sz="4" w:space="0"/>
              <w:bottom w:val="single" w:color="auto" w:sz="4" w:space="0"/>
              <w:right w:val="single" w:color="auto" w:sz="4" w:space="0"/>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13</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海岸生态修复</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自然岸线修复长度</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滨海湿地修复面积</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公里</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公顷</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完成上级管控目标</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523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不涉及</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462" w:type="dxa"/>
            <w:vMerge w:val="continue"/>
            <w:tcBorders>
              <w:left w:val="single" w:color="auto" w:sz="4" w:space="0"/>
              <w:right w:val="single" w:color="auto" w:sz="4" w:space="0"/>
            </w:tcBorders>
            <w:vAlign w:val="center"/>
          </w:tcPr>
          <w:p/>
        </w:tc>
        <w:tc>
          <w:tcPr>
            <w:tcW w:w="58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（四）</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生态环境风险防范</w:t>
            </w: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14</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危险废物利用处置率</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w:t>
            </w:r>
            <w:r>
              <w:rPr>
                <w:rFonts w:cs="Arial Unicode MS"/>
                <w:sz w:val="21"/>
                <w:szCs w:val="21"/>
              </w:rPr>
              <w:t>00</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w:t>
            </w:r>
            <w:r>
              <w:rPr>
                <w:rFonts w:cs="Arial Unicode MS"/>
                <w:sz w:val="21"/>
                <w:szCs w:val="21"/>
              </w:rPr>
              <w:t>00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w:t>
            </w:r>
            <w:r>
              <w:rPr>
                <w:rFonts w:cs="Arial Unicode MS"/>
                <w:sz w:val="21"/>
                <w:szCs w:val="21"/>
              </w:rPr>
              <w:t>00</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县卫生健康委、县经济信息委、县城管局、县商务委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15</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建设用地土壤污染风险管控和修复名录制度</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建立</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建立</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完善</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完善</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县生态环境局、县规划自然资源局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left w:val="single" w:color="auto" w:sz="4" w:space="0"/>
              <w:bottom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16</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pacing w:val="-6"/>
                <w:sz w:val="21"/>
                <w:szCs w:val="21"/>
              </w:rPr>
            </w:pPr>
            <w:r>
              <w:rPr>
                <w:rFonts w:hint="eastAsia" w:cs="Arial Unicode MS"/>
                <w:spacing w:val="-6"/>
                <w:sz w:val="21"/>
                <w:szCs w:val="21"/>
              </w:rPr>
              <w:t>突发生态环境事件应急管理机制</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建立</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建立</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完善</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完善</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县应急管理局、县生态环境局、县消防救援大队、县交通局、县卫生健康委、县经济信息委、县商务委、县住房城乡建委、县农业农村委、县人民医院、县公安交巡警大队、长江奉节航道管理处等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生</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态</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空</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间</w:t>
            </w:r>
          </w:p>
        </w:tc>
        <w:tc>
          <w:tcPr>
            <w:tcW w:w="58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（五）</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空间格局优化</w:t>
            </w: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17</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自然生态空间</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生态保护红线</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自然保护地</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lang w:val="zh-CN"/>
              </w:rPr>
              <w:t>面积不减少，性质不改变，功能</w:t>
            </w:r>
            <w:r>
              <w:rPr>
                <w:rFonts w:hint="eastAsia" w:cs="Arial Unicode MS"/>
                <w:sz w:val="21"/>
                <w:szCs w:val="21"/>
              </w:rPr>
              <w:t>不降低</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面积不减少，性质不改变，功能不降低</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面积不减少，性质不改变，功能不降低</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面积不减少，性质不改变，功能不降低</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县生态环境局、县规划自然资源局、县林业局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18</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自然岸线保有率</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pacing w:val="-4"/>
                <w:sz w:val="21"/>
                <w:szCs w:val="21"/>
              </w:rPr>
              <w:t>完成上级管控目标</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523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不涉及</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19</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河湖岸线保护率</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pacing w:val="-4"/>
                <w:sz w:val="21"/>
                <w:szCs w:val="21"/>
              </w:rPr>
              <w:t>完成上级管控目标</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宋体"/>
                <w:kern w:val="0"/>
                <w:sz w:val="21"/>
              </w:rPr>
              <w:t>完成上级管控目标</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宋体"/>
                <w:kern w:val="0"/>
                <w:sz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pacing w:val="-4"/>
                <w:sz w:val="21"/>
                <w:szCs w:val="21"/>
              </w:rPr>
              <w:t>完成上级管控目标</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pacing w:val="-4"/>
                <w:sz w:val="21"/>
                <w:szCs w:val="21"/>
              </w:rPr>
              <w:t>完成上级管控目标</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pacing w:val="-4"/>
                <w:sz w:val="21"/>
                <w:szCs w:val="21"/>
              </w:rPr>
              <w:t>县水利局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生</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态</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经</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济</w:t>
            </w:r>
          </w:p>
        </w:tc>
        <w:tc>
          <w:tcPr>
            <w:tcW w:w="589"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（六）</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资源节约与利用</w:t>
            </w: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20</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单位地区生产总值能耗</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cs="Arial Unicode MS"/>
                <w:sz w:val="21"/>
                <w:szCs w:val="21"/>
              </w:rPr>
              <w:t>吨标准煤</w:t>
            </w:r>
            <w:r>
              <w:rPr>
                <w:rFonts w:hint="eastAsia" w:cs="Arial Unicode MS"/>
                <w:sz w:val="21"/>
                <w:szCs w:val="21"/>
              </w:rPr>
              <w:t>/</w:t>
            </w:r>
            <w:r>
              <w:rPr>
                <w:rFonts w:cs="Arial Unicode MS"/>
                <w:sz w:val="21"/>
                <w:szCs w:val="21"/>
              </w:rPr>
              <w:t>万元</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pacing w:val="-4"/>
                <w:sz w:val="21"/>
                <w:szCs w:val="21"/>
              </w:rPr>
              <w:t>完成上级规定的目标任务；保持稳定或持续改善</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cs="Arial Unicode MS"/>
                <w:sz w:val="21"/>
                <w:szCs w:val="21"/>
              </w:rPr>
            </w:pPr>
            <w:r>
              <w:rPr>
                <w:rFonts w:hint="eastAsia" w:cs="宋体"/>
                <w:kern w:val="0"/>
                <w:sz w:val="21"/>
              </w:rPr>
              <w:t>完成上级规定的目标任务</w:t>
            </w:r>
          </w:p>
        </w:tc>
        <w:tc>
          <w:tcPr>
            <w:tcW w:w="12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cs="宋体"/>
                <w:kern w:val="0"/>
                <w:sz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完成上级规定的目标任务；保持稳定或持续改善</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10"/>
                <w:sz w:val="21"/>
                <w:szCs w:val="21"/>
              </w:rPr>
            </w:pPr>
            <w:r>
              <w:rPr>
                <w:rFonts w:hint="eastAsia" w:cs="Arial Unicode MS"/>
                <w:sz w:val="21"/>
                <w:szCs w:val="21"/>
              </w:rPr>
              <w:t>完成上级规定的目标任务；保持稳定或持续改善</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pacing w:val="-10"/>
                <w:sz w:val="21"/>
                <w:szCs w:val="21"/>
              </w:rPr>
              <w:t>县发展改革委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21</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单位地区生产总值用水量</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cs="Arial Unicode MS"/>
                <w:sz w:val="21"/>
                <w:szCs w:val="21"/>
              </w:rPr>
              <w:t>立方米</w:t>
            </w:r>
            <w:r>
              <w:rPr>
                <w:rFonts w:hint="eastAsia" w:cs="Arial Unicode MS"/>
                <w:sz w:val="21"/>
                <w:szCs w:val="21"/>
              </w:rPr>
              <w:t>/</w:t>
            </w:r>
            <w:r>
              <w:rPr>
                <w:rFonts w:cs="Arial Unicode MS"/>
                <w:sz w:val="21"/>
                <w:szCs w:val="21"/>
              </w:rPr>
              <w:t>万元</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pacing w:val="-4"/>
                <w:sz w:val="21"/>
                <w:szCs w:val="21"/>
              </w:rPr>
              <w:t>完成上级规定的目标任务；保持稳定或持续改善</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cs="Arial Unicode MS"/>
                <w:sz w:val="21"/>
                <w:szCs w:val="21"/>
              </w:rPr>
            </w:pPr>
            <w:r>
              <w:rPr>
                <w:rFonts w:hint="eastAsia" w:cs="Arial Unicode MS"/>
                <w:spacing w:val="-10"/>
                <w:sz w:val="21"/>
                <w:szCs w:val="21"/>
              </w:rPr>
              <w:t>完成上级规定的目标任务，</w:t>
            </w:r>
            <w:r>
              <w:rPr>
                <w:rFonts w:hint="eastAsia" w:cs="宋体"/>
                <w:kern w:val="0"/>
                <w:sz w:val="21"/>
              </w:rPr>
              <w:t>29.96</w:t>
            </w:r>
          </w:p>
        </w:tc>
        <w:tc>
          <w:tcPr>
            <w:tcW w:w="12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cs="Arial Unicode MS"/>
                <w:spacing w:val="-10"/>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完成上级规定的目标任务；保持稳定或持续改善</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完成上级规定的目标任务；保持稳定或持续改善</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pacing w:val="-10"/>
                <w:sz w:val="21"/>
                <w:szCs w:val="21"/>
              </w:rPr>
              <w:t>县水利局、县经济信息委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22</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单位国内生产总值建设用地使用面积下降率</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≥4.5</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cs="Arial Unicode MS"/>
                <w:sz w:val="21"/>
                <w:szCs w:val="21"/>
              </w:rPr>
            </w:pPr>
            <w:r>
              <w:rPr>
                <w:rFonts w:hint="eastAsia" w:cs="Arial Unicode MS"/>
                <w:sz w:val="21"/>
                <w:szCs w:val="21"/>
              </w:rPr>
              <w:t>10.95</w:t>
            </w:r>
          </w:p>
        </w:tc>
        <w:tc>
          <w:tcPr>
            <w:tcW w:w="123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≥4.5</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≥4.5</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县规划自然资源局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23</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单位地区生产总值二氧化碳排放</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万吨/</w:t>
            </w:r>
            <w:r>
              <w:rPr>
                <w:rFonts w:cs="Arial Unicode MS"/>
                <w:sz w:val="21"/>
                <w:szCs w:val="21"/>
              </w:rPr>
              <w:t>万元</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z w:val="21"/>
                <w:szCs w:val="21"/>
              </w:rPr>
              <w:t>完成上级管控目标</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523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市指标，不考核</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24</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应当实施强制性清洁生产企业通过审核的比例</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pacing w:val="-4"/>
                <w:sz w:val="21"/>
                <w:szCs w:val="21"/>
              </w:rPr>
              <w:t>完成年度审核计划</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523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市指标，不考核</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048"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w:t>
            </w:r>
            <w:r>
              <w:rPr>
                <w:rFonts w:cs="Arial Unicode MS"/>
                <w:sz w:val="21"/>
                <w:szCs w:val="21"/>
              </w:rPr>
              <w:t>5</w:t>
            </w:r>
          </w:p>
        </w:tc>
        <w:tc>
          <w:tcPr>
            <w:tcW w:w="2383"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三大粮食作物化肥农药利用率</w:t>
            </w:r>
          </w:p>
          <w:p>
            <w:pPr>
              <w:pStyle w:val="2"/>
              <w:adjustRightInd w:val="0"/>
              <w:snapToGrid w:val="0"/>
              <w:spacing w:line="240" w:lineRule="atLeast"/>
              <w:ind w:left="0" w:leftChars="0" w:firstLine="0" w:firstLineChars="0"/>
              <w:rPr>
                <w:sz w:val="21"/>
                <w:szCs w:val="21"/>
              </w:rPr>
            </w:pPr>
            <w:r>
              <w:rPr>
                <w:rFonts w:hint="eastAsia"/>
                <w:sz w:val="21"/>
                <w:szCs w:val="21"/>
              </w:rPr>
              <w:t>化肥利用率</w:t>
            </w:r>
          </w:p>
          <w:p>
            <w:pPr>
              <w:pStyle w:val="2"/>
              <w:adjustRightInd w:val="0"/>
              <w:snapToGrid w:val="0"/>
              <w:spacing w:line="240" w:lineRule="atLeast"/>
              <w:ind w:left="0" w:leftChars="0" w:firstLine="0" w:firstLineChars="0"/>
              <w:rPr>
                <w:sz w:val="21"/>
                <w:szCs w:val="21"/>
              </w:rPr>
            </w:pPr>
            <w:r>
              <w:rPr>
                <w:rFonts w:hint="eastAsia"/>
                <w:sz w:val="21"/>
                <w:szCs w:val="21"/>
              </w:rPr>
              <w:t>农药利用率</w:t>
            </w:r>
          </w:p>
        </w:tc>
        <w:tc>
          <w:tcPr>
            <w:tcW w:w="750"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4"/>
                <w:sz w:val="21"/>
                <w:szCs w:val="21"/>
              </w:rPr>
            </w:pPr>
            <w:r>
              <w:rPr>
                <w:rFonts w:hint="eastAsia" w:cs="Arial Unicode MS"/>
                <w:sz w:val="21"/>
                <w:szCs w:val="21"/>
              </w:rPr>
              <w:t>≥</w:t>
            </w:r>
            <w:r>
              <w:rPr>
                <w:rFonts w:cs="Arial Unicode MS"/>
                <w:sz w:val="21"/>
                <w:szCs w:val="21"/>
              </w:rPr>
              <w:t>43</w:t>
            </w:r>
          </w:p>
        </w:tc>
        <w:tc>
          <w:tcPr>
            <w:tcW w:w="790"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cs="Arial Unicode MS"/>
                <w:sz w:val="21"/>
                <w:szCs w:val="21"/>
              </w:rPr>
            </w:pPr>
            <w:r>
              <w:rPr>
                <w:rFonts w:hint="eastAsia" w:cs="Arial Unicode MS"/>
                <w:sz w:val="21"/>
                <w:szCs w:val="21"/>
              </w:rPr>
              <w:t>化肥利用率40.5；</w:t>
            </w:r>
          </w:p>
          <w:p>
            <w:pPr>
              <w:spacing w:line="0" w:lineRule="atLeast"/>
              <w:ind w:firstLine="0" w:firstLineChars="0"/>
              <w:jc w:val="center"/>
              <w:rPr>
                <w:rFonts w:cs="Arial Unicode MS"/>
                <w:sz w:val="21"/>
                <w:szCs w:val="21"/>
              </w:rPr>
            </w:pPr>
            <w:r>
              <w:rPr>
                <w:rFonts w:hint="eastAsia" w:cs="Arial Unicode MS"/>
                <w:sz w:val="21"/>
                <w:szCs w:val="21"/>
              </w:rPr>
              <w:t>农药利用率</w:t>
            </w:r>
            <w:r>
              <w:rPr>
                <w:rFonts w:cs="Arial Unicode MS"/>
                <w:sz w:val="21"/>
                <w:szCs w:val="21"/>
              </w:rPr>
              <w:t>42</w:t>
            </w:r>
          </w:p>
        </w:tc>
        <w:tc>
          <w:tcPr>
            <w:tcW w:w="1234" w:type="dxa"/>
            <w:tcBorders>
              <w:top w:val="single" w:color="auto" w:sz="4" w:space="0"/>
              <w:left w:val="single" w:color="auto" w:sz="4" w:space="0"/>
              <w:right w:val="single" w:color="auto" w:sz="4" w:space="0"/>
            </w:tcBorders>
            <w:vAlign w:val="center"/>
          </w:tcPr>
          <w:p>
            <w:pPr>
              <w:ind w:firstLine="0" w:firstLineChars="0"/>
              <w:jc w:val="center"/>
              <w:rPr>
                <w:rFonts w:cs="Arial Unicode MS"/>
                <w:sz w:val="21"/>
                <w:szCs w:val="21"/>
              </w:rPr>
            </w:pPr>
            <w:r>
              <w:rPr>
                <w:rFonts w:hint="eastAsia" w:cs="Arial Unicode MS"/>
                <w:sz w:val="21"/>
                <w:szCs w:val="21"/>
              </w:rPr>
              <w:t>未达标</w:t>
            </w:r>
          </w:p>
        </w:tc>
        <w:tc>
          <w:tcPr>
            <w:tcW w:w="1334"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r>
              <w:rPr>
                <w:rFonts w:cs="Arial Unicode MS"/>
                <w:sz w:val="21"/>
                <w:szCs w:val="21"/>
              </w:rPr>
              <w:t>43</w:t>
            </w:r>
          </w:p>
        </w:tc>
        <w:tc>
          <w:tcPr>
            <w:tcW w:w="1382" w:type="dxa"/>
            <w:tcBorders>
              <w:top w:val="single" w:color="auto" w:sz="4" w:space="0"/>
              <w:left w:val="single" w:color="auto" w:sz="4" w:space="0"/>
              <w:right w:val="single" w:color="auto" w:sz="4" w:space="0"/>
            </w:tcBorders>
            <w:vAlign w:val="center"/>
          </w:tcPr>
          <w:p>
            <w:pPr>
              <w:ind w:firstLine="0" w:firstLineChars="0"/>
              <w:jc w:val="center"/>
              <w:rPr>
                <w:rFonts w:cs="Arial Unicode MS"/>
                <w:sz w:val="21"/>
                <w:szCs w:val="21"/>
              </w:rPr>
            </w:pPr>
            <w:r>
              <w:rPr>
                <w:rFonts w:hint="eastAsia" w:cs="Arial Unicode MS"/>
                <w:sz w:val="21"/>
                <w:szCs w:val="21"/>
              </w:rPr>
              <w:t>≥</w:t>
            </w:r>
            <w:r>
              <w:rPr>
                <w:rFonts w:cs="Arial Unicode MS"/>
                <w:sz w:val="21"/>
                <w:szCs w:val="21"/>
              </w:rPr>
              <w:t>43</w:t>
            </w:r>
          </w:p>
        </w:tc>
        <w:tc>
          <w:tcPr>
            <w:tcW w:w="2330"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县农业农村委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500" w:hRule="atLeast"/>
          <w:jc w:val="center"/>
        </w:trPr>
        <w:tc>
          <w:tcPr>
            <w:tcW w:w="462" w:type="dxa"/>
            <w:vMerge w:val="continue"/>
            <w:tcBorders>
              <w:left w:val="single" w:color="auto" w:sz="4" w:space="0"/>
              <w:right w:val="single" w:color="auto" w:sz="4" w:space="0"/>
            </w:tcBorders>
            <w:vAlign w:val="center"/>
          </w:tcPr>
          <w:p/>
        </w:tc>
        <w:tc>
          <w:tcPr>
            <w:tcW w:w="589"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（七）</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产业循环发展</w:t>
            </w:r>
          </w:p>
        </w:tc>
        <w:tc>
          <w:tcPr>
            <w:tcW w:w="493"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cs="Arial Unicode MS"/>
                <w:sz w:val="21"/>
                <w:szCs w:val="21"/>
              </w:rPr>
              <w:t>26</w:t>
            </w:r>
          </w:p>
        </w:tc>
        <w:tc>
          <w:tcPr>
            <w:tcW w:w="2383"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农业废弃物综合利用率</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秸秆综合利用率</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畜禽粪污综合利用率</w:t>
            </w:r>
          </w:p>
          <w:p>
            <w:pPr>
              <w:adjustRightInd w:val="0"/>
              <w:snapToGrid w:val="0"/>
              <w:spacing w:line="240" w:lineRule="atLeast"/>
              <w:ind w:firstLine="0" w:firstLineChars="0"/>
              <w:jc w:val="left"/>
              <w:rPr>
                <w:rFonts w:cs="Arial Unicode MS"/>
                <w:spacing w:val="-10"/>
                <w:sz w:val="21"/>
                <w:szCs w:val="21"/>
              </w:rPr>
            </w:pPr>
            <w:r>
              <w:rPr>
                <w:rFonts w:hint="eastAsia" w:cs="Arial Unicode MS"/>
                <w:sz w:val="21"/>
                <w:szCs w:val="21"/>
              </w:rPr>
              <w:t>农膜回收利用率</w:t>
            </w:r>
          </w:p>
        </w:tc>
        <w:tc>
          <w:tcPr>
            <w:tcW w:w="750"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p>
            <w:pPr>
              <w:adjustRightInd w:val="0"/>
              <w:snapToGrid w:val="0"/>
              <w:spacing w:line="240" w:lineRule="atLeast"/>
              <w:ind w:firstLine="0" w:firstLineChars="0"/>
              <w:jc w:val="center"/>
              <w:rPr>
                <w:rFonts w:cs="Arial Unicode MS"/>
                <w:sz w:val="21"/>
                <w:szCs w:val="21"/>
              </w:rPr>
            </w:pPr>
          </w:p>
        </w:tc>
        <w:tc>
          <w:tcPr>
            <w:tcW w:w="1143"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≥90</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≥75</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≥80</w:t>
            </w:r>
          </w:p>
        </w:tc>
        <w:tc>
          <w:tcPr>
            <w:tcW w:w="790"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88.</w:t>
            </w:r>
            <w:r>
              <w:rPr>
                <w:rFonts w:cs="Arial Unicode MS"/>
                <w:sz w:val="21"/>
                <w:szCs w:val="21"/>
              </w:rPr>
              <w:t>6</w:t>
            </w:r>
          </w:p>
        </w:tc>
        <w:tc>
          <w:tcPr>
            <w:tcW w:w="1234"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未达标</w:t>
            </w:r>
          </w:p>
        </w:tc>
        <w:tc>
          <w:tcPr>
            <w:tcW w:w="1334"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≥90</w:t>
            </w:r>
          </w:p>
        </w:tc>
        <w:tc>
          <w:tcPr>
            <w:tcW w:w="1382" w:type="dxa"/>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保持稳定</w:t>
            </w:r>
          </w:p>
        </w:tc>
        <w:tc>
          <w:tcPr>
            <w:tcW w:w="2330"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县农业农村委、县供销联社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68"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vMerge w:val="continue"/>
            <w:tcBorders>
              <w:left w:val="single" w:color="auto" w:sz="4" w:space="0"/>
              <w:right w:val="single" w:color="auto" w:sz="4" w:space="0"/>
            </w:tcBorders>
            <w:vAlign w:val="center"/>
          </w:tcPr>
          <w:p/>
        </w:tc>
        <w:tc>
          <w:tcPr>
            <w:tcW w:w="2383" w:type="dxa"/>
            <w:vMerge w:val="continue"/>
            <w:tcBorders>
              <w:left w:val="single" w:color="auto" w:sz="4" w:space="0"/>
              <w:right w:val="single" w:color="auto" w:sz="4" w:space="0"/>
            </w:tcBorders>
            <w:vAlign w:val="center"/>
          </w:tcPr>
          <w:p/>
        </w:tc>
        <w:tc>
          <w:tcPr>
            <w:tcW w:w="750" w:type="dxa"/>
            <w:vMerge w:val="continue"/>
            <w:tcBorders>
              <w:left w:val="single" w:color="auto" w:sz="4" w:space="0"/>
              <w:right w:val="single" w:color="auto" w:sz="4" w:space="0"/>
            </w:tcBorders>
            <w:vAlign w:val="center"/>
          </w:tcPr>
          <w:p/>
        </w:tc>
        <w:tc>
          <w:tcPr>
            <w:tcW w:w="1143" w:type="dxa"/>
            <w:vMerge w:val="continue"/>
            <w:tcBorders>
              <w:left w:val="single" w:color="auto" w:sz="4" w:space="0"/>
              <w:right w:val="single" w:color="auto" w:sz="4" w:space="0"/>
            </w:tcBorders>
            <w:vAlign w:val="center"/>
          </w:tcPr>
          <w:p/>
        </w:tc>
        <w:tc>
          <w:tcPr>
            <w:tcW w:w="790" w:type="dxa"/>
            <w:vMerge w:val="continue"/>
            <w:tcBorders>
              <w:left w:val="single" w:color="auto" w:sz="4" w:space="0"/>
              <w:right w:val="single" w:color="auto" w:sz="4" w:space="0"/>
            </w:tcBorders>
            <w:vAlign w:val="center"/>
          </w:tcP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90</w:t>
            </w:r>
          </w:p>
        </w:tc>
        <w:tc>
          <w:tcPr>
            <w:tcW w:w="1234" w:type="dxa"/>
            <w:tcBorders>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≥90</w:t>
            </w:r>
          </w:p>
        </w:tc>
        <w:tc>
          <w:tcPr>
            <w:tcW w:w="1382" w:type="dxa"/>
            <w:tcBorders>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保持稳定</w:t>
            </w:r>
          </w:p>
        </w:tc>
        <w:tc>
          <w:tcPr>
            <w:tcW w:w="2330" w:type="dxa"/>
            <w:vMerge w:val="continue"/>
            <w:tcBorders>
              <w:left w:val="single" w:color="auto" w:sz="4" w:space="0"/>
              <w:right w:val="single" w:color="auto" w:sz="4" w:space="0"/>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68"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vMerge w:val="continue"/>
            <w:tcBorders>
              <w:left w:val="single" w:color="auto" w:sz="4" w:space="0"/>
              <w:bottom w:val="single" w:color="auto" w:sz="4" w:space="0"/>
              <w:right w:val="single" w:color="auto" w:sz="4" w:space="0"/>
            </w:tcBorders>
            <w:vAlign w:val="center"/>
          </w:tcPr>
          <w:p/>
        </w:tc>
        <w:tc>
          <w:tcPr>
            <w:tcW w:w="2383" w:type="dxa"/>
            <w:vMerge w:val="continue"/>
            <w:tcBorders>
              <w:left w:val="single" w:color="auto" w:sz="4" w:space="0"/>
              <w:bottom w:val="single" w:color="auto" w:sz="4" w:space="0"/>
              <w:right w:val="single" w:color="auto" w:sz="4" w:space="0"/>
            </w:tcBorders>
            <w:vAlign w:val="center"/>
          </w:tcPr>
          <w:p/>
        </w:tc>
        <w:tc>
          <w:tcPr>
            <w:tcW w:w="750" w:type="dxa"/>
            <w:vMerge w:val="continue"/>
            <w:tcBorders>
              <w:left w:val="single" w:color="auto" w:sz="4" w:space="0"/>
              <w:bottom w:val="single" w:color="auto" w:sz="4" w:space="0"/>
              <w:right w:val="single" w:color="auto" w:sz="4" w:space="0"/>
            </w:tcBorders>
            <w:vAlign w:val="center"/>
          </w:tcPr>
          <w:p/>
        </w:tc>
        <w:tc>
          <w:tcPr>
            <w:tcW w:w="1143" w:type="dxa"/>
            <w:vMerge w:val="continue"/>
            <w:tcBorders>
              <w:left w:val="single" w:color="auto" w:sz="4" w:space="0"/>
              <w:bottom w:val="single" w:color="auto" w:sz="4" w:space="0"/>
              <w:right w:val="single" w:color="auto" w:sz="4" w:space="0"/>
            </w:tcBorders>
            <w:vAlign w:val="center"/>
          </w:tcPr>
          <w:p/>
        </w:tc>
        <w:tc>
          <w:tcPr>
            <w:tcW w:w="790" w:type="dxa"/>
            <w:vMerge w:val="continue"/>
            <w:tcBorders>
              <w:left w:val="single" w:color="auto" w:sz="4" w:space="0"/>
              <w:bottom w:val="single" w:color="auto" w:sz="4" w:space="0"/>
              <w:right w:val="single" w:color="auto" w:sz="4" w:space="0"/>
            </w:tcBorders>
            <w:vAlign w:val="center"/>
          </w:tcP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87</w:t>
            </w:r>
          </w:p>
        </w:tc>
        <w:tc>
          <w:tcPr>
            <w:tcW w:w="1234"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≥80</w:t>
            </w:r>
          </w:p>
        </w:tc>
        <w:tc>
          <w:tcPr>
            <w:tcW w:w="1382" w:type="dxa"/>
            <w:tcBorders>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保持稳定</w:t>
            </w:r>
          </w:p>
        </w:tc>
        <w:tc>
          <w:tcPr>
            <w:tcW w:w="2330" w:type="dxa"/>
            <w:vMerge w:val="continue"/>
            <w:tcBorders>
              <w:left w:val="single" w:color="auto" w:sz="4" w:space="0"/>
              <w:bottom w:val="single" w:color="auto" w:sz="4" w:space="0"/>
              <w:right w:val="single" w:color="auto" w:sz="4" w:space="0"/>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left w:val="single" w:color="auto" w:sz="4" w:space="0"/>
              <w:bottom w:val="single" w:color="auto" w:sz="4" w:space="0"/>
              <w:right w:val="single" w:color="auto" w:sz="4" w:space="0"/>
            </w:tcBorders>
            <w:vAlign w:val="center"/>
          </w:tcPr>
          <w:p/>
        </w:tc>
        <w:tc>
          <w:tcPr>
            <w:tcW w:w="589" w:type="dxa"/>
            <w:vMerge w:val="continue"/>
            <w:tcBorders>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cs="Arial Unicode MS"/>
                <w:sz w:val="21"/>
                <w:szCs w:val="21"/>
              </w:rPr>
              <w:t>27</w:t>
            </w:r>
          </w:p>
        </w:tc>
        <w:tc>
          <w:tcPr>
            <w:tcW w:w="2383"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cs="Arial Unicode MS"/>
                <w:spacing w:val="-6"/>
                <w:sz w:val="21"/>
                <w:szCs w:val="21"/>
              </w:rPr>
            </w:pPr>
            <w:r>
              <w:rPr>
                <w:rFonts w:hint="eastAsia" w:cs="Arial Unicode MS"/>
                <w:spacing w:val="-6"/>
                <w:sz w:val="21"/>
                <w:szCs w:val="21"/>
              </w:rPr>
              <w:t>一般工业固体废物综合利用率提高幅度</w:t>
            </w:r>
          </w:p>
          <w:p>
            <w:pPr>
              <w:pStyle w:val="2"/>
              <w:adjustRightInd w:val="0"/>
              <w:snapToGrid w:val="0"/>
              <w:spacing w:line="240" w:lineRule="atLeast"/>
              <w:ind w:left="0" w:leftChars="0" w:firstLine="0" w:firstLineChars="0"/>
              <w:jc w:val="left"/>
              <w:rPr>
                <w:sz w:val="21"/>
                <w:szCs w:val="21"/>
              </w:rPr>
            </w:pPr>
            <w:r>
              <w:rPr>
                <w:rFonts w:hint="eastAsia"/>
                <w:sz w:val="21"/>
                <w:szCs w:val="21"/>
              </w:rPr>
              <w:t>综合利用率≤60%的地区</w:t>
            </w:r>
          </w:p>
          <w:p>
            <w:pPr>
              <w:pStyle w:val="2"/>
              <w:adjustRightInd w:val="0"/>
              <w:snapToGrid w:val="0"/>
              <w:spacing w:line="240" w:lineRule="atLeast"/>
              <w:ind w:left="0" w:leftChars="0" w:firstLine="0" w:firstLineChars="0"/>
              <w:jc w:val="left"/>
              <w:rPr>
                <w:sz w:val="21"/>
                <w:szCs w:val="21"/>
              </w:rPr>
            </w:pPr>
            <w:r>
              <w:rPr>
                <w:rFonts w:hint="eastAsia"/>
                <w:sz w:val="21"/>
                <w:szCs w:val="21"/>
              </w:rPr>
              <w:t>综合利用率＞60%的地区</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r>
              <w:rPr>
                <w:rFonts w:cs="Arial Unicode MS"/>
                <w:sz w:val="21"/>
                <w:szCs w:val="21"/>
              </w:rPr>
              <w:t>2</w:t>
            </w:r>
          </w:p>
          <w:p>
            <w:pPr>
              <w:pStyle w:val="2"/>
              <w:adjustRightInd w:val="0"/>
              <w:snapToGrid w:val="0"/>
              <w:spacing w:line="240" w:lineRule="atLeast"/>
              <w:ind w:left="0" w:leftChars="0" w:firstLine="0" w:firstLineChars="0"/>
              <w:rPr>
                <w:sz w:val="21"/>
                <w:szCs w:val="21"/>
              </w:rPr>
            </w:pPr>
            <w:r>
              <w:rPr>
                <w:rFonts w:hint="eastAsia"/>
                <w:sz w:val="21"/>
                <w:szCs w:val="21"/>
              </w:rPr>
              <w:t>保持稳定或持续改善</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99.2</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sz w:val="21"/>
                <w:szCs w:val="21"/>
              </w:rPr>
              <w:t>保持稳定</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保持稳定</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sz w:val="21"/>
                <w:szCs w:val="21"/>
              </w:rPr>
            </w:pPr>
            <w:r>
              <w:rPr>
                <w:rFonts w:hint="eastAsia"/>
                <w:sz w:val="21"/>
                <w:szCs w:val="21"/>
              </w:rPr>
              <w:t>县经济信息委、县商务委、县生态环境局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462"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生</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态</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生</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活</w:t>
            </w:r>
          </w:p>
        </w:tc>
        <w:tc>
          <w:tcPr>
            <w:tcW w:w="589" w:type="dxa"/>
            <w:vMerge w:val="restart"/>
            <w:tcBorders>
              <w:top w:val="single" w:color="auto" w:sz="4" w:space="0"/>
              <w:left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（八）</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人居环境改善</w:t>
            </w: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w:t>
            </w:r>
            <w:r>
              <w:rPr>
                <w:rFonts w:cs="Arial Unicode MS"/>
                <w:sz w:val="21"/>
                <w:szCs w:val="21"/>
              </w:rPr>
              <w:t>8</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pacing w:val="-4"/>
                <w:sz w:val="21"/>
                <w:szCs w:val="21"/>
              </w:rPr>
            </w:pPr>
            <w:r>
              <w:rPr>
                <w:rFonts w:hint="eastAsia" w:cs="Arial Unicode MS"/>
                <w:spacing w:val="-4"/>
                <w:sz w:val="21"/>
                <w:szCs w:val="21"/>
              </w:rPr>
              <w:t>集中式饮用水水源地水质优良比例</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县生态环境局、县水利局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2</w:t>
            </w:r>
            <w:r>
              <w:rPr>
                <w:rFonts w:cs="Arial Unicode MS"/>
                <w:sz w:val="21"/>
                <w:szCs w:val="21"/>
              </w:rPr>
              <w:t>9</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村镇饮用水卫生合格率</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94.57</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未达标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县卫生健康委、县水利局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82"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cs="Arial Unicode MS"/>
                <w:sz w:val="21"/>
                <w:szCs w:val="21"/>
              </w:rPr>
              <w:t>30</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城镇污水处理率</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县≥85</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宋体"/>
                <w:sz w:val="21"/>
              </w:rPr>
              <w:t>92.5</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宋体"/>
                <w:sz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r>
              <w:rPr>
                <w:rFonts w:cs="Arial Unicode MS"/>
                <w:sz w:val="21"/>
                <w:szCs w:val="21"/>
              </w:rPr>
              <w:t>9</w:t>
            </w:r>
            <w:r>
              <w:rPr>
                <w:rFonts w:hint="eastAsia" w:cs="Arial Unicode MS"/>
                <w:sz w:val="21"/>
                <w:szCs w:val="21"/>
              </w:rPr>
              <w:t>5</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保持稳定</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县住房城乡建委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7"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w:t>
            </w:r>
            <w:r>
              <w:rPr>
                <w:rFonts w:cs="Arial Unicode MS"/>
                <w:sz w:val="21"/>
                <w:szCs w:val="21"/>
              </w:rPr>
              <w:t>1</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农村生活污水治理率</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r>
              <w:rPr>
                <w:rFonts w:cs="Arial Unicode MS"/>
                <w:sz w:val="21"/>
                <w:szCs w:val="21"/>
              </w:rPr>
              <w:t>50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49.86</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未达标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≥50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保持稳定</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sz w:val="21"/>
                <w:szCs w:val="21"/>
              </w:rPr>
              <w:t>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39"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w:t>
            </w:r>
            <w:r>
              <w:rPr>
                <w:rFonts w:cs="Arial Unicode MS"/>
                <w:sz w:val="21"/>
                <w:szCs w:val="21"/>
              </w:rPr>
              <w:t>2</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城镇生活垃圾无害化处理率</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县≥80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98</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≥95</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保持稳定</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县城管局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75"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w:t>
            </w:r>
            <w:r>
              <w:rPr>
                <w:rFonts w:cs="Arial Unicode MS"/>
                <w:sz w:val="21"/>
                <w:szCs w:val="21"/>
              </w:rPr>
              <w:t>3</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农村生活垃圾无害化处理村占比</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10"/>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w:t>
            </w:r>
            <w:r>
              <w:rPr>
                <w:rFonts w:cs="Arial Unicode MS"/>
                <w:sz w:val="21"/>
                <w:szCs w:val="21"/>
              </w:rPr>
              <w:t>00</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w:t>
            </w:r>
            <w:r>
              <w:rPr>
                <w:rFonts w:cs="Arial Unicode MS"/>
                <w:sz w:val="21"/>
                <w:szCs w:val="21"/>
              </w:rPr>
              <w:t>00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保持稳定</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县城管局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w:t>
            </w:r>
            <w:r>
              <w:rPr>
                <w:rFonts w:cs="Arial Unicode MS"/>
                <w:sz w:val="21"/>
                <w:szCs w:val="21"/>
              </w:rPr>
              <w:t>4</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城镇人均公园绿地面积</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pacing w:val="-10"/>
                <w:sz w:val="21"/>
                <w:szCs w:val="21"/>
              </w:rPr>
            </w:pPr>
            <w:r>
              <w:rPr>
                <w:rFonts w:hint="eastAsia" w:cs="Arial Unicode MS"/>
                <w:spacing w:val="-10"/>
                <w:sz w:val="21"/>
                <w:szCs w:val="21"/>
              </w:rPr>
              <w:t>平方米</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/人</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≥15</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523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市指标，不考核</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w:t>
            </w:r>
            <w:r>
              <w:rPr>
                <w:rFonts w:cs="Arial Unicode MS"/>
                <w:sz w:val="21"/>
                <w:szCs w:val="21"/>
              </w:rPr>
              <w:t>5</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农村无害化卫生厕所普及率</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完成上级规定的目标任务</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完成上级规定的目标任务，</w:t>
            </w:r>
            <w:r>
              <w:rPr>
                <w:rFonts w:hint="eastAsia" w:cs="宋体"/>
                <w:kern w:val="0"/>
                <w:sz w:val="21"/>
              </w:rPr>
              <w:t>69.26</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完成上级规定的目标任务</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完成上级规定的目标任务</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县乡村振兴局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left w:val="single" w:color="auto" w:sz="4" w:space="0"/>
              <w:right w:val="single" w:color="auto" w:sz="4" w:space="0"/>
            </w:tcBorders>
            <w:vAlign w:val="center"/>
          </w:tcPr>
          <w:p/>
        </w:tc>
        <w:tc>
          <w:tcPr>
            <w:tcW w:w="58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（九）</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生活</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方式</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绿色化</w:t>
            </w: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w:t>
            </w:r>
            <w:r>
              <w:rPr>
                <w:rFonts w:cs="Arial Unicode MS"/>
                <w:sz w:val="21"/>
                <w:szCs w:val="21"/>
              </w:rPr>
              <w:t>6</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城镇新建绿色建筑比例</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≥50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县住房城乡建委、县规划自然资源局、县生态环境局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w:t>
            </w:r>
            <w:r>
              <w:rPr>
                <w:rFonts w:cs="Arial Unicode MS"/>
                <w:sz w:val="21"/>
                <w:szCs w:val="21"/>
              </w:rPr>
              <w:t>7</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公共交通出行分担率</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中小城市≥50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523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市指标，不考核</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70"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w:t>
            </w:r>
            <w:r>
              <w:rPr>
                <w:rFonts w:cs="Arial Unicode MS"/>
                <w:sz w:val="21"/>
                <w:szCs w:val="21"/>
              </w:rPr>
              <w:t>8</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城镇生活垃圾分类减量化行动</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实施</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实施</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实施</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实施</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县城管局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462" w:type="dxa"/>
            <w:vMerge w:val="continue"/>
            <w:tcBorders>
              <w:left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3</w:t>
            </w:r>
            <w:r>
              <w:rPr>
                <w:rFonts w:cs="Arial Unicode MS"/>
                <w:sz w:val="21"/>
                <w:szCs w:val="21"/>
              </w:rPr>
              <w:t>9</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绿色产品市场占有率</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节能家电市场占有率</w:t>
            </w:r>
          </w:p>
          <w:p>
            <w:pPr>
              <w:adjustRightInd w:val="0"/>
              <w:snapToGrid w:val="0"/>
              <w:spacing w:line="240" w:lineRule="atLeast"/>
              <w:ind w:firstLine="0" w:firstLineChars="0"/>
              <w:jc w:val="left"/>
              <w:rPr>
                <w:rFonts w:cs="Arial Unicode MS"/>
                <w:spacing w:val="-5"/>
                <w:sz w:val="21"/>
                <w:szCs w:val="21"/>
              </w:rPr>
            </w:pPr>
            <w:r>
              <w:rPr>
                <w:rFonts w:hint="eastAsia" w:cs="Arial Unicode MS"/>
                <w:spacing w:val="-5"/>
                <w:sz w:val="21"/>
                <w:szCs w:val="21"/>
              </w:rPr>
              <w:t>在售用水器具中节水型器具占比</w:t>
            </w:r>
          </w:p>
          <w:p>
            <w:pPr>
              <w:adjustRightInd w:val="0"/>
              <w:snapToGrid w:val="0"/>
              <w:spacing w:line="240" w:lineRule="atLeast"/>
              <w:ind w:firstLine="0" w:firstLineChars="0"/>
              <w:jc w:val="left"/>
              <w:rPr>
                <w:rFonts w:cs="Arial Unicode MS"/>
                <w:sz w:val="21"/>
                <w:szCs w:val="21"/>
              </w:rPr>
            </w:pPr>
            <w:r>
              <w:rPr>
                <w:rFonts w:hint="eastAsia" w:cs="Arial Unicode MS"/>
                <w:sz w:val="21"/>
                <w:szCs w:val="21"/>
              </w:rPr>
              <w:t>一次性消费品人均使用量</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千克</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≥50</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逐步下降</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523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市指标，不考核</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left w:val="single" w:color="auto" w:sz="4" w:space="0"/>
              <w:bottom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cs="Arial Unicode MS"/>
                <w:sz w:val="21"/>
                <w:szCs w:val="21"/>
              </w:rPr>
              <w:t>40</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政府绿色采购比例</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约束性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80.56</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≥80</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县财政局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32" w:hRule="atLeast"/>
          <w:jc w:val="center"/>
        </w:trPr>
        <w:tc>
          <w:tcPr>
            <w:tcW w:w="462" w:type="dxa"/>
            <w:vMerge w:val="restart"/>
            <w:tcBorders>
              <w:top w:val="single" w:color="auto" w:sz="4" w:space="0"/>
              <w:left w:val="single" w:color="auto" w:sz="4" w:space="0"/>
              <w:bottom w:val="single" w:color="auto" w:sz="8"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生</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态</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文</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化</w:t>
            </w:r>
          </w:p>
        </w:tc>
        <w:tc>
          <w:tcPr>
            <w:tcW w:w="589" w:type="dxa"/>
            <w:vMerge w:val="restart"/>
            <w:tcBorders>
              <w:top w:val="single" w:color="auto" w:sz="4" w:space="0"/>
              <w:left w:val="single" w:color="auto" w:sz="4" w:space="0"/>
              <w:bottom w:val="single" w:color="auto" w:sz="8"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（十）</w:t>
            </w:r>
          </w:p>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观念意识普及</w:t>
            </w: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cs="Arial Unicode MS"/>
                <w:sz w:val="21"/>
                <w:szCs w:val="21"/>
              </w:rPr>
              <w:t>41</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z w:val="21"/>
                <w:szCs w:val="21"/>
              </w:rPr>
            </w:pPr>
            <w:r>
              <w:rPr>
                <w:rFonts w:hint="eastAsia" w:cs="Arial Unicode MS"/>
                <w:sz w:val="21"/>
                <w:szCs w:val="21"/>
              </w:rPr>
              <w:t>党政领导干部参加生态文明培训的人数比例</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w:t>
            </w:r>
            <w:r>
              <w:rPr>
                <w:rFonts w:cs="Arial Unicode MS"/>
                <w:sz w:val="21"/>
                <w:szCs w:val="21"/>
              </w:rPr>
              <w:t>00</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100</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县委组织部、县生态环境局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36" w:hRule="atLeast"/>
          <w:jc w:val="center"/>
        </w:trPr>
        <w:tc>
          <w:tcPr>
            <w:tcW w:w="462" w:type="dxa"/>
            <w:vMerge w:val="continue"/>
            <w:tcBorders>
              <w:top w:val="single" w:color="auto" w:sz="4" w:space="0"/>
              <w:left w:val="single" w:color="auto" w:sz="4" w:space="0"/>
              <w:bottom w:val="single" w:color="auto" w:sz="8" w:space="0"/>
              <w:right w:val="single" w:color="auto" w:sz="4" w:space="0"/>
            </w:tcBorders>
            <w:vAlign w:val="center"/>
          </w:tcPr>
          <w:p/>
        </w:tc>
        <w:tc>
          <w:tcPr>
            <w:tcW w:w="589" w:type="dxa"/>
            <w:vMerge w:val="continue"/>
            <w:tcBorders>
              <w:top w:val="single" w:color="auto" w:sz="4" w:space="0"/>
              <w:left w:val="single" w:color="auto" w:sz="4" w:space="0"/>
              <w:bottom w:val="single" w:color="auto" w:sz="8"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cs="Arial Unicode MS"/>
                <w:sz w:val="21"/>
                <w:szCs w:val="21"/>
              </w:rPr>
              <w:t>42</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pacing w:val="-12"/>
                <w:sz w:val="21"/>
                <w:szCs w:val="21"/>
              </w:rPr>
            </w:pPr>
            <w:r>
              <w:rPr>
                <w:rFonts w:hint="eastAsia" w:cs="Arial Unicode MS"/>
                <w:spacing w:val="-12"/>
                <w:sz w:val="21"/>
                <w:szCs w:val="21"/>
              </w:rPr>
              <w:t>公众对生态文明建设的满意度</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宋体"/>
                <w:sz w:val="21"/>
              </w:rPr>
              <w:t>98.57</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宋体"/>
                <w:sz w:val="21"/>
              </w:rPr>
            </w:pPr>
            <w:r>
              <w:rPr>
                <w:rFonts w:hint="eastAsia" w:cs="Arial Unicode MS"/>
                <w:sz w:val="21"/>
                <w:szCs w:val="21"/>
              </w:rPr>
              <w:t>已达标</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≥80</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cs="Arial Unicode MS"/>
                <w:sz w:val="21"/>
                <w:szCs w:val="21"/>
              </w:rPr>
              <w:t>县生态环境局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tc>
        <w:tc>
          <w:tcPr>
            <w:tcW w:w="589" w:type="dxa"/>
            <w:vMerge w:val="continue"/>
            <w:tcBorders>
              <w:top w:val="single" w:color="auto" w:sz="4" w:space="0"/>
              <w:left w:val="single" w:color="auto" w:sz="4" w:space="0"/>
              <w:bottom w:val="single" w:color="auto" w:sz="4" w:space="0"/>
              <w:right w:val="single" w:color="auto" w:sz="4" w:space="0"/>
            </w:tcBorders>
            <w:vAlign w:val="center"/>
          </w:tcPr>
          <w:p/>
        </w:tc>
        <w:tc>
          <w:tcPr>
            <w:tcW w:w="4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4</w:t>
            </w:r>
            <w:r>
              <w:rPr>
                <w:rFonts w:cs="Arial Unicode MS"/>
                <w:sz w:val="21"/>
                <w:szCs w:val="21"/>
              </w:rPr>
              <w:t>3</w:t>
            </w:r>
          </w:p>
        </w:tc>
        <w:tc>
          <w:tcPr>
            <w:tcW w:w="23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left"/>
              <w:rPr>
                <w:rFonts w:cs="Arial Unicode MS"/>
                <w:spacing w:val="-12"/>
                <w:sz w:val="21"/>
                <w:szCs w:val="21"/>
              </w:rPr>
            </w:pPr>
            <w:r>
              <w:rPr>
                <w:rFonts w:hint="eastAsia" w:cs="Arial Unicode MS"/>
                <w:spacing w:val="-12"/>
                <w:sz w:val="21"/>
                <w:szCs w:val="21"/>
              </w:rPr>
              <w:t>公众对生态文明建设的参与度</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≥80</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参考性</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未开展调查</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≥80</w:t>
            </w:r>
          </w:p>
        </w:tc>
        <w:tc>
          <w:tcPr>
            <w:tcW w:w="23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0" w:firstLineChars="0"/>
              <w:jc w:val="center"/>
              <w:rPr>
                <w:rFonts w:cs="Arial Unicode MS"/>
                <w:sz w:val="21"/>
                <w:szCs w:val="21"/>
              </w:rPr>
            </w:pPr>
            <w:r>
              <w:rPr>
                <w:rFonts w:hint="eastAsia" w:cs="Arial Unicode MS"/>
                <w:sz w:val="21"/>
                <w:szCs w:val="21"/>
              </w:rPr>
              <w:t>县生态环境局</w:t>
            </w:r>
          </w:p>
        </w:tc>
      </w:tr>
    </w:tbl>
    <w:p>
      <w:pPr>
        <w:sectPr>
          <w:pgSz w:w="16838" w:h="11906" w:orient="landscape"/>
          <w:pgMar w:top="1587" w:right="2098" w:bottom="1474" w:left="1984" w:header="851" w:footer="992" w:gutter="0"/>
          <w:cols w:space="720" w:num="1"/>
          <w:docGrid w:type="lines" w:linePitch="439" w:charSpace="0"/>
        </w:sectPr>
      </w:pPr>
    </w:p>
    <w:p>
      <w:pPr>
        <w:pStyle w:val="4"/>
        <w:spacing w:line="594" w:lineRule="exact"/>
        <w:ind w:left="0"/>
      </w:pPr>
      <w:bookmarkStart w:id="330" w:name="_Toc11890"/>
      <w:bookmarkStart w:id="331" w:name="_Toc28539"/>
      <w:bookmarkStart w:id="332" w:name="_Toc31240"/>
      <w:bookmarkStart w:id="333" w:name="_Toc14909"/>
      <w:bookmarkStart w:id="334" w:name="_Toc16139"/>
      <w:bookmarkStart w:id="335" w:name="_Toc14954"/>
      <w:bookmarkStart w:id="336" w:name="_Toc1071"/>
      <w:bookmarkStart w:id="337" w:name="_Toc25381"/>
      <w:bookmarkStart w:id="338" w:name="_Toc5668"/>
      <w:bookmarkStart w:id="339" w:name="_Toc16279"/>
      <w:bookmarkStart w:id="340" w:name="_Toc30507"/>
      <w:bookmarkStart w:id="341" w:name="_Toc28320"/>
      <w:bookmarkStart w:id="342" w:name="_Toc28199"/>
      <w:bookmarkStart w:id="343" w:name="_Toc3944"/>
      <w:bookmarkStart w:id="344" w:name="_Toc20442"/>
      <w:bookmarkStart w:id="345" w:name="_Toc931"/>
      <w:bookmarkStart w:id="346" w:name="_Toc14040"/>
      <w:bookmarkStart w:id="347" w:name="_Toc2927"/>
      <w:bookmarkStart w:id="348" w:name="_Toc16543"/>
      <w:bookmarkStart w:id="349" w:name="_Toc13607"/>
      <w:bookmarkStart w:id="350" w:name="_Toc26047"/>
      <w:bookmarkStart w:id="351" w:name="_Toc20253"/>
      <w:bookmarkStart w:id="352" w:name="_Toc11852"/>
      <w:bookmarkStart w:id="353" w:name="_Toc26060"/>
      <w:bookmarkStart w:id="354" w:name="_Toc9767"/>
      <w:bookmarkStart w:id="355" w:name="_Toc20864"/>
      <w:bookmarkStart w:id="356" w:name="_Toc24026"/>
      <w:bookmarkStart w:id="357" w:name="_Toc10674"/>
      <w:bookmarkStart w:id="358" w:name="_Toc3105"/>
      <w:r>
        <w:rPr>
          <w:rFonts w:hint="eastAsia"/>
        </w:rPr>
        <w:t>深化体制机制改革，</w:t>
      </w:r>
      <w:r>
        <w:t>健全</w:t>
      </w:r>
      <w:r>
        <w:rPr>
          <w:rFonts w:hint="eastAsia"/>
        </w:rPr>
        <w:t>和完善</w:t>
      </w:r>
      <w:r>
        <w:t>生态文明制度</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p>
      <w:pPr>
        <w:spacing w:line="594" w:lineRule="exact"/>
        <w:rPr>
          <w:rFonts w:cs="Times New Roman"/>
        </w:rPr>
      </w:pPr>
      <w:bookmarkStart w:id="359" w:name="_Toc23642"/>
      <w:bookmarkStart w:id="360" w:name="_Toc23413"/>
      <w:bookmarkStart w:id="361" w:name="_Toc20855"/>
      <w:bookmarkStart w:id="362" w:name="_Toc17888"/>
      <w:bookmarkStart w:id="363" w:name="_Toc3682"/>
      <w:r>
        <w:rPr>
          <w:rFonts w:hint="eastAsia" w:cs="Times New Roman"/>
        </w:rPr>
        <w:t>坚持以习近平生态文明思想为指引，发扬担当实干、改革创新的作风，着力固根基、扬优势、补短板、强弱项，深入推进生态文明体制改革，不断健全和完善生态文明考核和生态环境损害责任追究、自然资源资产保护、生态环境经济政策、生态环境监测和监管等体制机制，推进形成系统集成、协同高效的生态文明制度。</w:t>
      </w:r>
    </w:p>
    <w:p/>
    <w:p>
      <w:pPr>
        <w:pStyle w:val="5"/>
      </w:pPr>
      <w:bookmarkStart w:id="364" w:name="_Toc1052"/>
      <w:bookmarkStart w:id="365" w:name="_Toc30288"/>
      <w:bookmarkStart w:id="366" w:name="_Toc30086"/>
      <w:bookmarkStart w:id="367" w:name="_Toc7281"/>
      <w:bookmarkStart w:id="368" w:name="_Toc13591"/>
      <w:bookmarkStart w:id="369" w:name="_Toc9509"/>
      <w:bookmarkStart w:id="370" w:name="_Toc10537"/>
      <w:bookmarkStart w:id="371" w:name="_Toc24517"/>
      <w:bookmarkStart w:id="372" w:name="_Toc2945"/>
      <w:bookmarkStart w:id="373" w:name="_Toc12738"/>
      <w:bookmarkStart w:id="374" w:name="_Toc5952"/>
      <w:bookmarkStart w:id="375" w:name="_Toc29463"/>
      <w:bookmarkStart w:id="376" w:name="_Toc15379"/>
      <w:bookmarkStart w:id="377" w:name="_Toc25246"/>
      <w:bookmarkStart w:id="378" w:name="_Toc8946"/>
      <w:bookmarkStart w:id="379" w:name="_Toc17158"/>
      <w:bookmarkStart w:id="380" w:name="_Toc25695"/>
      <w:bookmarkStart w:id="381" w:name="_Toc28092"/>
      <w:bookmarkStart w:id="382" w:name="_Toc14048"/>
      <w:r>
        <w:rPr>
          <w:rFonts w:hint="eastAsia"/>
        </w:rPr>
        <w:t>健全生态环境保护制度</w:t>
      </w:r>
      <w:bookmarkEnd w:id="364"/>
      <w:bookmarkEnd w:id="365"/>
      <w:bookmarkEnd w:id="366"/>
      <w:bookmarkEnd w:id="367"/>
      <w:bookmarkEnd w:id="368"/>
      <w:bookmarkEnd w:id="369"/>
      <w:bookmarkEnd w:id="370"/>
      <w:bookmarkEnd w:id="371"/>
      <w:bookmarkEnd w:id="372"/>
      <w:bookmarkEnd w:id="373"/>
      <w:bookmarkEnd w:id="374"/>
      <w:bookmarkEnd w:id="375"/>
    </w:p>
    <w:p>
      <w:pPr>
        <w:adjustRightInd w:val="0"/>
        <w:snapToGrid w:val="0"/>
        <w:spacing w:line="594" w:lineRule="exact"/>
        <w:rPr>
          <w:b/>
          <w:bCs/>
        </w:rPr>
      </w:pPr>
    </w:p>
    <w:p>
      <w:pPr>
        <w:adjustRightInd w:val="0"/>
        <w:snapToGrid w:val="0"/>
        <w:spacing w:line="594" w:lineRule="exact"/>
        <w:rPr>
          <w:rFonts w:cs="Times New Roman"/>
          <w:kern w:val="0"/>
          <w:szCs w:val="28"/>
        </w:rPr>
      </w:pPr>
      <w:r>
        <w:rPr>
          <w:rFonts w:hint="eastAsia"/>
          <w:b/>
          <w:bCs/>
        </w:rPr>
        <w:t>严格生态环境准入。</w:t>
      </w:r>
      <w:r>
        <w:rPr>
          <w:rFonts w:hint="eastAsia"/>
        </w:rPr>
        <w:t>落实《关于落实生态保护红线、环境质量底线、资源利用上线制定生态环境准入清单实施生态环境分区管控的实施意见》，</w:t>
      </w:r>
      <w:r>
        <w:rPr>
          <w:rFonts w:hint="eastAsia" w:cs="Times New Roman"/>
          <w:kern w:val="0"/>
          <w:szCs w:val="28"/>
        </w:rPr>
        <w:t>落实生态保护红线、环境质量底线、资源利用上线硬约束，严格执行长江经济带发展负面清单、重庆市产业投资准入等规定。针对流域、区域、行业特点，聚焦突出问题和保护目标，实施生态环境分区管控。</w:t>
      </w:r>
      <w:r>
        <w:rPr>
          <w:szCs w:val="32"/>
        </w:rPr>
        <w:t>严格执行规划环评制度，推进</w:t>
      </w:r>
      <w:r>
        <w:rPr>
          <w:rFonts w:hint="eastAsia"/>
          <w:szCs w:val="32"/>
        </w:rPr>
        <w:t>专项规划开展环境影响评价，依法开展规划环境影响评价的比例达到100%</w:t>
      </w:r>
      <w:r>
        <w:rPr>
          <w:szCs w:val="32"/>
        </w:rPr>
        <w:t>。</w:t>
      </w:r>
      <w:r>
        <w:rPr>
          <w:rFonts w:hint="eastAsia" w:cs="Times New Roman"/>
          <w:kern w:val="0"/>
          <w:szCs w:val="28"/>
        </w:rPr>
        <w:t>坚决遏制高耗能高排放低水平项目盲目发展</w:t>
      </w:r>
      <w:r>
        <w:rPr>
          <w:rFonts w:hint="eastAsia" w:ascii="方正仿宋_GBK" w:cs="方正仿宋_GBK"/>
        </w:rPr>
        <w:t>，坚决防范不</w:t>
      </w:r>
      <w:r>
        <w:rPr>
          <w:rFonts w:hint="eastAsia" w:cs="Times New Roman"/>
          <w:kern w:val="0"/>
          <w:szCs w:val="28"/>
        </w:rPr>
        <w:t>符合准入条件的产能向奉节转移。全面推动“新建项目进园区”，持续引导园外分散企业入园。</w:t>
      </w:r>
    </w:p>
    <w:p>
      <w:pPr>
        <w:spacing w:line="594" w:lineRule="exact"/>
        <w:rPr>
          <w:rFonts w:cs="Times New Roman"/>
          <w:kern w:val="0"/>
          <w:szCs w:val="28"/>
        </w:rPr>
      </w:pPr>
      <w:r>
        <w:rPr>
          <w:rFonts w:hint="eastAsia" w:cs="Times New Roman"/>
          <w:b/>
          <w:bCs/>
          <w:kern w:val="0"/>
          <w:szCs w:val="28"/>
        </w:rPr>
        <w:t>加强排污许可监督管理。</w:t>
      </w:r>
      <w:r>
        <w:rPr>
          <w:rFonts w:hint="eastAsia" w:cs="Times New Roman"/>
          <w:kern w:val="0"/>
          <w:szCs w:val="28"/>
        </w:rPr>
        <w:t>依法实行排污许可管理，严格按证排污，加快构建以排污许可制为核心的固定污染源监管制度。完善排污许可证信息公开制度，健全企业排污许可证档案信息台账和数据库，加强排污单位持证及证后执行情况的信息共享。推行排污许可证“一证式”管理，严格落实企事业单位按证排污、自行监测、台账编制和定期报告责任。</w:t>
      </w:r>
    </w:p>
    <w:p>
      <w:pPr>
        <w:spacing w:line="594" w:lineRule="exact"/>
      </w:pPr>
      <w:r>
        <w:rPr>
          <w:rFonts w:hint="eastAsia"/>
          <w:b/>
          <w:bCs/>
        </w:rPr>
        <w:t>加大信息公开力度。</w:t>
      </w:r>
      <w:r>
        <w:t>督促重点排污单位向社会如实公开其主要污染物的名称、排放方式、排放浓度和总量、超标排放情况以及防治污染设施的建设和运行情况等环境信息，督促重点监控企业实施信息公开，鼓励其他排污单位自愿公开有关环境信息。建立企业生态环境行为信用评价制度，定期公布评定结果和违法者名单。健全政府生态环境信息公开制度，推进</w:t>
      </w:r>
      <w:r>
        <w:rPr>
          <w:rFonts w:hint="eastAsia"/>
        </w:rPr>
        <w:t>生态环境</w:t>
      </w:r>
      <w:r>
        <w:t>部门和其他负有生态环境保护职责的部门依法公开生态环境信息。到202</w:t>
      </w:r>
      <w:r>
        <w:rPr>
          <w:rFonts w:hint="eastAsia"/>
        </w:rPr>
        <w:t>3</w:t>
      </w:r>
      <w:r>
        <w:t>年，生态环境信息公开率</w:t>
      </w:r>
      <w:r>
        <w:rPr>
          <w:rFonts w:hint="eastAsia"/>
        </w:rPr>
        <w:t>常年保持</w:t>
      </w:r>
      <w:r>
        <w:t>100%。</w:t>
      </w:r>
    </w:p>
    <w:p/>
    <w:p>
      <w:pPr>
        <w:pStyle w:val="5"/>
      </w:pPr>
      <w:bookmarkStart w:id="383" w:name="_Toc7815"/>
      <w:bookmarkStart w:id="384" w:name="_Toc31577"/>
      <w:bookmarkStart w:id="385" w:name="_Toc25792"/>
      <w:bookmarkStart w:id="386" w:name="_Toc4953"/>
      <w:bookmarkStart w:id="387" w:name="_Toc5907"/>
      <w:bookmarkStart w:id="388" w:name="_Toc32687"/>
      <w:bookmarkStart w:id="389" w:name="_Toc25290"/>
      <w:bookmarkStart w:id="390" w:name="_Toc20459"/>
      <w:bookmarkStart w:id="391" w:name="_Toc21959"/>
      <w:bookmarkStart w:id="392" w:name="_Toc6324"/>
      <w:bookmarkStart w:id="393" w:name="_Toc11198"/>
      <w:bookmarkStart w:id="394" w:name="_Toc26017"/>
      <w:r>
        <w:rPr>
          <w:rFonts w:hint="eastAsia"/>
        </w:rPr>
        <w:t>完善生态文明考核责任制度</w:t>
      </w:r>
      <w:bookmarkEnd w:id="359"/>
      <w:bookmarkEnd w:id="360"/>
      <w:bookmarkEnd w:id="361"/>
      <w:bookmarkEnd w:id="362"/>
      <w:bookmarkEnd w:id="363"/>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pPr>
        <w:spacing w:line="594" w:lineRule="exact"/>
        <w:rPr>
          <w:rFonts w:cs="Times New Roman"/>
          <w:b/>
          <w:bCs/>
        </w:rPr>
      </w:pPr>
    </w:p>
    <w:p>
      <w:pPr>
        <w:spacing w:line="594" w:lineRule="exact"/>
        <w:rPr>
          <w:rFonts w:cs="Times New Roman"/>
        </w:rPr>
      </w:pPr>
      <w:r>
        <w:rPr>
          <w:rFonts w:hint="eastAsia" w:cs="Times New Roman"/>
          <w:b/>
          <w:bCs/>
        </w:rPr>
        <w:t>严格落实党政领导责任。</w:t>
      </w:r>
      <w:r>
        <w:rPr>
          <w:rFonts w:hint="eastAsia" w:cs="Times New Roman"/>
        </w:rPr>
        <w:t>各级党委政府特别是领导干部要坚决扛起生态文明建设的政治责任，</w:t>
      </w:r>
      <w:r>
        <w:rPr>
          <w:rFonts w:hint="eastAsia"/>
        </w:rPr>
        <w:t>贯彻落实国家、重庆市有关生态文明建设决策部署和重大政策，</w:t>
      </w:r>
      <w:r>
        <w:rPr>
          <w:rFonts w:hint="eastAsia" w:cs="Times New Roman"/>
        </w:rPr>
        <w:t>不定期召开工作会议研究部署生态文明建设相关工作。落实《奉节县环境保护工作责任规定（试行）》，推动落实党政同责、一岗双责，压实生态环境保护责任。</w:t>
      </w:r>
    </w:p>
    <w:p>
      <w:pPr>
        <w:snapToGrid w:val="0"/>
        <w:spacing w:line="594" w:lineRule="exact"/>
        <w:rPr>
          <w:rFonts w:cs="Times New Roman"/>
        </w:rPr>
      </w:pPr>
      <w:r>
        <w:rPr>
          <w:rFonts w:hint="eastAsia" w:cs="Times New Roman"/>
          <w:b/>
          <w:bCs/>
          <w:szCs w:val="32"/>
        </w:rPr>
        <w:t>强化生态文明建设考核。</w:t>
      </w:r>
      <w:r>
        <w:rPr>
          <w:rFonts w:hint="eastAsia" w:cs="Times New Roman"/>
          <w:szCs w:val="32"/>
        </w:rPr>
        <w:t>层层压实党政领导责任，</w:t>
      </w:r>
      <w:r>
        <w:rPr>
          <w:rFonts w:hint="eastAsia" w:cs="Times New Roman"/>
        </w:rPr>
        <w:t>将生态环境保护、生态文明建设等重点目标任务完成情况纳入经济社会发展实绩考核，合理设置生态文明建设考核分值，确保</w:t>
      </w:r>
      <w:r>
        <w:rPr>
          <w:rFonts w:cs="Times New Roman"/>
        </w:rPr>
        <w:t>生态文明建设工作占党政实绩考核的比例</w:t>
      </w:r>
      <w:r>
        <w:rPr>
          <w:rFonts w:hint="eastAsia" w:cs="Times New Roman"/>
        </w:rPr>
        <w:t>不低于20%</w:t>
      </w:r>
      <w:r>
        <w:rPr>
          <w:rFonts w:cs="Times New Roman"/>
        </w:rPr>
        <w:t>。</w:t>
      </w:r>
    </w:p>
    <w:p>
      <w:pPr>
        <w:snapToGrid w:val="0"/>
        <w:spacing w:line="594" w:lineRule="exact"/>
        <w:rPr>
          <w:rFonts w:cs="Times New Roman"/>
        </w:rPr>
      </w:pPr>
      <w:r>
        <w:rPr>
          <w:rFonts w:hint="eastAsia" w:cs="Times New Roman"/>
          <w:b/>
          <w:bCs/>
        </w:rPr>
        <w:t>加强督察整改落实督查督办。</w:t>
      </w:r>
      <w:r>
        <w:rPr>
          <w:rFonts w:hint="eastAsia" w:cs="Times New Roman"/>
        </w:rPr>
        <w:t>全面落实中央和重庆市生态环境保护督察，严格扎实推进督察问题整改，积极稳妥解决历史成因复杂且事关民生的生态环境问题。完善督察问题整改机制，</w:t>
      </w:r>
      <w:r>
        <w:rPr>
          <w:rFonts w:hint="eastAsia"/>
        </w:rPr>
        <w:t>采取</w:t>
      </w:r>
      <w:r>
        <w:t>定期调度、考核扣分和约谈问责</w:t>
      </w:r>
      <w:r>
        <w:rPr>
          <w:rFonts w:hint="eastAsia"/>
        </w:rPr>
        <w:t>方式</w:t>
      </w:r>
      <w:r>
        <w:t>，全力推进督察反馈问题整改。</w:t>
      </w:r>
      <w:r>
        <w:rPr>
          <w:rFonts w:hint="eastAsia" w:cs="Times New Roman"/>
        </w:rPr>
        <w:t>深化生态环境保护督查考核机制，将负有生态环境保护监督管理职责的部门、乡镇（街道）、园区和有关单位纳入督查对象，开展日常督查、集中督查和专项督查。将生态文明建设重点工作推进情况纳入重点督查范围，对推进滞后的开展督查督办，并将督查结果纳入党政考核内容并注重考核结果运用。</w:t>
      </w:r>
    </w:p>
    <w:p>
      <w:pPr>
        <w:snapToGrid w:val="0"/>
        <w:spacing w:line="594" w:lineRule="exact"/>
        <w:rPr>
          <w:rFonts w:cs="Times New Roman"/>
        </w:rPr>
      </w:pPr>
      <w:r>
        <w:rPr>
          <w:rFonts w:hint="eastAsia" w:ascii="方正仿宋_GBK" w:cs="方正仿宋_GBK"/>
          <w:b/>
          <w:bCs/>
          <w:szCs w:val="32"/>
        </w:rPr>
        <w:t>推行生态损害赔偿和责任追究制度。</w:t>
      </w:r>
      <w:r>
        <w:rPr>
          <w:rFonts w:hint="eastAsia" w:ascii="方正仿宋_GBK" w:cs="方正仿宋_GBK"/>
          <w:szCs w:val="32"/>
        </w:rPr>
        <w:t>持续</w:t>
      </w:r>
      <w:r>
        <w:rPr>
          <w:rFonts w:hint="eastAsia" w:cs="Times New Roman"/>
        </w:rPr>
        <w:t>推进生态环境损害赔偿制度改革，进一步明确生态环境损害赔偿范围、责任主体、索赔主体、损害赔偿解决途径等，依法追究生态环境违法行为责任人的赔偿责任。推行</w:t>
      </w:r>
      <w:r>
        <w:rPr>
          <w:rFonts w:cs="Times New Roman"/>
        </w:rPr>
        <w:t>党政领导干部生态环境损害责任追究</w:t>
      </w:r>
      <w:r>
        <w:rPr>
          <w:rFonts w:hint="eastAsia" w:cs="Times New Roman"/>
        </w:rPr>
        <w:t>制度</w:t>
      </w:r>
      <w:r>
        <w:rPr>
          <w:rFonts w:cs="Times New Roman"/>
        </w:rPr>
        <w:t>，</w:t>
      </w:r>
      <w:r>
        <w:rPr>
          <w:rFonts w:hint="eastAsia"/>
          <w:szCs w:val="32"/>
        </w:rPr>
        <w:t>落实《</w:t>
      </w:r>
      <w:bookmarkStart w:id="395" w:name="baidusnap2"/>
      <w:bookmarkEnd w:id="395"/>
      <w:r>
        <w:rPr>
          <w:rFonts w:hint="eastAsia"/>
          <w:szCs w:val="32"/>
        </w:rPr>
        <w:t>党政领导干部生态环境损害责任追究办法（试行）》《重庆市党政领导干部生态环境损害责任追究实施细则（试行）》，</w:t>
      </w:r>
      <w:r>
        <w:rPr>
          <w:rFonts w:cs="Times New Roman"/>
        </w:rPr>
        <w:t>加大追责问责力度，对履行职责不力、失职渎职的单位和个人，</w:t>
      </w:r>
      <w:r>
        <w:rPr>
          <w:rFonts w:hint="eastAsia" w:cs="Times New Roman"/>
        </w:rPr>
        <w:t>相关行政执法部门及时将相关问题线索移送纪委监委依纪依法严肃问责，对涉嫌违法犯罪的按程序移送司法机关处理，切实落实“党政同责、一岗双责”和“终身追责”。</w:t>
      </w:r>
    </w:p>
    <w:p>
      <w:pPr>
        <w:pStyle w:val="34"/>
        <w:numPr>
          <w:ilvl w:val="0"/>
          <w:numId w:val="0"/>
        </w:numPr>
        <w:ind w:left="2469"/>
      </w:pPr>
    </w:p>
    <w:p>
      <w:pPr>
        <w:pStyle w:val="5"/>
      </w:pPr>
      <w:bookmarkStart w:id="396" w:name="_Toc29839"/>
      <w:bookmarkStart w:id="397" w:name="_Toc23716"/>
      <w:bookmarkStart w:id="398" w:name="_Toc28158"/>
      <w:bookmarkStart w:id="399" w:name="_Toc10887"/>
      <w:bookmarkStart w:id="400" w:name="_Toc1897"/>
      <w:bookmarkStart w:id="401" w:name="_Toc32578"/>
      <w:bookmarkStart w:id="402" w:name="_Toc8289"/>
      <w:bookmarkStart w:id="403" w:name="_Toc9146"/>
      <w:bookmarkStart w:id="404" w:name="_Toc31669"/>
      <w:bookmarkStart w:id="405" w:name="_Toc3973"/>
      <w:bookmarkStart w:id="406" w:name="_Toc29235"/>
      <w:bookmarkStart w:id="407" w:name="_Toc30109"/>
      <w:bookmarkStart w:id="408" w:name="_Toc4041"/>
      <w:bookmarkStart w:id="409" w:name="_Toc27291"/>
      <w:bookmarkStart w:id="410" w:name="_Toc15343"/>
      <w:bookmarkStart w:id="411" w:name="_Toc24353"/>
      <w:bookmarkStart w:id="412" w:name="_Toc7663"/>
      <w:bookmarkStart w:id="413" w:name="_Toc4585"/>
      <w:bookmarkStart w:id="414" w:name="_Toc8724"/>
      <w:bookmarkStart w:id="415" w:name="_Toc26436"/>
      <w:bookmarkStart w:id="416" w:name="_Toc6422"/>
      <w:bookmarkStart w:id="417" w:name="_Toc5003"/>
      <w:bookmarkStart w:id="418" w:name="_Toc5922"/>
      <w:bookmarkStart w:id="419" w:name="_Toc6065"/>
      <w:r>
        <w:rPr>
          <w:rFonts w:hint="eastAsia"/>
        </w:rPr>
        <w:t>完善自然资源资产保护制度</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pPr>
        <w:snapToGrid w:val="0"/>
        <w:spacing w:line="594" w:lineRule="exact"/>
        <w:rPr>
          <w:rFonts w:cs="Times New Roman"/>
          <w:b/>
          <w:bCs/>
        </w:rPr>
      </w:pPr>
    </w:p>
    <w:p>
      <w:pPr>
        <w:snapToGrid w:val="0"/>
        <w:spacing w:line="594" w:lineRule="exact"/>
        <w:rPr>
          <w:rFonts w:ascii="方正仿宋_GBK"/>
          <w:szCs w:val="32"/>
        </w:rPr>
      </w:pPr>
      <w:r>
        <w:rPr>
          <w:rFonts w:hint="eastAsia" w:cs="Times New Roman"/>
          <w:b/>
          <w:bCs/>
        </w:rPr>
        <w:t>持续推行河长制。</w:t>
      </w:r>
      <w:r>
        <w:rPr>
          <w:rFonts w:cs="Times New Roman"/>
        </w:rPr>
        <w:t>在</w:t>
      </w:r>
      <w:r>
        <w:rPr>
          <w:rFonts w:hint="eastAsia" w:cs="Times New Roman"/>
        </w:rPr>
        <w:t>全县</w:t>
      </w:r>
      <w:r>
        <w:rPr>
          <w:rFonts w:cs="Times New Roman"/>
          <w:szCs w:val="32"/>
        </w:rPr>
        <w:t>河</w:t>
      </w:r>
      <w:r>
        <w:rPr>
          <w:rFonts w:hint="eastAsia" w:cs="Times New Roman"/>
          <w:szCs w:val="32"/>
        </w:rPr>
        <w:t>库</w:t>
      </w:r>
      <w:r>
        <w:rPr>
          <w:rFonts w:cs="Times New Roman"/>
          <w:szCs w:val="32"/>
        </w:rPr>
        <w:t>持续</w:t>
      </w:r>
      <w:r>
        <w:rPr>
          <w:rFonts w:hint="eastAsia" w:cs="Times New Roman"/>
        </w:rPr>
        <w:t>推行</w:t>
      </w:r>
      <w:r>
        <w:rPr>
          <w:rFonts w:cs="Times New Roman"/>
        </w:rPr>
        <w:t>河长制，</w:t>
      </w:r>
      <w:r>
        <w:rPr>
          <w:rFonts w:hint="eastAsia" w:ascii="方正仿宋_GBK"/>
          <w:szCs w:val="32"/>
        </w:rPr>
        <w:t>健全县、乡镇（街道）、村（社区）三级河长组织体系，</w:t>
      </w:r>
      <w:r>
        <w:rPr>
          <w:rFonts w:ascii="方正仿宋_GBK"/>
          <w:szCs w:val="32"/>
        </w:rPr>
        <w:t>实现</w:t>
      </w:r>
      <w:r>
        <w:rPr>
          <w:rFonts w:hint="eastAsia" w:ascii="方正仿宋_GBK"/>
          <w:szCs w:val="32"/>
        </w:rPr>
        <w:t>县域</w:t>
      </w:r>
      <w:r>
        <w:rPr>
          <w:rFonts w:cs="Times New Roman"/>
          <w:szCs w:val="32"/>
        </w:rPr>
        <w:t>212条河流、54座水库全覆盖。充分发挥智慧河长系统，用好巡河APP，各级河长按照要求开展巡河，及时发现问题，上报问题，</w:t>
      </w:r>
      <w:r>
        <w:rPr>
          <w:rFonts w:cs="Times New Roman"/>
          <w:snapToGrid w:val="0"/>
          <w:kern w:val="0"/>
          <w:szCs w:val="32"/>
        </w:rPr>
        <w:t>解决河库乱占、乱采、乱堆、乱建等</w:t>
      </w:r>
      <w:r>
        <w:rPr>
          <w:rFonts w:hint="eastAsia" w:ascii="方正仿宋_GBK" w:cs="方正仿宋_GBK"/>
          <w:snapToGrid w:val="0"/>
          <w:kern w:val="0"/>
          <w:szCs w:val="32"/>
        </w:rPr>
        <w:t>“四乱”突</w:t>
      </w:r>
      <w:r>
        <w:rPr>
          <w:rFonts w:cs="Times New Roman"/>
          <w:snapToGrid w:val="0"/>
          <w:kern w:val="0"/>
          <w:szCs w:val="32"/>
        </w:rPr>
        <w:t>出问题。</w:t>
      </w:r>
      <w:r>
        <w:rPr>
          <w:rFonts w:hint="eastAsia" w:ascii="方正仿宋_GBK"/>
          <w:szCs w:val="32"/>
        </w:rPr>
        <w:t>持续推进暗访督查工作，采取“四不两直”方式</w:t>
      </w:r>
      <w:r>
        <w:rPr>
          <w:rStyle w:val="33"/>
          <w:rFonts w:cs="Times New Roman"/>
          <w:szCs w:val="32"/>
        </w:rPr>
        <w:footnoteReference w:id="6"/>
      </w:r>
      <w:r>
        <w:rPr>
          <w:rFonts w:hint="eastAsia" w:ascii="方正仿宋_GBK"/>
          <w:szCs w:val="32"/>
        </w:rPr>
        <w:t>，下沉一线，发现问题及时交办、督促整改，适时开展“回头看”，确保整改效果。持续推进智慧河长系统建设，运用智能化、大数据等手段，对污水偷排直排乱排行为的常态化、精准化监管。持续推进“河长+”模式，“河长+林长”促进水陆防治相结合；“河长+警长”充分履行公安职能；“河长+检察长”促进行政执法与检察机关法律监督有效衔接；“河长+民间河长”引导公众参与河流管护工作；“河长+河小青、巾帼河长”</w:t>
      </w:r>
      <w:r>
        <w:rPr>
          <w:rFonts w:ascii="方正仿宋_GBK"/>
          <w:szCs w:val="32"/>
        </w:rPr>
        <w:t>开展</w:t>
      </w:r>
      <w:r>
        <w:rPr>
          <w:rFonts w:hint="eastAsia" w:ascii="方正仿宋_GBK"/>
          <w:szCs w:val="32"/>
        </w:rPr>
        <w:t>志愿者</w:t>
      </w:r>
      <w:r>
        <w:rPr>
          <w:rFonts w:ascii="方正仿宋_GBK"/>
          <w:szCs w:val="32"/>
        </w:rPr>
        <w:t>护河</w:t>
      </w:r>
      <w:r>
        <w:rPr>
          <w:rFonts w:hint="eastAsia" w:ascii="方正仿宋_GBK"/>
          <w:szCs w:val="32"/>
        </w:rPr>
        <w:t>活动，</w:t>
      </w:r>
      <w:r>
        <w:rPr>
          <w:rFonts w:ascii="方正仿宋_GBK"/>
          <w:szCs w:val="32"/>
        </w:rPr>
        <w:t>形成</w:t>
      </w:r>
      <w:r>
        <w:rPr>
          <w:rFonts w:hint="eastAsia" w:ascii="方正仿宋_GBK"/>
          <w:szCs w:val="32"/>
        </w:rPr>
        <w:t>社会各界积极参与的河长体系。</w:t>
      </w:r>
    </w:p>
    <w:p>
      <w:pPr>
        <w:spacing w:line="594" w:lineRule="exact"/>
      </w:pPr>
      <w:r>
        <w:rPr>
          <w:rFonts w:hint="eastAsia" w:cs="Times New Roman"/>
          <w:b/>
          <w:bCs/>
          <w:kern w:val="0"/>
          <w:szCs w:val="28"/>
        </w:rPr>
        <w:t>全面推行林长制。</w:t>
      </w:r>
      <w:r>
        <w:rPr>
          <w:rFonts w:hint="eastAsia" w:cs="Times New Roman"/>
          <w:kern w:val="0"/>
          <w:szCs w:val="28"/>
        </w:rPr>
        <w:t>落实总林长-县级林长-乡级林长-村级林长“4级林长+网格员”组织和管理体系，</w:t>
      </w:r>
      <w:r>
        <w:rPr>
          <w:rFonts w:cs="Times New Roman"/>
          <w:kern w:val="0"/>
          <w:szCs w:val="28"/>
        </w:rPr>
        <w:t>细化落实</w:t>
      </w:r>
      <w:r>
        <w:rPr>
          <w:rFonts w:hint="eastAsia" w:cs="Times New Roman"/>
          <w:kern w:val="0"/>
          <w:szCs w:val="28"/>
        </w:rPr>
        <w:t>林</w:t>
      </w:r>
      <w:r>
        <w:rPr>
          <w:rFonts w:cs="Times New Roman"/>
          <w:kern w:val="0"/>
          <w:szCs w:val="28"/>
        </w:rPr>
        <w:t>长职责，将</w:t>
      </w:r>
      <w:r>
        <w:rPr>
          <w:rFonts w:hint="eastAsia" w:cs="Times New Roman"/>
          <w:kern w:val="0"/>
          <w:szCs w:val="28"/>
        </w:rPr>
        <w:t>责任明确到部门、乡镇、</w:t>
      </w:r>
      <w:r>
        <w:rPr>
          <w:rFonts w:cs="Times New Roman"/>
          <w:kern w:val="0"/>
          <w:szCs w:val="28"/>
        </w:rPr>
        <w:t>村级</w:t>
      </w:r>
      <w:r>
        <w:rPr>
          <w:rFonts w:hint="eastAsia" w:cs="Times New Roman"/>
          <w:kern w:val="0"/>
          <w:szCs w:val="28"/>
        </w:rPr>
        <w:t>具体人员。</w:t>
      </w:r>
      <w:r>
        <w:rPr>
          <w:rFonts w:hint="eastAsia" w:ascii="方正仿宋_GBK"/>
        </w:rPr>
        <w:t>搭建“林长通”智慧平台，建立林长制网格化监管体系、森林资源监管体系、源头防范和管控体系以及保护能力体系。</w:t>
      </w:r>
      <w:r>
        <w:rPr>
          <w:rFonts w:hint="eastAsia" w:cs="Times New Roman"/>
          <w:kern w:val="0"/>
          <w:szCs w:val="28"/>
        </w:rPr>
        <w:t>持续推进林长</w:t>
      </w:r>
      <w:r>
        <w:rPr>
          <w:rFonts w:cs="Times New Roman"/>
          <w:kern w:val="0"/>
          <w:szCs w:val="28"/>
        </w:rPr>
        <w:t>会议制度、</w:t>
      </w:r>
      <w:r>
        <w:rPr>
          <w:rFonts w:hint="eastAsia" w:cs="Times New Roman"/>
          <w:kern w:val="0"/>
          <w:szCs w:val="28"/>
        </w:rPr>
        <w:t>林长</w:t>
      </w:r>
      <w:r>
        <w:rPr>
          <w:rFonts w:cs="Times New Roman"/>
          <w:kern w:val="0"/>
          <w:szCs w:val="28"/>
        </w:rPr>
        <w:t>制考</w:t>
      </w:r>
      <w:r>
        <w:rPr>
          <w:rFonts w:cs="Times New Roman"/>
        </w:rPr>
        <w:t>核问责制度、部门联动制度、工作督察制度等工作机制</w:t>
      </w:r>
      <w:r>
        <w:rPr>
          <w:rFonts w:hint="eastAsia" w:cs="Times New Roman"/>
        </w:rPr>
        <w:t>，</w:t>
      </w:r>
      <w:r>
        <w:rPr>
          <w:rFonts w:cs="Times New Roman"/>
          <w:kern w:val="0"/>
          <w:szCs w:val="28"/>
        </w:rPr>
        <w:t>形成政府主导、分级负责、全民共管的森林资源保护管理长效机制</w:t>
      </w:r>
      <w:r>
        <w:rPr>
          <w:rFonts w:hint="eastAsia" w:cs="Times New Roman"/>
          <w:kern w:val="0"/>
          <w:szCs w:val="28"/>
        </w:rPr>
        <w:t>。</w:t>
      </w:r>
      <w:r>
        <w:rPr>
          <w:rFonts w:hint="eastAsia"/>
          <w:szCs w:val="32"/>
        </w:rPr>
        <w:t>完善林长制绩效考核评价机制，将森林覆盖率、森林蓄积量等列入各级林长责任制目标考核指标，推进林长制实施情况第三方评估。</w:t>
      </w:r>
    </w:p>
    <w:p>
      <w:pPr>
        <w:snapToGrid w:val="0"/>
        <w:spacing w:line="594" w:lineRule="exact"/>
        <w:rPr>
          <w:rFonts w:cs="Times New Roman"/>
        </w:rPr>
      </w:pPr>
      <w:r>
        <w:rPr>
          <w:rFonts w:hint="eastAsia" w:cs="Times New Roman"/>
          <w:b/>
          <w:bCs/>
          <w:szCs w:val="32"/>
        </w:rPr>
        <w:t>落实自然资源资产产权制度。</w:t>
      </w:r>
      <w:r>
        <w:rPr>
          <w:rFonts w:hint="eastAsia" w:cs="Times New Roman"/>
          <w:szCs w:val="32"/>
        </w:rPr>
        <w:t>按照《重庆市自然资源资产产权制度改革实施方案》，</w:t>
      </w:r>
      <w:r>
        <w:rPr>
          <w:szCs w:val="32"/>
        </w:rPr>
        <w:t>推进</w:t>
      </w:r>
      <w:r>
        <w:rPr>
          <w:rFonts w:hint="eastAsia"/>
          <w:szCs w:val="32"/>
        </w:rPr>
        <w:t>全域</w:t>
      </w:r>
      <w:r>
        <w:rPr>
          <w:szCs w:val="32"/>
        </w:rPr>
        <w:t>山、水、林、田、湖、草等自然资源确权登记</w:t>
      </w:r>
      <w:r>
        <w:rPr>
          <w:rFonts w:hint="eastAsia"/>
          <w:szCs w:val="32"/>
        </w:rPr>
        <w:t>，逐步</w:t>
      </w:r>
      <w:r>
        <w:rPr>
          <w:szCs w:val="32"/>
        </w:rPr>
        <w:t>清晰界定全</w:t>
      </w:r>
      <w:r>
        <w:rPr>
          <w:rFonts w:hint="eastAsia"/>
          <w:szCs w:val="32"/>
        </w:rPr>
        <w:t>县</w:t>
      </w:r>
      <w:r>
        <w:rPr>
          <w:szCs w:val="32"/>
        </w:rPr>
        <w:t>国土空间各类自然资源资产的产权主体，划清各类自然资源资产所有权、使用权边界</w:t>
      </w:r>
      <w:r>
        <w:rPr>
          <w:rFonts w:hint="eastAsia"/>
          <w:szCs w:val="32"/>
        </w:rPr>
        <w:t>，推动建立归属清晰、权责明确、保护严格、流转顺畅、监管有效的自然资源资产产权制度</w:t>
      </w:r>
      <w:r>
        <w:rPr>
          <w:rFonts w:cs="Times New Roman"/>
        </w:rPr>
        <w:t>，摸清自然资源资产家底。</w:t>
      </w:r>
      <w:r>
        <w:rPr>
          <w:rFonts w:hint="eastAsia"/>
          <w:szCs w:val="32"/>
        </w:rPr>
        <w:t>按照国家和市级总体部署，</w:t>
      </w:r>
      <w:r>
        <w:rPr>
          <w:rFonts w:hint="eastAsia" w:cs="Times New Roman"/>
          <w:szCs w:val="32"/>
        </w:rPr>
        <w:t>编制自然资源资产负债表。</w:t>
      </w:r>
      <w:r>
        <w:rPr>
          <w:szCs w:val="32"/>
        </w:rPr>
        <w:t>发挥政府管控</w:t>
      </w:r>
      <w:r>
        <w:rPr>
          <w:rFonts w:hint="eastAsia"/>
          <w:szCs w:val="32"/>
        </w:rPr>
        <w:t>和</w:t>
      </w:r>
      <w:r>
        <w:rPr>
          <w:szCs w:val="32"/>
        </w:rPr>
        <w:t>市场配置资源作用，发挥价格杠杆引导作用，</w:t>
      </w:r>
      <w:r>
        <w:rPr>
          <w:rFonts w:hint="eastAsia"/>
          <w:szCs w:val="32"/>
        </w:rPr>
        <w:t>开展自然资产价格评估，</w:t>
      </w:r>
      <w:r>
        <w:rPr>
          <w:szCs w:val="32"/>
        </w:rPr>
        <w:t>促进自然资源保护与合理开发利用。</w:t>
      </w:r>
      <w:r>
        <w:rPr>
          <w:rFonts w:hint="eastAsia" w:cs="Times New Roman"/>
          <w:szCs w:val="32"/>
        </w:rPr>
        <w:t>按照《领导干部自然资源资产离任审计规定（试行）》，有序推进县级部门、乡镇（街</w:t>
      </w:r>
      <w:r>
        <w:rPr>
          <w:rFonts w:hint="eastAsia" w:cs="Times New Roman"/>
        </w:rPr>
        <w:t>道）、园区、国有企业领导干部自然资源资产离任（任中）审计工作</w:t>
      </w:r>
      <w:r>
        <w:rPr>
          <w:rFonts w:cs="Times New Roman"/>
        </w:rPr>
        <w:t>。</w:t>
      </w:r>
    </w:p>
    <w:p>
      <w:pPr>
        <w:pStyle w:val="34"/>
        <w:numPr>
          <w:ilvl w:val="0"/>
          <w:numId w:val="0"/>
        </w:numPr>
        <w:ind w:left="2469"/>
      </w:pPr>
    </w:p>
    <w:p>
      <w:pPr>
        <w:pStyle w:val="5"/>
      </w:pPr>
      <w:bookmarkStart w:id="420" w:name="_Toc32549"/>
      <w:bookmarkStart w:id="421" w:name="_Toc27473"/>
      <w:bookmarkStart w:id="422" w:name="_Toc7305"/>
      <w:bookmarkStart w:id="423" w:name="_Toc10223"/>
      <w:bookmarkStart w:id="424" w:name="_Toc16554"/>
      <w:bookmarkStart w:id="425" w:name="_Toc30446"/>
      <w:bookmarkStart w:id="426" w:name="_Toc24420"/>
      <w:bookmarkStart w:id="427" w:name="_Toc23217"/>
      <w:bookmarkStart w:id="428" w:name="_Toc9071"/>
      <w:bookmarkStart w:id="429" w:name="_Toc21160"/>
      <w:bookmarkStart w:id="430" w:name="_Toc4244"/>
      <w:bookmarkStart w:id="431" w:name="_Toc1622"/>
      <w:bookmarkStart w:id="432" w:name="_Toc31878"/>
      <w:bookmarkStart w:id="433" w:name="_Toc32682"/>
      <w:bookmarkStart w:id="434" w:name="_Toc25141"/>
      <w:bookmarkStart w:id="435" w:name="_Toc25094"/>
      <w:bookmarkStart w:id="436" w:name="_Toc3886"/>
      <w:bookmarkStart w:id="437" w:name="_Toc30139"/>
      <w:bookmarkStart w:id="438" w:name="_Toc21916"/>
      <w:bookmarkStart w:id="439" w:name="_Toc6566"/>
      <w:bookmarkStart w:id="440" w:name="_Toc23363"/>
      <w:bookmarkStart w:id="441" w:name="_Toc7830"/>
      <w:bookmarkStart w:id="442" w:name="_Toc2431"/>
      <w:bookmarkStart w:id="443" w:name="_Toc25746"/>
      <w:r>
        <w:rPr>
          <w:rFonts w:hint="eastAsia"/>
          <w:bCs w:val="0"/>
        </w:rPr>
        <w:t>探索生态环境经济政策</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Pr>
          <w:rFonts w:hint="eastAsia"/>
          <w:bCs w:val="0"/>
        </w:rPr>
        <w:t>落实举措</w:t>
      </w:r>
    </w:p>
    <w:p>
      <w:pPr>
        <w:spacing w:line="594" w:lineRule="exact"/>
        <w:rPr>
          <w:b/>
          <w:bCs/>
          <w:szCs w:val="32"/>
        </w:rPr>
      </w:pPr>
    </w:p>
    <w:p>
      <w:pPr>
        <w:spacing w:line="594" w:lineRule="exact"/>
        <w:rPr>
          <w:szCs w:val="32"/>
        </w:rPr>
      </w:pPr>
      <w:r>
        <w:rPr>
          <w:rFonts w:hint="eastAsia"/>
          <w:b/>
          <w:bCs/>
          <w:szCs w:val="32"/>
        </w:rPr>
        <w:t>创新落实绿色金融政策。</w:t>
      </w:r>
      <w:r>
        <w:rPr>
          <w:rFonts w:hint="eastAsia"/>
          <w:szCs w:val="32"/>
        </w:rPr>
        <w:t>争取国家绿色发展基金，推进生态文明建设多元融资平台建设。</w:t>
      </w:r>
      <w:r>
        <w:rPr>
          <w:rFonts w:hint="eastAsia"/>
        </w:rPr>
        <w:t>鼓励符合条件的金融机构创新绿色金融服务模式，建立符合绿色企业和项目融资特点的绿色信贷服务体系，支持生态保护及绿色产业项目发展。配合市级推动商业银行将环境风险等生态环境指标分析纳入贷款流程。</w:t>
      </w:r>
      <w:r>
        <w:rPr>
          <w:szCs w:val="32"/>
        </w:rPr>
        <w:t>推动环境污染责任保险发展，鼓励企事业单位和其他生产经营者根据环境安全需要投保环境污染责任保险。</w:t>
      </w:r>
    </w:p>
    <w:p>
      <w:pPr>
        <w:spacing w:line="594" w:lineRule="exact"/>
        <w:rPr>
          <w:szCs w:val="32"/>
        </w:rPr>
      </w:pPr>
      <w:r>
        <w:rPr>
          <w:rFonts w:hint="eastAsia"/>
          <w:b/>
          <w:bCs/>
          <w:szCs w:val="32"/>
        </w:rPr>
        <w:t>探索完善绿色价格政策。</w:t>
      </w:r>
      <w:r>
        <w:rPr>
          <w:rFonts w:hint="eastAsia"/>
          <w:szCs w:val="32"/>
        </w:rPr>
        <w:t>持续</w:t>
      </w:r>
      <w:r>
        <w:rPr>
          <w:szCs w:val="32"/>
        </w:rPr>
        <w:t>推进非居民用水超定额累进加价制度，促进水资源节约利用和产业结构调整。</w:t>
      </w:r>
      <w:r>
        <w:rPr>
          <w:rFonts w:hint="eastAsia"/>
          <w:szCs w:val="32"/>
        </w:rPr>
        <w:t>推进农业水价综合改革，探索建立农业用水精准补贴机制。完善污水处理收费制度，探索污水处理费动态调整机制和企业污水排放差别化收费机制。</w:t>
      </w:r>
    </w:p>
    <w:p>
      <w:pPr>
        <w:spacing w:line="594" w:lineRule="exact"/>
        <w:rPr>
          <w:szCs w:val="32"/>
        </w:rPr>
      </w:pPr>
      <w:r>
        <w:rPr>
          <w:rFonts w:hint="eastAsia"/>
          <w:b/>
          <w:bCs/>
          <w:szCs w:val="32"/>
        </w:rPr>
        <w:t>落实资源有偿使用和生态补偿制度。</w:t>
      </w:r>
      <w:r>
        <w:rPr>
          <w:szCs w:val="32"/>
        </w:rPr>
        <w:t>完善土地资源有偿使用制度，扩大国有土地有偿使用范围，完善工业用地供应方式，通过土地承包经营、出租等方式规范农用地有偿使用。完善水资源有偿使用，严格水资源费征收管理，按照规定的征收范围、对象、标准和程序征收，确保应收尽收。完善生态补偿机制，</w:t>
      </w:r>
      <w:r>
        <w:rPr>
          <w:rFonts w:hint="eastAsia" w:ascii="方正仿宋_GBK" w:hAnsi="方正仿宋_GBK" w:cs="方正仿宋_GBK"/>
          <w:szCs w:val="32"/>
        </w:rPr>
        <w:t>按照“谁受益、谁补偿，谁保护、谁受偿”的原则</w:t>
      </w:r>
      <w:r>
        <w:rPr>
          <w:szCs w:val="32"/>
        </w:rPr>
        <w:t>，落实</w:t>
      </w:r>
      <w:r>
        <w:rPr>
          <w:rFonts w:hint="eastAsia"/>
          <w:szCs w:val="32"/>
        </w:rPr>
        <w:t>《梅溪河流域上下游横向生态补偿协议》</w:t>
      </w:r>
      <w:r>
        <w:rPr>
          <w:szCs w:val="32"/>
        </w:rPr>
        <w:t>，</w:t>
      </w:r>
      <w:r>
        <w:rPr>
          <w:rFonts w:hint="eastAsia"/>
          <w:szCs w:val="32"/>
        </w:rPr>
        <w:t>引导生态受益者对保护者补偿。</w:t>
      </w:r>
    </w:p>
    <w:p>
      <w:pPr>
        <w:spacing w:line="594" w:lineRule="exact"/>
        <w:rPr>
          <w:szCs w:val="32"/>
        </w:rPr>
        <w:sectPr>
          <w:pgSz w:w="11906" w:h="16838"/>
          <w:pgMar w:top="2098" w:right="1474" w:bottom="1984" w:left="1587" w:header="851" w:footer="1474" w:gutter="0"/>
          <w:cols w:space="720" w:num="1"/>
          <w:docGrid w:type="lines" w:linePitch="439" w:charSpace="0"/>
        </w:sectPr>
      </w:pPr>
      <w:r>
        <w:rPr>
          <w:rFonts w:hint="eastAsia"/>
          <w:b/>
          <w:bCs/>
          <w:szCs w:val="32"/>
        </w:rPr>
        <w:t>落实企业环境信用评价制度。</w:t>
      </w:r>
      <w:r>
        <w:rPr>
          <w:rFonts w:hint="eastAsia"/>
          <w:szCs w:val="32"/>
        </w:rPr>
        <w:t>按照《重庆市企业环境信用评价办法》，有序推进县域内企业开展环境信用评价工作</w:t>
      </w:r>
      <w:r>
        <w:rPr>
          <w:szCs w:val="32"/>
        </w:rPr>
        <w:t>。</w:t>
      </w:r>
      <w:r>
        <w:rPr>
          <w:rFonts w:hint="eastAsia"/>
          <w:szCs w:val="32"/>
        </w:rPr>
        <w:t>建立健全评价结果运用机制，实施分级分类监管，将评价</w:t>
      </w:r>
      <w:r>
        <w:rPr>
          <w:rFonts w:hint="eastAsia" w:ascii="方正仿宋_GBK" w:hAnsi="方正仿宋_GBK" w:cs="方正仿宋_GBK"/>
          <w:szCs w:val="32"/>
        </w:rPr>
        <w:t>等级为“</w:t>
      </w:r>
      <w:r>
        <w:rPr>
          <w:rFonts w:hint="eastAsia" w:ascii="方正仿宋_GBK" w:hAnsi="方正仿宋_GBK" w:cs="方正仿宋_GBK"/>
          <w:szCs w:val="32"/>
          <w:shd w:val="clear" w:color="auto" w:fill="FFFFFF"/>
        </w:rPr>
        <w:t>警示企业”或“不良企业”企业名单</w:t>
      </w:r>
      <w:r>
        <w:rPr>
          <w:rFonts w:hint="eastAsia" w:ascii="方正仿宋_GBK" w:hAnsi="方正仿宋_GBK" w:cs="方正仿宋_GBK"/>
          <w:szCs w:val="32"/>
        </w:rPr>
        <w:t>公示并多部门共享</w:t>
      </w:r>
      <w:r>
        <w:rPr>
          <w:rFonts w:hint="eastAsia"/>
          <w:szCs w:val="32"/>
        </w:rPr>
        <w:t>，同时</w:t>
      </w:r>
      <w:r>
        <w:rPr>
          <w:rFonts w:hint="eastAsia"/>
          <w:szCs w:val="32"/>
          <w:shd w:val="clear" w:color="auto" w:fill="FFFFFF"/>
        </w:rPr>
        <w:t>作为生态环境、安全生产、风险管控等监督检查的重点企业，加大双随机执法抽查频次，在日常监管工作中给予重点关注</w:t>
      </w:r>
      <w:r>
        <w:rPr>
          <w:rFonts w:hint="eastAsia"/>
          <w:szCs w:val="32"/>
        </w:rPr>
        <w:t>。配合市级将环境违法企业按规范纳入失信联合惩戒名单和全国信用信息共享平台，让失信企业一次违法、处处受限。</w:t>
      </w:r>
    </w:p>
    <w:bookmarkEnd w:id="440"/>
    <w:bookmarkEnd w:id="441"/>
    <w:bookmarkEnd w:id="442"/>
    <w:bookmarkEnd w:id="443"/>
    <w:p>
      <w:pPr>
        <w:pStyle w:val="4"/>
        <w:spacing w:line="594" w:lineRule="exact"/>
        <w:ind w:left="0"/>
      </w:pPr>
      <w:bookmarkStart w:id="444" w:name="_Toc11909"/>
      <w:bookmarkStart w:id="445" w:name="_Toc26810"/>
      <w:bookmarkStart w:id="446" w:name="_Toc15097"/>
      <w:bookmarkStart w:id="447" w:name="_Toc30344"/>
      <w:bookmarkStart w:id="448" w:name="_Toc25555"/>
      <w:bookmarkStart w:id="449" w:name="_Toc18285"/>
      <w:bookmarkStart w:id="450" w:name="_Toc30062"/>
      <w:bookmarkStart w:id="451" w:name="_Toc31711"/>
      <w:bookmarkStart w:id="452" w:name="_Toc31082"/>
      <w:bookmarkStart w:id="453" w:name="_Toc26120"/>
      <w:bookmarkStart w:id="454" w:name="_Toc31061"/>
      <w:bookmarkStart w:id="455" w:name="_Toc8747"/>
      <w:bookmarkStart w:id="456" w:name="_Toc7269"/>
      <w:bookmarkStart w:id="457" w:name="_Toc15726"/>
      <w:bookmarkStart w:id="458" w:name="_Toc14355"/>
      <w:bookmarkStart w:id="459" w:name="_Toc30212"/>
      <w:bookmarkStart w:id="460" w:name="_Toc10682"/>
      <w:bookmarkStart w:id="461" w:name="_Toc17138"/>
      <w:bookmarkStart w:id="462" w:name="_Toc20237"/>
      <w:bookmarkStart w:id="463" w:name="_Toc21643"/>
      <w:bookmarkStart w:id="464" w:name="_Toc27148"/>
      <w:bookmarkStart w:id="465" w:name="_Toc27736"/>
      <w:bookmarkStart w:id="466" w:name="_Toc1993"/>
      <w:bookmarkStart w:id="467" w:name="_Toc5673"/>
      <w:r>
        <w:rPr>
          <w:rFonts w:hint="eastAsia"/>
        </w:rPr>
        <w:t>深入打好污染防治攻坚战，</w:t>
      </w:r>
      <w:r>
        <w:t>持续改善生态环境</w:t>
      </w:r>
      <w:bookmarkEnd w:id="354"/>
      <w:bookmarkEnd w:id="355"/>
      <w:bookmarkEnd w:id="356"/>
      <w:bookmarkEnd w:id="357"/>
      <w:bookmarkEnd w:id="358"/>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spacing w:line="594" w:lineRule="exact"/>
        <w:rPr>
          <w:szCs w:val="22"/>
        </w:rPr>
      </w:pPr>
    </w:p>
    <w:p>
      <w:pPr>
        <w:spacing w:line="594" w:lineRule="exact"/>
        <w:rPr>
          <w:szCs w:val="22"/>
        </w:rPr>
      </w:pPr>
      <w:r>
        <w:rPr>
          <w:rFonts w:hint="eastAsia"/>
          <w:szCs w:val="22"/>
        </w:rPr>
        <w:t>深入打好污染防治攻坚战，协同推进水、大气、土壤等污染治理，持续改善生态环境质量。以多污染物协同减排和精细化管理为重点，精准施策持续改善大气环境质量；</w:t>
      </w:r>
      <w:r>
        <w:rPr>
          <w:rFonts w:hint="eastAsia"/>
        </w:rPr>
        <w:t>强化控源、治污、扩容等措施加强水环境保护和水生态修复</w:t>
      </w:r>
      <w:r>
        <w:rPr>
          <w:rFonts w:hint="eastAsia"/>
          <w:szCs w:val="22"/>
        </w:rPr>
        <w:t>；严格源头防控、加强建设用地风险管控、实施农用地分类管理、开展土壤污染综合治理全面保障土壤安全；加强噪声源头预防，控制各类噪声污染营造宁静生活环境。</w:t>
      </w:r>
    </w:p>
    <w:p>
      <w:pPr>
        <w:pStyle w:val="34"/>
        <w:numPr>
          <w:ilvl w:val="0"/>
          <w:numId w:val="0"/>
        </w:numPr>
        <w:ind w:left="2469"/>
      </w:pPr>
    </w:p>
    <w:p>
      <w:pPr>
        <w:pStyle w:val="5"/>
      </w:pPr>
      <w:bookmarkStart w:id="468" w:name="_Toc2130"/>
      <w:bookmarkStart w:id="469" w:name="_Toc22351"/>
      <w:bookmarkStart w:id="470" w:name="_Toc14009"/>
      <w:bookmarkStart w:id="471" w:name="_Toc4341"/>
      <w:bookmarkStart w:id="472" w:name="_Toc4202"/>
      <w:bookmarkStart w:id="473" w:name="_Toc20299"/>
      <w:bookmarkStart w:id="474" w:name="_Toc28842"/>
      <w:bookmarkStart w:id="475" w:name="_Toc30001"/>
      <w:bookmarkStart w:id="476" w:name="_Toc28615"/>
      <w:bookmarkStart w:id="477" w:name="_Toc31223"/>
      <w:bookmarkStart w:id="478" w:name="_Toc24134"/>
      <w:bookmarkStart w:id="479" w:name="_Toc32403"/>
      <w:bookmarkStart w:id="480" w:name="_Toc16118"/>
      <w:bookmarkStart w:id="481" w:name="_Toc24057"/>
      <w:bookmarkStart w:id="482" w:name="_Toc32060"/>
      <w:bookmarkStart w:id="483" w:name="_Toc22761"/>
      <w:bookmarkStart w:id="484" w:name="_Toc12216"/>
      <w:bookmarkStart w:id="485" w:name="_Toc1453"/>
      <w:bookmarkStart w:id="486" w:name="_Toc30251"/>
      <w:bookmarkStart w:id="487" w:name="_Toc2997"/>
      <w:bookmarkStart w:id="488" w:name="_Toc23170"/>
      <w:bookmarkStart w:id="489" w:name="_Toc22836"/>
      <w:bookmarkStart w:id="490" w:name="_Toc868"/>
      <w:bookmarkStart w:id="491" w:name="_Toc2078"/>
      <w:bookmarkStart w:id="492" w:name="_Toc18113"/>
      <w:bookmarkStart w:id="493" w:name="_Toc9919"/>
      <w:bookmarkStart w:id="494" w:name="_Toc2773"/>
      <w:bookmarkStart w:id="495" w:name="_Toc22308"/>
      <w:bookmarkStart w:id="496" w:name="_Toc27656"/>
      <w:r>
        <w:rPr>
          <w:rFonts w:hint="eastAsia"/>
        </w:rPr>
        <w:t>精准施策改善大气环境质量</w:t>
      </w:r>
      <w:bookmarkEnd w:id="328"/>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pPr>
        <w:spacing w:line="594" w:lineRule="exact"/>
        <w:rPr>
          <w:b/>
          <w:bCs/>
          <w:szCs w:val="22"/>
        </w:rPr>
      </w:pPr>
    </w:p>
    <w:p>
      <w:pPr>
        <w:spacing w:line="594" w:lineRule="exact"/>
        <w:rPr>
          <w:rFonts w:ascii="方正仿宋_GBK" w:cs="方正仿宋_GBK"/>
          <w:b/>
          <w:szCs w:val="32"/>
        </w:rPr>
      </w:pPr>
      <w:r>
        <w:rPr>
          <w:rFonts w:hint="eastAsia"/>
          <w:b/>
          <w:bCs/>
          <w:szCs w:val="22"/>
        </w:rPr>
        <w:t>落实大气环境目标控制。</w:t>
      </w:r>
      <w:r>
        <w:rPr>
          <w:rFonts w:hint="eastAsia"/>
          <w:szCs w:val="22"/>
        </w:rPr>
        <w:t>强化工业、扬尘、交通、生活污染防治，确保区域空气质量优良天数、PM</w:t>
      </w:r>
      <w:r>
        <w:rPr>
          <w:rFonts w:hint="eastAsia"/>
          <w:szCs w:val="22"/>
          <w:vertAlign w:val="subscript"/>
        </w:rPr>
        <w:t>2.5</w:t>
      </w:r>
      <w:r>
        <w:rPr>
          <w:rFonts w:hint="eastAsia"/>
          <w:szCs w:val="22"/>
        </w:rPr>
        <w:t>年均浓度满足市级下达的任务要求，基本消除重污染天数，二氧化硫、氮氧化物等大气污染物排放总量达到市级考核要求。</w:t>
      </w:r>
    </w:p>
    <w:p>
      <w:pPr>
        <w:spacing w:line="594" w:lineRule="exact"/>
        <w:rPr>
          <w:rFonts w:cs="Times New Roman"/>
        </w:rPr>
      </w:pPr>
      <w:r>
        <w:rPr>
          <w:rFonts w:hint="eastAsia" w:ascii="方正仿宋_GBK" w:cs="方正仿宋_GBK"/>
          <w:b/>
          <w:szCs w:val="32"/>
        </w:rPr>
        <w:t>强化工业污染防治。</w:t>
      </w:r>
      <w:r>
        <w:rPr>
          <w:rFonts w:hint="eastAsia" w:ascii="方正仿宋_GBK" w:cs="方正仿宋_GBK"/>
          <w:bCs/>
          <w:szCs w:val="32"/>
        </w:rPr>
        <w:t>以控制挥发性有机物、颗粒物、氮氧化物排放量为重点，</w:t>
      </w:r>
      <w:r>
        <w:rPr>
          <w:rFonts w:hint="eastAsia" w:ascii="方正仿宋_GBK" w:cs="方正仿宋_GBK"/>
          <w:szCs w:val="32"/>
        </w:rPr>
        <w:t>加强涉挥发性有机物企业监管，有序推进企业深度治理；加强华电国际、重名水泥、万州西南水泥奉节分公司等重点排污单位管控，确保大气污染治理设施稳定运行，废气达标排放；加强中小微“散乱污”企业综合整治。</w:t>
      </w:r>
    </w:p>
    <w:p>
      <w:pPr>
        <w:spacing w:line="594" w:lineRule="exact"/>
        <w:rPr>
          <w:rFonts w:ascii="方正仿宋_GBK" w:cs="方正仿宋_GBK"/>
        </w:rPr>
      </w:pPr>
      <w:r>
        <w:rPr>
          <w:rFonts w:hint="eastAsia" w:cs="Times New Roman"/>
          <w:b/>
          <w:bCs/>
        </w:rPr>
        <w:t>强化扬尘污染控制。</w:t>
      </w:r>
      <w:r>
        <w:rPr>
          <w:rFonts w:hint="eastAsia" w:cs="Times New Roman"/>
        </w:rPr>
        <w:t>以</w:t>
      </w:r>
      <w:r>
        <w:rPr>
          <w:rFonts w:cs="Times New Roman"/>
        </w:rPr>
        <w:t>工地</w:t>
      </w:r>
      <w:r>
        <w:rPr>
          <w:rFonts w:hint="eastAsia" w:cs="Times New Roman"/>
        </w:rPr>
        <w:t>及道路</w:t>
      </w:r>
      <w:r>
        <w:rPr>
          <w:rFonts w:cs="Times New Roman"/>
        </w:rPr>
        <w:t>扬尘</w:t>
      </w:r>
      <w:r>
        <w:rPr>
          <w:rFonts w:hint="eastAsia" w:cs="Times New Roman"/>
        </w:rPr>
        <w:t>为管控重点，</w:t>
      </w:r>
      <w:r>
        <w:rPr>
          <w:rFonts w:hint="eastAsia"/>
        </w:rPr>
        <w:t>加强施工扬尘监管，实施《建筑施工现场扬尘控制管理标准》，督促工地落实控尘“十项强制性规定”</w:t>
      </w:r>
      <w:r>
        <w:rPr>
          <w:rStyle w:val="33"/>
          <w:rFonts w:hint="eastAsia"/>
        </w:rPr>
        <w:footnoteReference w:id="7"/>
      </w:r>
      <w:r>
        <w:rPr>
          <w:rFonts w:hint="eastAsia"/>
        </w:rPr>
        <w:t>，建立对违法违规企业的长效制约机制，完善施工单位扬尘控制“黑名单”，扬尘控制情况纳入建筑施工企业诚信综合评价和环境信用评价，并纳入资质等级管理；进一步完善建筑工地“红黄绿”标志分类管控制度，动态管理“红黄绿”标志名单，不搞“一刀切”，绿色标志工地在空气重污染天气</w:t>
      </w:r>
      <w:r>
        <w:t>符合控尘要求的可继续施工</w:t>
      </w:r>
      <w:r>
        <w:rPr>
          <w:rFonts w:hint="eastAsia"/>
        </w:rPr>
        <w:t>，黄色标志工地警示整改，红色标志工地从严管控。加强道路扬尘控制，加强道路洒水、清扫、冲洗立体化保洁，主要城市道路机扫率达到90%以上，积极</w:t>
      </w:r>
      <w:r>
        <w:rPr>
          <w:rFonts w:hint="eastAsia" w:ascii="方正仿宋_GBK" w:cs="方正仿宋_GBK"/>
        </w:rPr>
        <w:t>开展扬尘控制示范道路创建</w:t>
      </w:r>
      <w:r>
        <w:rPr>
          <w:rFonts w:hint="eastAsia"/>
        </w:rPr>
        <w:t>；</w:t>
      </w:r>
      <w:r>
        <w:rPr>
          <w:rFonts w:cs="Times New Roman"/>
        </w:rPr>
        <w:t>开展高铁新城道路扬尘污染防治专项执法行动</w:t>
      </w:r>
      <w:r>
        <w:rPr>
          <w:rFonts w:hint="eastAsia" w:cs="Times New Roman"/>
        </w:rPr>
        <w:t>；</w:t>
      </w:r>
      <w:r>
        <w:rPr>
          <w:rFonts w:hint="eastAsia" w:ascii="方正仿宋_GBK" w:cs="方正仿宋_GBK"/>
        </w:rPr>
        <w:t>推进渣土密闭运输联合执法，严格落实“定车辆、定线路、定渣场”要求。</w:t>
      </w:r>
    </w:p>
    <w:p>
      <w:pPr>
        <w:spacing w:line="594" w:lineRule="exact"/>
        <w:rPr>
          <w:rFonts w:ascii="方正仿宋_GBK" w:cs="方正仿宋_GBK"/>
        </w:rPr>
      </w:pPr>
      <w:r>
        <w:rPr>
          <w:rFonts w:hint="eastAsia" w:ascii="方正仿宋_GBK" w:cs="方正仿宋_GBK"/>
          <w:b/>
          <w:bCs/>
        </w:rPr>
        <w:t>强化交通污染防治。</w:t>
      </w:r>
      <w:r>
        <w:rPr>
          <w:rFonts w:hint="eastAsia" w:ascii="方正仿宋_GBK" w:cs="方正仿宋_GBK"/>
        </w:rPr>
        <w:t>加快淘汰“国三”及以下排放标准柴油和燃气汽车（含场内车辆），推动淘汰“国三”及以下排放标准汽油车。严格落实汽车排放检验与维护制度有关要求，实现对在用车排放检验与维护治理闭环管理。加强船舶码头污染防治，加快淘汰高污染、高耗能的客船和老旧运输船舶，</w:t>
      </w:r>
      <w:r>
        <w:rPr>
          <w:rFonts w:cs="Times New Roman"/>
        </w:rPr>
        <w:t>从2022年7月1日起，限制高排放船舶使用，鼓励淘汰船龄20年以上的内河航运船舶，推广使用电、天然气等新能源或者清洁能源船舶</w:t>
      </w:r>
      <w:r>
        <w:rPr>
          <w:rFonts w:hint="eastAsia" w:ascii="方正仿宋_GBK" w:cs="方正仿宋_GBK"/>
        </w:rPr>
        <w:t>。加强非道路移动机械污染管控，持续推进非道路移动机械抽检，</w:t>
      </w:r>
      <w:r>
        <w:rPr>
          <w:rFonts w:cs="Times New Roman"/>
        </w:rPr>
        <w:t>从2022年12月1日起，全面实施《非道路移动机械用柴油机排气污染物排放现值及测量方法（中国第三、四阶段）》（GB20891-2014）</w:t>
      </w:r>
      <w:r>
        <w:rPr>
          <w:rFonts w:hint="eastAsia" w:ascii="方正仿宋_GBK" w:cs="方正仿宋_GBK"/>
        </w:rPr>
        <w:t>第四阶段排放标准。</w:t>
      </w:r>
      <w:r>
        <w:rPr>
          <w:rFonts w:hint="eastAsia"/>
        </w:rPr>
        <w:t>加强对加油站、储油库监管，加大油品质量检测，严厉打击生产、销售不合格油品、车用压缩天然气和车用尿素行为，鼓励有条件的加油站开展油气处理装置（三级回收）安装试点。大力推广新能源车，推广公交车、出租车、网约车等公共领域用车纯电动化，机关单位示范带动新能源车使用，加快推进新能源充电桩等基础设施建设。坚持公交优先战略，加大高峰时段公交车发车频次，提高公交出行比例。</w:t>
      </w:r>
    </w:p>
    <w:p>
      <w:pPr>
        <w:spacing w:line="594" w:lineRule="exact"/>
        <w:rPr>
          <w:rFonts w:ascii="方正仿宋_GBK" w:cs="方正仿宋_GBK"/>
        </w:rPr>
      </w:pPr>
      <w:r>
        <w:rPr>
          <w:rFonts w:hint="eastAsia" w:ascii="方正仿宋_GBK" w:cs="方正仿宋_GBK"/>
          <w:b/>
          <w:bCs/>
        </w:rPr>
        <w:t>强化生活污染防治。</w:t>
      </w:r>
      <w:r>
        <w:rPr>
          <w:rFonts w:hint="eastAsia" w:ascii="方正仿宋_GBK" w:cs="方正仿宋_GBK"/>
        </w:rPr>
        <w:t>巩固餐饮业油烟治理成效，督促餐饮业定期（原则上每月</w:t>
      </w:r>
      <w:r>
        <w:rPr>
          <w:rFonts w:cs="Times New Roman"/>
        </w:rPr>
        <w:t>1</w:t>
      </w:r>
      <w:r>
        <w:rPr>
          <w:rFonts w:hint="eastAsia" w:ascii="方正仿宋_GBK" w:cs="方正仿宋_GBK"/>
        </w:rPr>
        <w:t>次）维护保养油烟净化设施并建立运维台账。充分利用餐饮业基础信息数据库，加大排查力度，查处排放污染物不达标、油烟净化设施闲置等违法行为。巩固公共机构食堂治理成效，对已治理的公共机构食堂进行餐饮油烟治理成效监测，督促开展油烟净化设施清洗维护。巩固和扩大高污染燃料禁燃区，巩固扩大烟花爆竹禁放区域。严格执行《关于禁止在非指定区域露天焚烧、露天烧烤和经营食品摊贩的通告》，加大对在非指定区域露天焚烧垃圾和树叶、露天烧烤、露天经营餐饮行为的查处力度，鼓励烧烤经营户改用符合环保要求的烧烤炉具。推广城市建成区电烧烤和集中熏制食品，严禁露天熏制食品。</w:t>
      </w:r>
    </w:p>
    <w:p>
      <w:pPr>
        <w:spacing w:line="594" w:lineRule="exact"/>
        <w:rPr>
          <w:rFonts w:ascii="方正仿宋_GBK" w:cs="方正仿宋_GBK"/>
        </w:rPr>
      </w:pPr>
      <w:r>
        <w:rPr>
          <w:rFonts w:hint="eastAsia" w:ascii="方正仿宋_GBK" w:cs="方正仿宋_GBK"/>
          <w:b/>
          <w:szCs w:val="32"/>
        </w:rPr>
        <w:t>落实大气污染防治联防联控。</w:t>
      </w:r>
      <w:r>
        <w:rPr>
          <w:rFonts w:hint="eastAsia" w:cs="Times New Roman"/>
          <w:bCs/>
        </w:rPr>
        <w:t>生态环境、气象部门协调联动，建立指挥调度体系与污染天气分类管控体系，完善生态环境监测和气象信息共享机制，实现跨部门业务协同和信息共享，进一步提高污染天气过程预报的精准度，延长预见期，积极应对轻、中度污染天气，落实重污染天气应急预案，有效减少污染天气影响。</w:t>
      </w:r>
      <w:r>
        <w:rPr>
          <w:rFonts w:hint="eastAsia" w:ascii="方正仿宋_GBK" w:cs="方正仿宋_GBK"/>
        </w:rPr>
        <w:t>开展夏季臭氧、秋冬季大气污染防治专项行动，加大秸秆焚烧、烟熏腊肉管控力度。</w:t>
      </w:r>
    </w:p>
    <w:p>
      <w:pPr>
        <w:pStyle w:val="34"/>
        <w:numPr>
          <w:ilvl w:val="0"/>
          <w:numId w:val="0"/>
        </w:numPr>
        <w:ind w:left="2469"/>
      </w:pPr>
    </w:p>
    <w:bookmarkEnd w:id="329"/>
    <w:p>
      <w:pPr>
        <w:pStyle w:val="5"/>
      </w:pPr>
      <w:bookmarkStart w:id="497" w:name="_Toc27575"/>
      <w:bookmarkStart w:id="498" w:name="_Toc21317"/>
      <w:bookmarkStart w:id="499" w:name="_Toc28187"/>
      <w:bookmarkStart w:id="500" w:name="_Toc12468"/>
      <w:bookmarkStart w:id="501" w:name="_Toc5658"/>
      <w:bookmarkStart w:id="502" w:name="_Toc11349"/>
      <w:bookmarkStart w:id="503" w:name="_Toc17356"/>
      <w:bookmarkStart w:id="504" w:name="_Toc27827"/>
      <w:bookmarkStart w:id="505" w:name="_Toc19998"/>
      <w:bookmarkStart w:id="506" w:name="_Toc5850"/>
      <w:bookmarkStart w:id="507" w:name="_Toc26086"/>
      <w:bookmarkStart w:id="508" w:name="_Toc7147"/>
      <w:bookmarkStart w:id="509" w:name="_Toc16745"/>
      <w:bookmarkStart w:id="510" w:name="_Toc59438068"/>
      <w:bookmarkStart w:id="511" w:name="_Toc23686"/>
      <w:bookmarkStart w:id="512" w:name="_Toc7506"/>
      <w:bookmarkStart w:id="513" w:name="_Toc6394"/>
      <w:bookmarkStart w:id="514" w:name="_Toc10201"/>
      <w:bookmarkStart w:id="515" w:name="_Toc12142"/>
      <w:bookmarkStart w:id="516" w:name="_Toc20982"/>
      <w:bookmarkStart w:id="517" w:name="_Toc296"/>
      <w:bookmarkStart w:id="518" w:name="_Toc10677"/>
      <w:bookmarkStart w:id="519" w:name="_Toc19157"/>
      <w:bookmarkStart w:id="520" w:name="_Toc12693"/>
      <w:bookmarkStart w:id="521" w:name="_Toc16835"/>
      <w:bookmarkStart w:id="522" w:name="_Toc11320"/>
      <w:bookmarkStart w:id="523" w:name="_Toc5723"/>
      <w:bookmarkStart w:id="524" w:name="_Toc13684"/>
      <w:bookmarkStart w:id="525" w:name="_Toc8263"/>
      <w:bookmarkStart w:id="526" w:name="_Toc30710"/>
      <w:r>
        <w:rPr>
          <w:rFonts w:hint="eastAsia"/>
        </w:rPr>
        <w:t>加强水环境保护和水生态修复</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pPr>
        <w:spacing w:line="594" w:lineRule="exact"/>
        <w:rPr>
          <w:rFonts w:cs="Times New Roman"/>
          <w:b/>
          <w:szCs w:val="32"/>
        </w:rPr>
      </w:pPr>
    </w:p>
    <w:p>
      <w:pPr>
        <w:spacing w:line="594" w:lineRule="exact"/>
        <w:rPr>
          <w:rFonts w:cs="Times New Roman"/>
          <w:bCs/>
          <w:szCs w:val="32"/>
        </w:rPr>
      </w:pPr>
      <w:r>
        <w:rPr>
          <w:rFonts w:hint="eastAsia" w:cs="Times New Roman"/>
          <w:b/>
          <w:szCs w:val="32"/>
        </w:rPr>
        <w:t>加强河流水质目标管理。</w:t>
      </w:r>
      <w:r>
        <w:rPr>
          <w:rFonts w:hint="eastAsia" w:cs="Times New Roman"/>
          <w:bCs/>
          <w:szCs w:val="32"/>
        </w:rPr>
        <w:t>深化水环境综合治理，水质考核断面、水环境功能区水质达标率均满足市级下达的任务要求。确保地表水水质优良（达到或优于Ⅲ类）比例达100%，水功能区水质达标率100%，城市、乡镇集中式饮用水水源地水质达标率均为</w:t>
      </w:r>
      <w:r>
        <w:rPr>
          <w:rFonts w:cs="Times New Roman"/>
          <w:bCs/>
          <w:szCs w:val="32"/>
        </w:rPr>
        <w:t>100%</w:t>
      </w:r>
      <w:r>
        <w:rPr>
          <w:rFonts w:hint="eastAsia" w:cs="Times New Roman"/>
          <w:bCs/>
          <w:szCs w:val="32"/>
        </w:rPr>
        <w:t>，化学需氧量、氨氮等主要水污染物排放总量达到市级考核要求。</w:t>
      </w:r>
    </w:p>
    <w:p>
      <w:pPr>
        <w:spacing w:line="594" w:lineRule="exact"/>
        <w:rPr>
          <w:rFonts w:cs="Times New Roman"/>
          <w:bCs/>
          <w:szCs w:val="32"/>
        </w:rPr>
      </w:pPr>
      <w:r>
        <w:rPr>
          <w:rFonts w:hint="eastAsia" w:cs="Times New Roman"/>
          <w:b/>
          <w:szCs w:val="32"/>
        </w:rPr>
        <w:t>加强饮用水源安全保护。</w:t>
      </w:r>
      <w:r>
        <w:rPr>
          <w:rFonts w:hint="eastAsia"/>
          <w:szCs w:val="28"/>
        </w:rPr>
        <w:t>巩固</w:t>
      </w:r>
      <w:r>
        <w:rPr>
          <w:rFonts w:hint="eastAsia" w:cs="Times New Roman"/>
          <w:bCs/>
          <w:szCs w:val="32"/>
        </w:rPr>
        <w:t>青莲溪水库、黄井水库城市集中式饮用水水源地</w:t>
      </w:r>
      <w:r>
        <w:rPr>
          <w:rFonts w:hint="eastAsia"/>
          <w:szCs w:val="28"/>
        </w:rPr>
        <w:t>现有规范化建设成果，</w:t>
      </w:r>
      <w:r>
        <w:rPr>
          <w:rFonts w:hint="eastAsia"/>
        </w:rPr>
        <w:t>对损坏的隔离防护设施及标识标牌进行修复更换，</w:t>
      </w:r>
      <w:r>
        <w:rPr>
          <w:rFonts w:hint="eastAsia" w:cs="Times New Roman"/>
          <w:bCs/>
          <w:szCs w:val="32"/>
        </w:rPr>
        <w:t>完成2个城市集中式饮用水水源地环境状况评估及报告。加快推进“万人千吨”集中式饮用水水源地规范化建设，全面清理整治保护区内的环境问题。集中式饮用水水源地类型变更或新增水源地应加快实施水源地规范化建设，落实隔离防护网、标识标牌等设施建设，强化水源地保护。推进长江流域、崔家河流域、梅溪河流域乡镇集中式饮用水水源地综合治理。强化集中式饮用水水源地管理，按时填报重庆市水环境大数据系统。建立日常巡查制度，饮用水水源地的管理单位、取水单位按照各自职责开展巡查工作，组织对饮用水水源地和相关设施进行巡查，并做好巡查记录。</w:t>
      </w:r>
    </w:p>
    <w:p>
      <w:pPr>
        <w:spacing w:line="594" w:lineRule="exact"/>
        <w:rPr>
          <w:rFonts w:cs="Times New Roman"/>
          <w:bCs/>
          <w:szCs w:val="32"/>
        </w:rPr>
      </w:pPr>
      <w:r>
        <w:rPr>
          <w:rFonts w:hint="eastAsia" w:cs="Times New Roman"/>
          <w:b/>
          <w:bCs/>
          <w:szCs w:val="32"/>
        </w:rPr>
        <w:t>深化水污染治理。</w:t>
      </w:r>
      <w:r>
        <w:rPr>
          <w:rFonts w:hint="eastAsia" w:cs="Times New Roman"/>
          <w:szCs w:val="32"/>
        </w:rPr>
        <w:t>加强</w:t>
      </w:r>
      <w:r>
        <w:rPr>
          <w:rFonts w:cs="Times New Roman"/>
          <w:szCs w:val="32"/>
        </w:rPr>
        <w:t>草堂生态</w:t>
      </w:r>
      <w:r>
        <w:rPr>
          <w:rFonts w:hint="eastAsia" w:cs="Times New Roman"/>
          <w:szCs w:val="32"/>
        </w:rPr>
        <w:t>工业</w:t>
      </w:r>
      <w:r>
        <w:rPr>
          <w:rFonts w:cs="Times New Roman"/>
          <w:szCs w:val="32"/>
        </w:rPr>
        <w:t>园区污水集中处理设施常态化监管，建立一园一档，定期调度在线监测情况，</w:t>
      </w:r>
      <w:r>
        <w:rPr>
          <w:rFonts w:hint="eastAsia" w:cs="Times New Roman"/>
          <w:szCs w:val="32"/>
        </w:rPr>
        <w:t>不定期</w:t>
      </w:r>
      <w:r>
        <w:rPr>
          <w:rFonts w:cs="Times New Roman"/>
          <w:szCs w:val="32"/>
        </w:rPr>
        <w:t>开展监督性监测并督促企业开展自行监测，确保</w:t>
      </w:r>
      <w:r>
        <w:rPr>
          <w:rFonts w:hint="eastAsia" w:cs="Times New Roman"/>
          <w:szCs w:val="32"/>
        </w:rPr>
        <w:t>工业废水</w:t>
      </w:r>
      <w:r>
        <w:rPr>
          <w:rFonts w:cs="Times New Roman"/>
          <w:szCs w:val="32"/>
        </w:rPr>
        <w:t>排放达标</w:t>
      </w:r>
      <w:r>
        <w:rPr>
          <w:rFonts w:hint="eastAsia" w:cs="Times New Roman"/>
          <w:szCs w:val="32"/>
        </w:rPr>
        <w:t>；</w:t>
      </w:r>
      <w:r>
        <w:rPr>
          <w:rFonts w:cs="Times New Roman"/>
          <w:szCs w:val="32"/>
        </w:rPr>
        <w:t>推</w:t>
      </w:r>
      <w:r>
        <w:rPr>
          <w:rFonts w:hint="eastAsia" w:ascii="方正仿宋_GBK" w:cs="方正仿宋_GBK"/>
          <w:szCs w:val="32"/>
        </w:rPr>
        <w:t>进“散乱污”企</w:t>
      </w:r>
      <w:r>
        <w:rPr>
          <w:rFonts w:cs="Times New Roman"/>
          <w:szCs w:val="32"/>
        </w:rPr>
        <w:t>业整治，对不符合环保要求的企业实施关停取缔、整合搬迁、提升改造、入园升级等。加快实施城镇生活污水集中处理设施新、改、扩建工程以及管网雨污分流</w:t>
      </w:r>
      <w:r>
        <w:rPr>
          <w:rFonts w:hint="eastAsia" w:cs="Times New Roman"/>
          <w:szCs w:val="32"/>
        </w:rPr>
        <w:t>工程，</w:t>
      </w:r>
      <w:r>
        <w:rPr>
          <w:rFonts w:hint="eastAsia" w:cs="Times New Roman"/>
          <w:bCs/>
          <w:szCs w:val="32"/>
        </w:rPr>
        <w:t>不断完善污水处理设施运维机制，更好地发挥建成污水处理设施环境效益。加强港口、码头、装卸站及船舶修造厂的环保设施监督管理，督促设施正常运行，推进城市污水管网与船舶污染物接收有效衔接，建设专用接口及管线，实现船舶生活污水与城市污水处置系统无缝衔接。</w:t>
      </w:r>
    </w:p>
    <w:p>
      <w:pPr>
        <w:spacing w:line="594" w:lineRule="exact"/>
        <w:rPr>
          <w:rFonts w:cs="Times New Roman"/>
          <w:bCs/>
          <w:szCs w:val="32"/>
        </w:rPr>
      </w:pPr>
      <w:r>
        <w:rPr>
          <w:rFonts w:hint="eastAsia" w:cs="Times New Roman"/>
          <w:b/>
          <w:szCs w:val="32"/>
          <w:lang w:bidi="mn-Mong-CN"/>
        </w:rPr>
        <w:t>持续开展入河排污口整治。</w:t>
      </w:r>
      <w:r>
        <w:rPr>
          <w:rFonts w:hint="eastAsia" w:cs="Times New Roman"/>
          <w:bCs/>
          <w:szCs w:val="32"/>
        </w:rPr>
        <w:t>按照“水陆统筹、以水定岸”的原则，持续开展入河排污口整治，摸清底数，强化问题追踪溯源，制定整治方案，落实整改责任，限期完成整改，并推动建立权责清晰、监控到位、管理规范的入河排污口监管体系。</w:t>
      </w:r>
      <w:r>
        <w:rPr>
          <w:rFonts w:hint="eastAsia" w:cs="Times New Roman"/>
          <w:bCs/>
          <w:szCs w:val="32"/>
          <w:lang w:bidi="mn-Mong-CN"/>
        </w:rPr>
        <w:t>强化排污口监管和严格执法，对已整治的入河排污口实行不定期“回头看”。严厉打击非法设置入河排污口和污水偷排、直排、乱排等不达标排放行为。</w:t>
      </w:r>
    </w:p>
    <w:p>
      <w:pPr>
        <w:spacing w:line="594" w:lineRule="exact"/>
        <w:rPr>
          <w:rFonts w:cs="Times New Roman"/>
          <w:bCs/>
          <w:szCs w:val="32"/>
        </w:rPr>
      </w:pPr>
      <w:r>
        <w:rPr>
          <w:rFonts w:hint="eastAsia" w:cs="Times New Roman"/>
          <w:b/>
          <w:szCs w:val="32"/>
        </w:rPr>
        <w:t>开展河流生态修复。</w:t>
      </w:r>
      <w:r>
        <w:rPr>
          <w:rFonts w:hint="eastAsia" w:cs="Times New Roman"/>
          <w:szCs w:val="32"/>
        </w:rPr>
        <w:t>开展</w:t>
      </w:r>
      <w:r>
        <w:rPr>
          <w:rFonts w:hint="eastAsia" w:cs="Times New Roman"/>
          <w:bCs/>
          <w:szCs w:val="32"/>
        </w:rPr>
        <w:t>草堂河、朱衣河、梅溪河、大溪河等重要支流生态修复工程，主要采取缓冲区修复、植被恢复、恢复自然坡岸、建设生态沟渠等措施。通过河流生态结构修复，促进河流生态功能的恢复，以适度人工干预手段促成河流生态系统发育的初始条件。</w:t>
      </w:r>
    </w:p>
    <w:p>
      <w:pPr>
        <w:spacing w:line="594" w:lineRule="exact"/>
        <w:rPr>
          <w:rFonts w:cs="Times New Roman"/>
          <w:bCs/>
          <w:szCs w:val="32"/>
        </w:rPr>
      </w:pPr>
      <w:r>
        <w:rPr>
          <w:rFonts w:hint="eastAsia" w:cs="Times New Roman"/>
          <w:b/>
          <w:szCs w:val="32"/>
        </w:rPr>
        <w:t>优化水资源配置。</w:t>
      </w:r>
      <w:r>
        <w:rPr>
          <w:rFonts w:hint="eastAsia" w:cs="Times New Roman"/>
          <w:bCs/>
          <w:szCs w:val="32"/>
        </w:rPr>
        <w:t>明确河湖生态流量目标、责任主体和主要任务、保障措施，将保障生态流量目标作为硬约束，突出生态用水重要性，提升生态用水量占比。加强河湖生态流量监管，在“一江五河”主要干支流交汇点设置在线监测站点，力争全县河流生态流量达到底线要求。探索相邻河湖动态补水机制，改善小河流先天性缺水、季节性缺水问题。</w:t>
      </w:r>
    </w:p>
    <w:p>
      <w:pPr>
        <w:ind w:left="2469"/>
      </w:pPr>
    </w:p>
    <w:p/>
    <w:p>
      <w:pPr>
        <w:pStyle w:val="5"/>
      </w:pPr>
      <w:bookmarkStart w:id="527" w:name="_Toc10458"/>
      <w:bookmarkStart w:id="528" w:name="_Toc237"/>
      <w:bookmarkStart w:id="529" w:name="_Toc7904"/>
      <w:bookmarkStart w:id="530" w:name="_Toc5034"/>
      <w:bookmarkStart w:id="531" w:name="_Toc16810"/>
      <w:bookmarkStart w:id="532" w:name="_Toc29136"/>
      <w:bookmarkStart w:id="533" w:name="_Toc13383"/>
      <w:bookmarkStart w:id="534" w:name="_Toc29572"/>
      <w:bookmarkStart w:id="535" w:name="_Toc11698"/>
      <w:bookmarkStart w:id="536" w:name="_Toc21753"/>
      <w:bookmarkStart w:id="537" w:name="_Toc13399"/>
      <w:bookmarkStart w:id="538" w:name="_Toc30362"/>
      <w:bookmarkStart w:id="539" w:name="_Toc10942"/>
      <w:bookmarkStart w:id="540" w:name="_Toc59438070"/>
      <w:bookmarkStart w:id="541" w:name="_Toc2922"/>
      <w:bookmarkStart w:id="542" w:name="_Toc22367"/>
      <w:bookmarkStart w:id="543" w:name="_Toc26508"/>
      <w:bookmarkStart w:id="544" w:name="_Toc8607"/>
      <w:bookmarkStart w:id="545" w:name="_Toc22319"/>
      <w:bookmarkStart w:id="546" w:name="_Toc23573"/>
      <w:bookmarkStart w:id="547" w:name="_Toc19574"/>
      <w:bookmarkStart w:id="548" w:name="_Toc20601"/>
      <w:bookmarkStart w:id="549" w:name="_Toc13877"/>
      <w:bookmarkStart w:id="550" w:name="_Toc16278"/>
      <w:bookmarkStart w:id="551" w:name="_Toc9396"/>
      <w:bookmarkStart w:id="552" w:name="_Toc27958"/>
      <w:bookmarkStart w:id="553" w:name="_Toc17829"/>
      <w:bookmarkStart w:id="554" w:name="_Toc29005"/>
      <w:bookmarkStart w:id="555" w:name="_Toc5821"/>
      <w:bookmarkStart w:id="556" w:name="_Toc2947"/>
      <w:r>
        <w:rPr>
          <w:rFonts w:hint="eastAsia"/>
        </w:rPr>
        <w:t>严格风险管控保障土壤环境安全</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pPr>
        <w:spacing w:line="594" w:lineRule="exact"/>
        <w:rPr>
          <w:rFonts w:cs="Times New Roman"/>
          <w:b/>
          <w:szCs w:val="32"/>
        </w:rPr>
      </w:pPr>
    </w:p>
    <w:p>
      <w:pPr>
        <w:spacing w:line="594" w:lineRule="exact"/>
        <w:rPr>
          <w:rFonts w:cs="Times New Roman"/>
          <w:bCs/>
          <w:szCs w:val="32"/>
        </w:rPr>
      </w:pPr>
      <w:r>
        <w:rPr>
          <w:rFonts w:hint="eastAsia" w:cs="Times New Roman"/>
          <w:b/>
          <w:szCs w:val="32"/>
        </w:rPr>
        <w:t>加强土壤污染源头污染防控。</w:t>
      </w:r>
      <w:r>
        <w:rPr>
          <w:rFonts w:hint="eastAsia" w:cs="Times New Roman"/>
          <w:bCs/>
          <w:szCs w:val="32"/>
        </w:rPr>
        <w:t>以重点行业企业、生态工业园区、危险废物收集贮运转运处置项目（建成投入使用后）及周边区域为重点，进一步完善土壤环境质量监测网络，开展土壤重金属、持久性有机物监测，推动土壤环境质量监测点位全覆盖。加强土壤污染重点监管单位环境监管，落实自行监测、隐患排查、有毒有害物质排放报告制度。加强农用地土壤镉等重金属污染源头防治，</w:t>
      </w:r>
      <w:r>
        <w:rPr>
          <w:rFonts w:hint="eastAsia"/>
        </w:rPr>
        <w:t>持续推进耕地周边涉镉等重金属行业企业污染源排查整治，对涉及的污染源，督促责任主体按照“一企一策”制定整治方案，实施以切断镉等重金属污染物进入耕地途径为目标的整治措施，分批次完成整治</w:t>
      </w:r>
      <w:r>
        <w:rPr>
          <w:rFonts w:hint="eastAsia" w:cs="Times New Roman"/>
          <w:bCs/>
          <w:szCs w:val="32"/>
        </w:rPr>
        <w:t>。</w:t>
      </w:r>
    </w:p>
    <w:p>
      <w:pPr>
        <w:spacing w:line="594" w:lineRule="exact"/>
        <w:rPr>
          <w:rFonts w:hint="eastAsia" w:cs="Times New Roman"/>
          <w:bCs/>
          <w:szCs w:val="32"/>
        </w:rPr>
      </w:pPr>
      <w:r>
        <w:rPr>
          <w:rFonts w:hint="eastAsia" w:cs="Times New Roman"/>
          <w:b/>
          <w:szCs w:val="32"/>
        </w:rPr>
        <w:t>加强建设用地风险管控。</w:t>
      </w:r>
      <w:r>
        <w:rPr>
          <w:rFonts w:hint="eastAsia" w:cs="Times New Roman"/>
          <w:bCs/>
          <w:szCs w:val="32"/>
        </w:rPr>
        <w:t>加强建设用地风险管控。严格建设用地准入管理，以建设用地、未利用地用途变更为“一住两公”的地块为重点，开展土壤污染状况调查和风险评估。严格执行建设用地土壤污染风险管控和修复名录制度，已列入建设用地土壤污染风险管控和修复名录的地块，未修复至相应土壤环境质量前，不得调整为“一住两公”用地；已规划的“一住两公”地块，未达到土壤环境质量要求的，不得办理土地征收、收回、收购、土地供应、用途变更以及核发用地或工程规划许可证。加强土壤环境管理工作，及时将全县注销、撤销排污许可证的企业用地纳入监管视野，防止腾退地块游离于环境监管之外。完善污染地块信息沟通机制，对污染地块的开发利用实施联动监管。</w:t>
      </w:r>
    </w:p>
    <w:p>
      <w:pPr>
        <w:spacing w:line="594" w:lineRule="exact"/>
        <w:rPr>
          <w:rFonts w:cs="Times New Roman"/>
          <w:bCs/>
          <w:szCs w:val="32"/>
        </w:rPr>
      </w:pPr>
      <w:r>
        <w:rPr>
          <w:rFonts w:hint="eastAsia" w:cs="Times New Roman"/>
          <w:b/>
          <w:szCs w:val="32"/>
        </w:rPr>
        <w:t>强化农用地土壤环境质量分类管理。</w:t>
      </w:r>
      <w:r>
        <w:rPr>
          <w:rFonts w:hint="eastAsia" w:cs="Times New Roman"/>
          <w:bCs/>
          <w:szCs w:val="32"/>
        </w:rPr>
        <w:t>开展耕地土壤和农产品协同监测与评价，实施耕地动态监测，对耕地土壤环境质量类别单元进行动态调整。加大优先保护类耕地保护力度，大力实施高标准农田建设和高效节水灌溉等项目，合理开发利用类耕地，大力推广品种调整、水分调控、土壤调理、酸碱调节等安全利用技术措施，鼓励群众大力种植市级推广的筛选品种。</w:t>
      </w:r>
      <w:r>
        <w:rPr>
          <w:rFonts w:cs="Times New Roman"/>
          <w:bCs/>
        </w:rPr>
        <w:t>建立农产品种植负面清单，针对水稻镉、小麦镉、水稻重金属复合等不同土壤污染类型，引导农户种植非食用农产品、轮作休耕等方式实现受污染耕地安全利用。</w:t>
      </w:r>
      <w:r>
        <w:rPr>
          <w:rFonts w:hint="eastAsia" w:cs="Times New Roman"/>
          <w:bCs/>
        </w:rPr>
        <w:t>强化</w:t>
      </w:r>
      <w:r>
        <w:rPr>
          <w:rFonts w:hint="eastAsia" w:cs="Times New Roman"/>
          <w:bCs/>
          <w:szCs w:val="32"/>
        </w:rPr>
        <w:t>严格管控类耕地管控，划定严格管控区，严禁种植可食用农产品，加快推进种植结构调整或退耕还林。到2025年，力争受污染耕地安全利用率完成市级下达目标。</w:t>
      </w:r>
    </w:p>
    <w:p>
      <w:pPr>
        <w:spacing w:line="594" w:lineRule="exact"/>
        <w:rPr>
          <w:rFonts w:ascii="方正仿宋_GBK" w:hAnsi="方正仿宋_GBK" w:cs="方正仿宋_GBK"/>
          <w:bCs/>
          <w:szCs w:val="32"/>
        </w:rPr>
      </w:pPr>
      <w:r>
        <w:rPr>
          <w:rFonts w:hint="eastAsia" w:cs="Times New Roman"/>
          <w:b/>
          <w:szCs w:val="32"/>
        </w:rPr>
        <w:t>开展土壤污染综合治理。</w:t>
      </w:r>
      <w:r>
        <w:rPr>
          <w:rFonts w:hint="eastAsia" w:cs="Times New Roman"/>
          <w:szCs w:val="32"/>
        </w:rPr>
        <w:t>积极</w:t>
      </w:r>
      <w:r>
        <w:rPr>
          <w:rFonts w:hint="eastAsia" w:ascii="方正仿宋_GBK" w:hAnsi="方正仿宋_GBK" w:cs="方正仿宋_GBK"/>
          <w:bCs/>
          <w:szCs w:val="32"/>
        </w:rPr>
        <w:t>争取国家、市级资金支持</w:t>
      </w:r>
      <w:r>
        <w:rPr>
          <w:rFonts w:ascii="方正仿宋_GBK" w:hAnsi="方正仿宋_GBK" w:cs="方正仿宋_GBK"/>
          <w:bCs/>
          <w:szCs w:val="32"/>
        </w:rPr>
        <w:t>，</w:t>
      </w:r>
      <w:r>
        <w:rPr>
          <w:rFonts w:hint="eastAsia" w:ascii="方正仿宋_GBK" w:hAnsi="方正仿宋_GBK" w:cs="方正仿宋_GBK"/>
          <w:bCs/>
          <w:szCs w:val="30"/>
        </w:rPr>
        <w:t>有序推进土壤污染风险管控与修复。</w:t>
      </w:r>
      <w:r>
        <w:rPr>
          <w:rFonts w:hint="eastAsia" w:ascii="方正仿宋_GBK" w:hAnsi="方正仿宋_GBK" w:cs="方正仿宋_GBK"/>
          <w:bCs/>
          <w:szCs w:val="32"/>
        </w:rPr>
        <w:t>针对建设用地再开发，优先探索重点行业污染地块风险管控和修复技术模式，有效解决土壤污染问题。到</w:t>
      </w:r>
      <w:r>
        <w:rPr>
          <w:rFonts w:cs="Times New Roman"/>
          <w:bCs/>
          <w:szCs w:val="32"/>
        </w:rPr>
        <w:t>2025</w:t>
      </w:r>
      <w:r>
        <w:rPr>
          <w:rFonts w:hint="eastAsia" w:ascii="方正仿宋_GBK" w:hAnsi="方正仿宋_GBK" w:cs="方正仿宋_GBK"/>
          <w:bCs/>
          <w:szCs w:val="32"/>
        </w:rPr>
        <w:t>年，力争污染地块安全利用率完成市级下达目标。</w:t>
      </w:r>
    </w:p>
    <w:p/>
    <w:p>
      <w:pPr>
        <w:pStyle w:val="5"/>
      </w:pPr>
      <w:bookmarkStart w:id="557" w:name="_Toc15718"/>
      <w:bookmarkStart w:id="558" w:name="_Toc26888"/>
      <w:bookmarkStart w:id="559" w:name="_Toc16975"/>
      <w:bookmarkStart w:id="560" w:name="_Toc4371"/>
      <w:bookmarkStart w:id="561" w:name="_Toc438"/>
      <w:bookmarkStart w:id="562" w:name="_Toc29686"/>
      <w:bookmarkStart w:id="563" w:name="_Toc10834"/>
      <w:bookmarkStart w:id="564" w:name="_Toc15759"/>
      <w:bookmarkStart w:id="565" w:name="_Toc16788"/>
      <w:bookmarkStart w:id="566" w:name="_Toc13231"/>
      <w:bookmarkStart w:id="567" w:name="_Toc31865"/>
      <w:bookmarkStart w:id="568" w:name="_Toc26477"/>
      <w:bookmarkStart w:id="569" w:name="_Toc22053"/>
      <w:bookmarkStart w:id="570" w:name="_Toc27474"/>
      <w:bookmarkStart w:id="571" w:name="_Toc12581"/>
      <w:bookmarkStart w:id="572" w:name="_Toc20220"/>
      <w:bookmarkStart w:id="573" w:name="_Toc31001"/>
      <w:bookmarkStart w:id="574" w:name="_Toc8380"/>
      <w:bookmarkStart w:id="575" w:name="_Toc17967"/>
      <w:bookmarkStart w:id="576" w:name="_Toc26069"/>
      <w:bookmarkStart w:id="577" w:name="_Toc3642"/>
      <w:bookmarkStart w:id="578" w:name="_Toc13584"/>
      <w:bookmarkStart w:id="579" w:name="_Toc10739"/>
      <w:bookmarkStart w:id="580" w:name="_Toc19232"/>
      <w:bookmarkStart w:id="581" w:name="_Toc14137"/>
      <w:bookmarkStart w:id="582" w:name="_Toc2155"/>
      <w:bookmarkStart w:id="583" w:name="_Toc7062"/>
      <w:bookmarkStart w:id="584" w:name="_Toc28357"/>
      <w:bookmarkStart w:id="585" w:name="_Toc59438071"/>
      <w:bookmarkStart w:id="586" w:name="_Toc16709"/>
      <w:r>
        <w:rPr>
          <w:rFonts w:hint="eastAsia"/>
        </w:rPr>
        <w:t>强化噪声环境影响管控</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bookmarkEnd w:id="575"/>
    <w:bookmarkEnd w:id="576"/>
    <w:bookmarkEnd w:id="577"/>
    <w:bookmarkEnd w:id="578"/>
    <w:bookmarkEnd w:id="579"/>
    <w:bookmarkEnd w:id="580"/>
    <w:bookmarkEnd w:id="581"/>
    <w:bookmarkEnd w:id="582"/>
    <w:bookmarkEnd w:id="583"/>
    <w:bookmarkEnd w:id="584"/>
    <w:bookmarkEnd w:id="585"/>
    <w:bookmarkEnd w:id="586"/>
    <w:p/>
    <w:p>
      <w:pPr>
        <w:spacing w:line="594" w:lineRule="exact"/>
        <w:rPr>
          <w:rFonts w:cs="Times New Roman"/>
          <w:bCs/>
          <w:szCs w:val="32"/>
        </w:rPr>
      </w:pPr>
      <w:r>
        <w:rPr>
          <w:rFonts w:hint="eastAsia" w:cs="Times New Roman"/>
          <w:b/>
          <w:szCs w:val="32"/>
        </w:rPr>
        <w:t>强化噪声污染源头防护。</w:t>
      </w:r>
      <w:r>
        <w:rPr>
          <w:rFonts w:hint="eastAsia" w:cs="Times New Roman"/>
          <w:bCs/>
          <w:szCs w:val="32"/>
        </w:rPr>
        <w:t>充分结合国土空间规划、控制性详细规划，推进声环境功能区划分调整，为环境噪声污染防治、噪声源监督管理和环境执法等提供依据。强化声环境功能区划管理，在制订（调整）国土空间规划、区域性规划、控制性详细规划和审查建设项目工程规划时，应充分与声环境功能区划相协调，合理规划布局城市功能、合理安排建设用地时序。城市建设、区域开发、交通建设等土地利用有关规划编制及新建、改建、扩建产生环境噪声的建设项目，应按要求开展环境影响评价，确定噪声防护距离，严格执行噪声防护标准。强化对建设工程设计方案中的噪声防护距离审核，加强对建筑隔声设计质量和施工质量强制性标准执行情况的监督管理，商品住宅类建设项目在销售（预售）期间应落实噪声公示制度。</w:t>
      </w:r>
    </w:p>
    <w:p>
      <w:pPr>
        <w:spacing w:line="594" w:lineRule="exact"/>
        <w:rPr>
          <w:rFonts w:cs="Times New Roman"/>
          <w:bCs/>
          <w:szCs w:val="32"/>
        </w:rPr>
      </w:pPr>
      <w:r>
        <w:rPr>
          <w:rFonts w:hint="eastAsia" w:cs="Times New Roman"/>
          <w:b/>
          <w:szCs w:val="32"/>
        </w:rPr>
        <w:t>控制各类噪声污染。</w:t>
      </w:r>
      <w:r>
        <w:rPr>
          <w:rFonts w:hint="eastAsia" w:cs="Times New Roman"/>
          <w:bCs/>
          <w:szCs w:val="32"/>
        </w:rPr>
        <w:t>严格管控道路交通噪声，优化设置交通标志、禁鸣标志、道路减速带等设施，在重点交通干线、重要声环境敏感区域安装噪声智能监控设备，完善噪声敏感建筑物集中区域的县内干道、高速公路等道路两边建设隔声屏障，严格实施禁鸣、限行、限速等措施，严查禁鸣区域内机动车非法鸣喇叭、违法改装发动机、深夜飙车等违法行为。严格管控建筑施工噪声，严格落实《重庆市夜间作业审核规定》，完善夜间施工审批管理，强化建筑施工噪声现场管理违法行为查处力度，推进夜间违法作业曝光台。严格管控工业企业噪声，严把项目准入关，禁止在1类声环境功能区、限制在2类声环境功能区建设产生噪声污染的工业项目，加强新建、改建、扩建工业企业源头噪声控制设计，鼓励采用低噪声的新技术、新工艺、新设备，采取吸声、消声、隔声、隔振和减振等治理措施，严肃查处工业企业噪声排放超标扰民行为，对噪声排放不达标、居民反映强烈的噪声污染工业企业实施限期治理。严格管控社会生活噪声，加强营业性文化娱乐场所、商业经营活动噪声污染防治，持续巩固 “噪声达标区”和“安静居住小区”创建成果。</w:t>
      </w:r>
    </w:p>
    <w:p>
      <w:pPr>
        <w:spacing w:line="594" w:lineRule="exact"/>
        <w:rPr>
          <w:rFonts w:cs="Times New Roman"/>
          <w:bCs/>
          <w:szCs w:val="32"/>
        </w:rPr>
      </w:pPr>
      <w:r>
        <w:rPr>
          <w:rFonts w:hint="eastAsia" w:cs="Times New Roman"/>
          <w:b/>
          <w:szCs w:val="32"/>
        </w:rPr>
        <w:t>建立健全噪声环境管理长效机制。</w:t>
      </w:r>
      <w:r>
        <w:rPr>
          <w:rFonts w:hint="eastAsia" w:cs="Times New Roman"/>
          <w:bCs/>
          <w:szCs w:val="32"/>
        </w:rPr>
        <w:t>综合分析噪声投诉信息，摸清重点点位，动态建立重点排查区域、路段、企业等台账，建立日常巡查机制；加强生态环境、住房城乡建设、城市管理、文化旅游、公安等部门协作，持续推进广场舞等社会生活噪声专项整治，中、高考期间噪声污染专项执法行动，突出整治环境噪声扰民问题。</w:t>
      </w:r>
    </w:p>
    <w:p>
      <w:pPr>
        <w:pStyle w:val="34"/>
        <w:numPr>
          <w:ilvl w:val="0"/>
          <w:numId w:val="0"/>
        </w:numPr>
        <w:ind w:left="2469"/>
      </w:pPr>
    </w:p>
    <w:p>
      <w:pPr>
        <w:pStyle w:val="5"/>
      </w:pPr>
      <w:bookmarkStart w:id="587" w:name="_Toc15797"/>
      <w:bookmarkStart w:id="588" w:name="_Toc17248"/>
      <w:bookmarkStart w:id="589" w:name="_Toc26586"/>
      <w:bookmarkStart w:id="590" w:name="_Toc19785"/>
      <w:bookmarkStart w:id="591" w:name="_Toc23900"/>
      <w:bookmarkStart w:id="592" w:name="_Toc26917"/>
      <w:bookmarkStart w:id="593" w:name="_Toc10423"/>
      <w:bookmarkStart w:id="594" w:name="_Toc27061"/>
      <w:bookmarkStart w:id="595" w:name="_Toc24169"/>
      <w:bookmarkStart w:id="596" w:name="_Toc25478"/>
      <w:bookmarkStart w:id="597" w:name="_Toc21216"/>
      <w:bookmarkStart w:id="598" w:name="_Toc18892"/>
      <w:r>
        <w:rPr>
          <w:rFonts w:hint="eastAsia"/>
        </w:rPr>
        <w:t>提升生态环境监测和监管能力</w:t>
      </w:r>
      <w:bookmarkEnd w:id="587"/>
      <w:bookmarkEnd w:id="588"/>
      <w:bookmarkEnd w:id="589"/>
      <w:bookmarkEnd w:id="590"/>
      <w:bookmarkEnd w:id="591"/>
      <w:bookmarkEnd w:id="592"/>
      <w:bookmarkEnd w:id="593"/>
      <w:bookmarkEnd w:id="594"/>
      <w:bookmarkEnd w:id="595"/>
      <w:bookmarkEnd w:id="596"/>
      <w:bookmarkEnd w:id="597"/>
      <w:bookmarkEnd w:id="598"/>
    </w:p>
    <w:p>
      <w:pPr>
        <w:spacing w:line="594" w:lineRule="exact"/>
        <w:ind w:firstLine="640" w:firstLineChars="0"/>
        <w:rPr>
          <w:rFonts w:cs="Times New Roman"/>
          <w:b/>
          <w:bCs/>
          <w:szCs w:val="36"/>
        </w:rPr>
      </w:pPr>
    </w:p>
    <w:p>
      <w:pPr>
        <w:spacing w:line="594" w:lineRule="exact"/>
        <w:ind w:firstLine="640" w:firstLineChars="0"/>
      </w:pPr>
      <w:r>
        <w:rPr>
          <w:rFonts w:hint="eastAsia" w:cs="Times New Roman"/>
          <w:b/>
          <w:bCs/>
          <w:szCs w:val="36"/>
        </w:rPr>
        <w:t>提升生态环境监测能力。</w:t>
      </w:r>
      <w:r>
        <w:rPr>
          <w:rFonts w:hint="eastAsia"/>
        </w:rPr>
        <w:t>优化整合水、大气、土壤、噪声等环境质量监测点位，</w:t>
      </w:r>
      <w:r>
        <w:rPr>
          <w:rFonts w:hint="eastAsia"/>
          <w:szCs w:val="32"/>
        </w:rPr>
        <w:t>完善配置水质、大气、土壤等监测设备，推进</w:t>
      </w:r>
      <w:r>
        <w:rPr>
          <w:rFonts w:hint="eastAsia"/>
        </w:rPr>
        <w:t>重点河湖、集中式饮用水水源地、重点断面的水质自动微站、自动监测站建设，全面掌握重点河湖水质变化规律；推动网格化智能化大气环境监测网络建设，为大气污染防治科学决策提供数据支撑。强化重点污染源监测监控，实现重点排污单位自动监测、超排报警以及追踪定位。推进生态环境执法智能化，强化网格化监控、自动监控、无人机等先进技术监控手段的运用。建立生态环境监测数据集成共享机制，整合各类生态环境监测数据，构建生态环境监测大数据平台，统一发布生态环境监测和预测信息。</w:t>
      </w:r>
    </w:p>
    <w:p>
      <w:pPr>
        <w:spacing w:line="594" w:lineRule="exact"/>
        <w:ind w:firstLine="640" w:firstLineChars="0"/>
        <w:rPr>
          <w:rFonts w:ascii="方正仿宋_GBK" w:cs="Times New Roman"/>
        </w:rPr>
        <w:sectPr>
          <w:footerReference r:id="rId10" w:type="default"/>
          <w:pgSz w:w="11906" w:h="16838"/>
          <w:pgMar w:top="2098" w:right="1474" w:bottom="1984" w:left="1587" w:header="851" w:footer="1474" w:gutter="0"/>
          <w:cols w:space="720" w:num="1"/>
          <w:docGrid w:type="lines" w:linePitch="439" w:charSpace="0"/>
        </w:sectPr>
      </w:pPr>
      <w:r>
        <w:rPr>
          <w:rFonts w:hint="eastAsia"/>
          <w:b/>
          <w:bCs/>
        </w:rPr>
        <w:t>强化生态环境监管执法。</w:t>
      </w:r>
      <w:r>
        <w:rPr>
          <w:rFonts w:hint="eastAsia"/>
        </w:rPr>
        <w:t>严格执行生态环境相关法律法规，</w:t>
      </w:r>
      <w:r>
        <w:rPr>
          <w:rFonts w:cs="Times New Roman"/>
        </w:rPr>
        <w:t>完善网格化监管网络，落实污染源属地监管职责</w:t>
      </w:r>
      <w:r>
        <w:rPr>
          <w:rFonts w:hint="eastAsia" w:cs="Times New Roman"/>
        </w:rPr>
        <w:t>。</w:t>
      </w:r>
      <w:r>
        <w:rPr>
          <w:rFonts w:cs="Times New Roman"/>
        </w:rPr>
        <w:t>加强</w:t>
      </w:r>
      <w:r>
        <w:rPr>
          <w:rFonts w:hint="eastAsia" w:cs="Times New Roman"/>
          <w:szCs w:val="32"/>
        </w:rPr>
        <w:t>县级</w:t>
      </w:r>
      <w:r>
        <w:rPr>
          <w:rFonts w:hint="eastAsia" w:cs="Times New Roman"/>
          <w:kern w:val="0"/>
          <w:szCs w:val="32"/>
        </w:rPr>
        <w:t>环境执法机构能力建设</w:t>
      </w:r>
      <w:r>
        <w:rPr>
          <w:rFonts w:cs="Times New Roman"/>
        </w:rPr>
        <w:t>，</w:t>
      </w:r>
      <w:r>
        <w:rPr>
          <w:rFonts w:hint="eastAsia" w:cs="Times New Roman"/>
        </w:rPr>
        <w:t>全面</w:t>
      </w:r>
      <w:r>
        <w:rPr>
          <w:rFonts w:hint="eastAsia"/>
        </w:rPr>
        <w:t>提高执法人员综合素质能力</w:t>
      </w:r>
      <w:r>
        <w:rPr>
          <w:rFonts w:hint="eastAsia" w:cs="Times New Roman"/>
          <w:kern w:val="0"/>
          <w:szCs w:val="32"/>
        </w:rPr>
        <w:t>。</w:t>
      </w:r>
      <w:r>
        <w:rPr>
          <w:rFonts w:cs="Times New Roman"/>
          <w:szCs w:val="32"/>
        </w:rPr>
        <w:t>实施</w:t>
      </w:r>
      <w:r>
        <w:rPr>
          <w:rFonts w:hint="eastAsia" w:ascii="方正仿宋_GBK" w:cs="方正仿宋_GBK"/>
          <w:szCs w:val="32"/>
        </w:rPr>
        <w:t>“双随机、一公开”环</w:t>
      </w:r>
      <w:r>
        <w:rPr>
          <w:rFonts w:cs="Times New Roman"/>
          <w:szCs w:val="32"/>
        </w:rPr>
        <w:t>境监管模式</w:t>
      </w:r>
      <w:r>
        <w:rPr>
          <w:rFonts w:hint="eastAsia" w:cs="Times New Roman"/>
          <w:szCs w:val="32"/>
        </w:rPr>
        <w:t>，</w:t>
      </w:r>
      <w:r>
        <w:rPr>
          <w:rFonts w:hint="eastAsia" w:cs="Times New Roman"/>
        </w:rPr>
        <w:t>优化执法方式，</w:t>
      </w:r>
      <w:r>
        <w:rPr>
          <w:rFonts w:hint="eastAsia"/>
        </w:rPr>
        <w:t>依法开展环境执法，</w:t>
      </w:r>
      <w:r>
        <w:t>对造成生态环境损害的，依法依规追究赔偿责任；对构成犯罪的，依法追究刑事责任。</w:t>
      </w:r>
      <w:r>
        <w:rPr>
          <w:rFonts w:hint="eastAsia" w:cs="Times New Roman"/>
          <w:kern w:val="0"/>
          <w:szCs w:val="32"/>
        </w:rPr>
        <w:t>推进县级、乡镇（街道）、园区环境应急能力建设，提高应急处理队伍防范和处置突发环境事件技能，完善应急救援力量和专家支撑体系。</w:t>
      </w:r>
      <w:r>
        <w:rPr>
          <w:rFonts w:hint="eastAsia"/>
        </w:rPr>
        <w:t>建立健全跨区县</w:t>
      </w:r>
      <w:r>
        <w:rPr>
          <w:rFonts w:hint="eastAsia" w:ascii="方正仿宋_GBK" w:cs="Times New Roman"/>
        </w:rPr>
        <w:t>跨区域、跨流域的生态环境执法合作机制，落实</w:t>
      </w:r>
      <w:r>
        <w:rPr>
          <w:rFonts w:hint="eastAsia" w:cs="Times New Roman"/>
          <w:bCs/>
          <w:kern w:val="0"/>
          <w:szCs w:val="32"/>
        </w:rPr>
        <w:t>与巫溪县、巫山县、云阳县、建始县的流域上下游突发水污染事件联防联控机制，</w:t>
      </w:r>
      <w:r>
        <w:rPr>
          <w:rFonts w:hint="eastAsia" w:ascii="方正仿宋_GBK" w:cs="Times New Roman"/>
        </w:rPr>
        <w:t>完善部门联动执法，开展联合执法、区域执法和交叉执法。</w:t>
      </w:r>
    </w:p>
    <w:p>
      <w:pPr>
        <w:pStyle w:val="4"/>
        <w:spacing w:line="594" w:lineRule="exact"/>
      </w:pPr>
      <w:bookmarkStart w:id="599" w:name="_Toc10760"/>
      <w:bookmarkStart w:id="600" w:name="_Toc23692"/>
      <w:bookmarkStart w:id="601" w:name="_Toc31490"/>
      <w:bookmarkStart w:id="602" w:name="_Toc10524"/>
      <w:bookmarkStart w:id="603" w:name="_Toc7273"/>
      <w:bookmarkStart w:id="604" w:name="_Toc6360"/>
      <w:bookmarkStart w:id="605" w:name="_Toc23313"/>
      <w:bookmarkStart w:id="606" w:name="_Toc20278"/>
      <w:bookmarkStart w:id="607" w:name="_Toc21860"/>
      <w:bookmarkStart w:id="608" w:name="_Toc19179"/>
      <w:bookmarkStart w:id="609" w:name="_Toc27441"/>
      <w:bookmarkStart w:id="610" w:name="_Toc29219"/>
      <w:bookmarkStart w:id="611" w:name="_Toc24676"/>
      <w:bookmarkStart w:id="612" w:name="_Toc15378"/>
      <w:bookmarkStart w:id="613" w:name="_Toc31092"/>
      <w:bookmarkStart w:id="614" w:name="_Toc14747"/>
      <w:bookmarkStart w:id="615" w:name="_Toc30416"/>
      <w:bookmarkStart w:id="616" w:name="_Toc14725"/>
      <w:bookmarkStart w:id="617" w:name="_Toc24724"/>
      <w:bookmarkStart w:id="618" w:name="_Toc13661"/>
      <w:bookmarkStart w:id="619" w:name="_Toc23442"/>
      <w:bookmarkStart w:id="620" w:name="_Toc20985"/>
      <w:bookmarkStart w:id="621" w:name="_Toc17254"/>
      <w:bookmarkStart w:id="622" w:name="_Toc1176"/>
      <w:bookmarkStart w:id="623" w:name="_Toc10684"/>
      <w:bookmarkStart w:id="624" w:name="_Toc7724"/>
      <w:bookmarkStart w:id="625" w:name="_Toc3197"/>
      <w:bookmarkStart w:id="626" w:name="_Toc24611"/>
      <w:bookmarkStart w:id="627" w:name="_Toc14131"/>
      <w:r>
        <w:rPr>
          <w:rFonts w:hint="eastAsia"/>
        </w:rPr>
        <w:t>加强生态保护与修复，</w:t>
      </w:r>
      <w:r>
        <w:t>筑牢生态安全屏障</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pPr>
        <w:spacing w:line="594" w:lineRule="exact"/>
        <w:rPr>
          <w:rFonts w:cs="Times New Roman"/>
          <w:szCs w:val="22"/>
        </w:rPr>
      </w:pPr>
    </w:p>
    <w:p>
      <w:pPr>
        <w:spacing w:line="594" w:lineRule="exact"/>
        <w:rPr>
          <w:rFonts w:cs="Times New Roman"/>
          <w:szCs w:val="22"/>
        </w:rPr>
      </w:pPr>
      <w:r>
        <w:rPr>
          <w:rFonts w:cs="Times New Roman"/>
          <w:szCs w:val="22"/>
        </w:rPr>
        <w:t>牢固树立</w:t>
      </w:r>
      <w:r>
        <w:rPr>
          <w:rFonts w:hint="eastAsia" w:cs="Times New Roman"/>
          <w:szCs w:val="22"/>
        </w:rPr>
        <w:t>“</w:t>
      </w:r>
      <w:r>
        <w:rPr>
          <w:rFonts w:cs="Times New Roman"/>
          <w:szCs w:val="22"/>
        </w:rPr>
        <w:t>山水林田湖草是一个生命共同体</w:t>
      </w:r>
      <w:r>
        <w:rPr>
          <w:rFonts w:hint="eastAsia" w:cs="Times New Roman"/>
          <w:szCs w:val="22"/>
        </w:rPr>
        <w:t>”</w:t>
      </w:r>
      <w:r>
        <w:rPr>
          <w:rFonts w:cs="Times New Roman"/>
          <w:szCs w:val="22"/>
        </w:rPr>
        <w:t>的理念，</w:t>
      </w:r>
      <w:r>
        <w:rPr>
          <w:rFonts w:hint="eastAsia" w:cs="Times New Roman"/>
          <w:szCs w:val="22"/>
        </w:rPr>
        <w:t>坚定推进生态优先、绿色发展战略，不断优化区域生态安全空间格局，</w:t>
      </w:r>
      <w:r>
        <w:rPr>
          <w:rFonts w:cs="Times New Roman"/>
          <w:szCs w:val="22"/>
        </w:rPr>
        <w:t>加强生态</w:t>
      </w:r>
      <w:r>
        <w:rPr>
          <w:rFonts w:hint="eastAsia" w:cs="Times New Roman"/>
          <w:szCs w:val="22"/>
        </w:rPr>
        <w:t>系统</w:t>
      </w:r>
      <w:r>
        <w:rPr>
          <w:rFonts w:cs="Times New Roman"/>
          <w:szCs w:val="22"/>
        </w:rPr>
        <w:t>保护与修复</w:t>
      </w:r>
      <w:r>
        <w:rPr>
          <w:rFonts w:hint="eastAsia" w:cs="Times New Roman"/>
          <w:szCs w:val="22"/>
        </w:rPr>
        <w:t>，</w:t>
      </w:r>
      <w:r>
        <w:rPr>
          <w:szCs w:val="22"/>
        </w:rPr>
        <w:t>健全环境风险防控体系，有效防范和降低生态环境风险，</w:t>
      </w:r>
      <w:r>
        <w:rPr>
          <w:rFonts w:hint="eastAsia"/>
          <w:szCs w:val="22"/>
        </w:rPr>
        <w:t>全面</w:t>
      </w:r>
      <w:r>
        <w:rPr>
          <w:szCs w:val="22"/>
        </w:rPr>
        <w:t>保障</w:t>
      </w:r>
      <w:r>
        <w:rPr>
          <w:rFonts w:hint="eastAsia"/>
          <w:szCs w:val="22"/>
        </w:rPr>
        <w:t>区域</w:t>
      </w:r>
      <w:r>
        <w:rPr>
          <w:szCs w:val="22"/>
        </w:rPr>
        <w:t>生态环境安全</w:t>
      </w:r>
      <w:r>
        <w:rPr>
          <w:rFonts w:hint="eastAsia" w:cs="Times New Roman"/>
          <w:szCs w:val="22"/>
        </w:rPr>
        <w:t>，站好保护长江母亲河的“奉节岗哨”。</w:t>
      </w:r>
    </w:p>
    <w:p>
      <w:pPr>
        <w:pStyle w:val="34"/>
        <w:numPr>
          <w:ilvl w:val="0"/>
          <w:numId w:val="0"/>
        </w:numPr>
        <w:ind w:left="2469"/>
      </w:pPr>
    </w:p>
    <w:p>
      <w:pPr>
        <w:pStyle w:val="5"/>
      </w:pPr>
      <w:bookmarkStart w:id="628" w:name="_Toc22661"/>
      <w:bookmarkStart w:id="629" w:name="_Toc19379"/>
      <w:bookmarkStart w:id="630" w:name="_Toc17347"/>
      <w:bookmarkStart w:id="631" w:name="_Toc23697"/>
      <w:bookmarkStart w:id="632" w:name="_Toc3160"/>
      <w:bookmarkStart w:id="633" w:name="_Toc14984"/>
      <w:bookmarkStart w:id="634" w:name="_Toc20071"/>
      <w:bookmarkStart w:id="635" w:name="_Toc24228"/>
      <w:bookmarkStart w:id="636" w:name="_Toc28644"/>
      <w:bookmarkStart w:id="637" w:name="_Toc32716"/>
      <w:bookmarkStart w:id="638" w:name="_Toc22455"/>
      <w:bookmarkStart w:id="639" w:name="_Toc9792"/>
      <w:bookmarkStart w:id="640" w:name="_Toc6891"/>
      <w:bookmarkStart w:id="641" w:name="_Toc5972"/>
      <w:bookmarkStart w:id="642" w:name="_Toc20854"/>
      <w:bookmarkStart w:id="643" w:name="_Toc10042"/>
      <w:bookmarkStart w:id="644" w:name="_Toc12021"/>
      <w:bookmarkStart w:id="645" w:name="_Toc32410"/>
      <w:bookmarkStart w:id="646" w:name="_Toc2272"/>
      <w:r>
        <w:rPr>
          <w:rFonts w:hint="eastAsia"/>
        </w:rPr>
        <w:t>构建生态安全空间格局</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pPr>
        <w:widowControl/>
        <w:spacing w:line="594" w:lineRule="exact"/>
        <w:rPr>
          <w:rFonts w:ascii="方正仿宋_GBK" w:cs="宋体"/>
          <w:b/>
          <w:bCs/>
          <w:kern w:val="0"/>
          <w:szCs w:val="32"/>
        </w:rPr>
      </w:pPr>
    </w:p>
    <w:p>
      <w:pPr>
        <w:widowControl/>
        <w:spacing w:line="594" w:lineRule="exact"/>
        <w:rPr>
          <w:rFonts w:ascii="方正仿宋_GBK" w:cs="宋体"/>
          <w:kern w:val="0"/>
          <w:szCs w:val="32"/>
        </w:rPr>
      </w:pPr>
      <w:r>
        <w:rPr>
          <w:rFonts w:hint="eastAsia" w:ascii="方正仿宋_GBK" w:cs="宋体"/>
          <w:b/>
          <w:bCs/>
          <w:kern w:val="0"/>
          <w:szCs w:val="32"/>
        </w:rPr>
        <w:t>优化国土空间开发保护格局。</w:t>
      </w:r>
      <w:r>
        <w:rPr>
          <w:rFonts w:hint="eastAsia" w:ascii="方正仿宋_GBK" w:cs="宋体"/>
          <w:kern w:val="0"/>
          <w:szCs w:val="32"/>
        </w:rPr>
        <w:t>依托“一核一圈两片”县域空间格局，规划形成“一心一轴两翼”的城市空间发展格局。实施“一张图”可视化管控，建成“多规合一”信息平台，完善城区、景区等实景三维模型，协调优化各类用地规模、结构、布局和时序，大力推进城乡一体化发展，构建“宜居宜业宜游”和谐奉节。以国土空间规划编制为契机，在统筹推进县城东进、西拓、南联、北合、中优的过程中，统筹</w:t>
      </w:r>
      <w:r>
        <w:rPr>
          <w:rFonts w:ascii="方正仿宋_GBK" w:cs="宋体"/>
          <w:kern w:val="0"/>
          <w:szCs w:val="32"/>
        </w:rPr>
        <w:t>做好</w:t>
      </w:r>
      <w:r>
        <w:rPr>
          <w:rFonts w:hint="eastAsia" w:ascii="方正仿宋_GBK" w:cs="宋体"/>
          <w:kern w:val="0"/>
          <w:szCs w:val="32"/>
        </w:rPr>
        <w:t>生态保护红线、永久基本农田、城镇开发边界的重新调整划定，强化底线约束。</w:t>
      </w:r>
    </w:p>
    <w:p>
      <w:pPr>
        <w:spacing w:line="594" w:lineRule="exact"/>
        <w:rPr>
          <w:lang w:val="zh-CN"/>
        </w:rPr>
      </w:pPr>
      <w:r>
        <w:rPr>
          <w:rFonts w:hint="eastAsia"/>
          <w:b/>
          <w:bCs/>
        </w:rPr>
        <w:t>严守生态保护红线。</w:t>
      </w:r>
      <w:r>
        <w:rPr>
          <w:szCs w:val="32"/>
          <w:lang w:val="zh-CN"/>
        </w:rPr>
        <w:t>贯彻落实《生态保护红线监督办法（试行）》，完成生态保护红线评估调整，开展生态保护红线勘界定标工作</w:t>
      </w:r>
      <w:r>
        <w:rPr>
          <w:rFonts w:hint="eastAsia"/>
          <w:szCs w:val="32"/>
          <w:lang w:val="zh-CN"/>
        </w:rPr>
        <w:t>，</w:t>
      </w:r>
      <w:r>
        <w:rPr>
          <w:rFonts w:hint="eastAsia" w:ascii="方正仿宋_GBK" w:cs="方正仿宋_GBK"/>
        </w:rPr>
        <w:t>确保生态保护红线落地准确、边界清晰</w:t>
      </w:r>
      <w:r>
        <w:rPr>
          <w:rFonts w:hint="eastAsia"/>
          <w:lang w:val="zh-CN"/>
        </w:rPr>
        <w:t>。加强生态保护红线管控，严控生态保护红线区域内的开发建设活动，严禁擅自占用和改变用地性质。生态保护红线内原有居住用地和其他建设用地不得随意扩建和改建。加大对生态保护红线内违法开发建设活动以及毁林、捕猎等破坏生态环境行为的查处力度，确保生态功能不降低、面积不减少、性质不改变。建立生态保护红线常态化执法机制，建立健全生态保护红线管理工作考核体系，</w:t>
      </w:r>
      <w:r>
        <w:rPr>
          <w:lang w:val="zh-CN"/>
        </w:rPr>
        <w:t>牢牢</w:t>
      </w:r>
      <w:r>
        <w:rPr>
          <w:rFonts w:hint="eastAsia"/>
          <w:lang w:val="zh-CN"/>
        </w:rPr>
        <w:t>守住生态保护底线。</w:t>
      </w:r>
    </w:p>
    <w:p>
      <w:pPr>
        <w:widowControl/>
        <w:spacing w:line="594" w:lineRule="exact"/>
        <w:rPr>
          <w:szCs w:val="36"/>
        </w:rPr>
      </w:pPr>
      <w:r>
        <w:rPr>
          <w:rFonts w:hint="eastAsia"/>
          <w:b/>
          <w:bCs/>
          <w:szCs w:val="36"/>
        </w:rPr>
        <w:t>强化自然保护地监管。</w:t>
      </w:r>
      <w:r>
        <w:rPr>
          <w:rFonts w:hint="eastAsia"/>
          <w:szCs w:val="36"/>
        </w:rPr>
        <w:t>落实《关于建立以国家公园为主体的自然保护地体系的指导意见》，整合优化长江三峡国家地质公园奉节园区、天坑地缝自然保护区等自然保护地，完成全县自然保护地勘界立标，建立统一规范的矢量数据库，推动自然保护地规范化建设和精细化管理。建立健全监测网络体系，充分运用重庆市林业资源遥感监管平台，推进自然保护地“天空地”一体化监测网络建设，完善“平台发现-现场核查-监督执法”的主动发现监管体系。</w:t>
      </w:r>
      <w:r>
        <w:rPr>
          <w:szCs w:val="36"/>
        </w:rPr>
        <w:t>提升</w:t>
      </w:r>
      <w:r>
        <w:rPr>
          <w:rFonts w:hint="eastAsia"/>
          <w:szCs w:val="36"/>
        </w:rPr>
        <w:t>自然保护地</w:t>
      </w:r>
      <w:r>
        <w:rPr>
          <w:szCs w:val="36"/>
        </w:rPr>
        <w:t>管理</w:t>
      </w:r>
      <w:r>
        <w:rPr>
          <w:rFonts w:hint="eastAsia"/>
          <w:szCs w:val="36"/>
        </w:rPr>
        <w:t>机构</w:t>
      </w:r>
      <w:r>
        <w:rPr>
          <w:szCs w:val="36"/>
        </w:rPr>
        <w:t>的管理能力</w:t>
      </w:r>
      <w:r>
        <w:rPr>
          <w:rFonts w:hint="eastAsia"/>
          <w:szCs w:val="36"/>
        </w:rPr>
        <w:t>，建立健全高效管理机制。</w:t>
      </w:r>
    </w:p>
    <w:p>
      <w:pPr>
        <w:widowControl/>
        <w:spacing w:line="594" w:lineRule="exact"/>
        <w:rPr>
          <w:szCs w:val="36"/>
        </w:rPr>
      </w:pPr>
      <w:r>
        <w:rPr>
          <w:rFonts w:hint="eastAsia"/>
          <w:b/>
          <w:bCs/>
          <w:szCs w:val="36"/>
        </w:rPr>
        <w:t>强化河湖空间用途管制。</w:t>
      </w:r>
      <w:r>
        <w:rPr>
          <w:rFonts w:hint="eastAsia"/>
          <w:szCs w:val="36"/>
        </w:rPr>
        <w:t>按照市级岸线规划编制要求，组织开展全县流域面积50km</w:t>
      </w:r>
      <w:r>
        <w:rPr>
          <w:rFonts w:hint="eastAsia"/>
          <w:szCs w:val="36"/>
          <w:vertAlign w:val="superscript"/>
        </w:rPr>
        <w:t>2</w:t>
      </w:r>
      <w:r>
        <w:rPr>
          <w:rFonts w:hint="eastAsia"/>
          <w:szCs w:val="36"/>
        </w:rPr>
        <w:t>及以上河流与其他重要河流的岸线保护与利用规划，全面划定河湖管理范围，明确岸线功能分区和用途管制，推进河湖岸线综合整治。以河长制为抓手，建立河湖岸线保护与利用负面清单，创新河湖管护机制，积极推进水域岸线占用补偿。严禁违法违规开发利用河道岸线资源，严格涉河建设项目和河道采砂监管，深入推进“清四乱”常态化、规范化。强化水政执法和采砂管理，完善河道采砂日常巡查制度，加大对重点河段、重要时段、敏感水域的日常监管和巡查密度。加强队伍建设，提升河湖管理保护能力和水平。</w:t>
      </w:r>
    </w:p>
    <w:p>
      <w:pPr>
        <w:pStyle w:val="34"/>
        <w:numPr>
          <w:ilvl w:val="0"/>
          <w:numId w:val="0"/>
        </w:numPr>
        <w:ind w:left="2469"/>
      </w:pPr>
    </w:p>
    <w:p>
      <w:pPr>
        <w:pStyle w:val="5"/>
      </w:pPr>
      <w:bookmarkStart w:id="647" w:name="_Toc26672"/>
      <w:bookmarkStart w:id="648" w:name="_Toc16582"/>
      <w:bookmarkStart w:id="649" w:name="_Toc494"/>
      <w:bookmarkStart w:id="650" w:name="_Toc18142"/>
      <w:bookmarkStart w:id="651" w:name="_Toc22832"/>
      <w:bookmarkStart w:id="652" w:name="_Toc8186"/>
      <w:bookmarkStart w:id="653" w:name="_Toc31102"/>
      <w:bookmarkStart w:id="654" w:name="_Toc17159"/>
      <w:bookmarkStart w:id="655" w:name="_Toc28409"/>
      <w:bookmarkStart w:id="656" w:name="_Toc13808"/>
      <w:bookmarkStart w:id="657" w:name="_Toc6506"/>
      <w:bookmarkStart w:id="658" w:name="_Toc9215"/>
      <w:bookmarkStart w:id="659" w:name="_Toc18612"/>
      <w:bookmarkStart w:id="660" w:name="_Toc20104"/>
      <w:bookmarkStart w:id="661" w:name="_Toc19067"/>
      <w:bookmarkStart w:id="662" w:name="_Toc23821"/>
      <w:bookmarkStart w:id="663" w:name="_Toc28036"/>
      <w:bookmarkStart w:id="664" w:name="_Toc27067"/>
      <w:bookmarkStart w:id="665" w:name="_Toc26185"/>
      <w:r>
        <w:rPr>
          <w:rFonts w:hint="eastAsia"/>
        </w:rPr>
        <w:t>加强重要生态系统保护</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pPr>
        <w:widowControl/>
        <w:spacing w:line="594" w:lineRule="exact"/>
        <w:rPr>
          <w:rFonts w:cs="宋体"/>
          <w:b/>
          <w:bCs/>
          <w:kern w:val="0"/>
          <w:szCs w:val="32"/>
        </w:rPr>
      </w:pPr>
    </w:p>
    <w:p>
      <w:pPr>
        <w:widowControl/>
        <w:spacing w:line="594" w:lineRule="exact"/>
        <w:rPr>
          <w:rFonts w:cs="宋体"/>
          <w:kern w:val="0"/>
          <w:szCs w:val="32"/>
        </w:rPr>
      </w:pPr>
      <w:r>
        <w:rPr>
          <w:rFonts w:hint="eastAsia" w:cs="宋体"/>
          <w:b/>
          <w:bCs/>
          <w:kern w:val="0"/>
          <w:szCs w:val="32"/>
        </w:rPr>
        <w:t>严格森林资源保护管理。</w:t>
      </w:r>
      <w:r>
        <w:rPr>
          <w:rFonts w:hint="eastAsia" w:cs="宋体"/>
          <w:kern w:val="0"/>
          <w:szCs w:val="32"/>
        </w:rPr>
        <w:t>开展森林资源专项调查，不断完善森林资源管理“一张图”数据库、公益林数据库、天然林数据库</w:t>
      </w:r>
      <w:r>
        <w:rPr>
          <w:rFonts w:hint="eastAsia" w:cs="宋体"/>
          <w:color w:val="000000"/>
          <w:kern w:val="0"/>
          <w:szCs w:val="32"/>
        </w:rPr>
        <w:t>，有序实施天然林保护修复工程</w:t>
      </w:r>
      <w:r>
        <w:rPr>
          <w:rFonts w:hint="eastAsia" w:cs="宋体"/>
          <w:kern w:val="0"/>
          <w:szCs w:val="32"/>
        </w:rPr>
        <w:t>。以科学绿化为指引，持续开展国土绿化提升行动，统筹实施渝东北岭谷区生态保护修复项目和“两岸青山·千里林带”等建设项目。充分利用新一代信息技术，实施智慧林业建设工程，完善林业有害生物监测体系，强化森林防灭火基础保障，完善森林火险监测预警体系。加强松材线虫等重大林业有害生物防控，利用短视频、公众号</w:t>
      </w:r>
      <w:r>
        <w:rPr>
          <w:rFonts w:cs="宋体"/>
          <w:kern w:val="0"/>
          <w:szCs w:val="32"/>
        </w:rPr>
        <w:t>、</w:t>
      </w:r>
      <w:r>
        <w:rPr>
          <w:rFonts w:hint="eastAsia" w:cs="宋体"/>
          <w:kern w:val="0"/>
          <w:szCs w:val="32"/>
        </w:rPr>
        <w:t>展板、横幅、手册等</w:t>
      </w:r>
      <w:r>
        <w:rPr>
          <w:rFonts w:cs="宋体"/>
          <w:kern w:val="0"/>
          <w:szCs w:val="32"/>
        </w:rPr>
        <w:t>宣传手段</w:t>
      </w:r>
      <w:r>
        <w:rPr>
          <w:rFonts w:hint="eastAsia" w:cs="宋体"/>
          <w:kern w:val="0"/>
          <w:szCs w:val="32"/>
        </w:rPr>
        <w:t>，</w:t>
      </w:r>
      <w:r>
        <w:rPr>
          <w:rFonts w:cs="宋体"/>
          <w:kern w:val="0"/>
          <w:szCs w:val="32"/>
        </w:rPr>
        <w:t>开展</w:t>
      </w:r>
      <w:r>
        <w:rPr>
          <w:rFonts w:hint="eastAsia" w:cs="宋体"/>
          <w:kern w:val="0"/>
          <w:szCs w:val="32"/>
        </w:rPr>
        <w:t>林业有害生物的危害、植物检疫法规</w:t>
      </w:r>
      <w:r>
        <w:rPr>
          <w:rFonts w:cs="宋体"/>
          <w:kern w:val="0"/>
          <w:szCs w:val="32"/>
        </w:rPr>
        <w:t>、</w:t>
      </w:r>
      <w:r>
        <w:rPr>
          <w:rFonts w:hint="eastAsia" w:cs="宋体"/>
          <w:kern w:val="0"/>
          <w:szCs w:val="32"/>
        </w:rPr>
        <w:t>森林防火</w:t>
      </w:r>
      <w:r>
        <w:rPr>
          <w:rFonts w:cs="宋体"/>
          <w:kern w:val="0"/>
          <w:szCs w:val="32"/>
        </w:rPr>
        <w:t>等知识</w:t>
      </w:r>
      <w:r>
        <w:rPr>
          <w:rFonts w:hint="eastAsia" w:cs="宋体"/>
          <w:kern w:val="0"/>
          <w:szCs w:val="32"/>
        </w:rPr>
        <w:t>宣传教育。</w:t>
      </w:r>
    </w:p>
    <w:p>
      <w:pPr>
        <w:widowControl/>
        <w:spacing w:line="594" w:lineRule="exact"/>
        <w:rPr>
          <w:rFonts w:ascii="宋体" w:eastAsia="宋体" w:cs="宋体"/>
          <w:kern w:val="0"/>
          <w:szCs w:val="32"/>
        </w:rPr>
      </w:pPr>
      <w:r>
        <w:rPr>
          <w:rFonts w:hint="eastAsia" w:ascii="方正仿宋_GBK" w:cs="宋体"/>
          <w:b/>
          <w:bCs/>
          <w:kern w:val="0"/>
          <w:szCs w:val="32"/>
        </w:rPr>
        <w:t>维护湿地生态系统稳定。</w:t>
      </w:r>
      <w:r>
        <w:rPr>
          <w:rFonts w:hint="eastAsia" w:ascii="方正仿宋_GBK" w:cs="宋体"/>
          <w:kern w:val="0"/>
          <w:szCs w:val="32"/>
        </w:rPr>
        <w:t>以梅溪河市级湿地自然公园等湿地为重点，采取建设人工湿地、构建河滨植物生态系统、建设生态涵养林等方式实施湿地生态系统保护与修复，逐步改善湿地生态环境。加强湿地用途管制，在保护的前提下合理利用一般湿地，保持湿地范围和用途的长期稳定。加强河长制与林长制联动，在梅溪河、大溪河等重要流域设立湿地观测站和湿地管护点</w:t>
      </w:r>
      <w:r>
        <w:rPr>
          <w:rFonts w:ascii="方正仿宋_GBK" w:cs="宋体"/>
          <w:kern w:val="0"/>
          <w:szCs w:val="32"/>
        </w:rPr>
        <w:t>，建立形成</w:t>
      </w:r>
      <w:r>
        <w:rPr>
          <w:rFonts w:hint="eastAsia" w:ascii="方正仿宋_GBK" w:cs="宋体"/>
          <w:kern w:val="0"/>
          <w:szCs w:val="32"/>
        </w:rPr>
        <w:t>湿地生态系统监测评价网络和湿地利用预警机制，</w:t>
      </w:r>
      <w:r>
        <w:rPr>
          <w:rFonts w:ascii="方正仿宋_GBK" w:cs="宋体"/>
          <w:kern w:val="0"/>
          <w:szCs w:val="32"/>
        </w:rPr>
        <w:t>提升湿地</w:t>
      </w:r>
      <w:r>
        <w:rPr>
          <w:rFonts w:hint="eastAsia" w:ascii="方正仿宋_GBK" w:cs="宋体"/>
          <w:kern w:val="0"/>
          <w:szCs w:val="32"/>
        </w:rPr>
        <w:t>保护管理水平。</w:t>
      </w:r>
    </w:p>
    <w:p>
      <w:pPr>
        <w:widowControl/>
        <w:spacing w:line="594" w:lineRule="exact"/>
        <w:rPr>
          <w:rFonts w:ascii="方正仿宋_GBK" w:cs="宋体"/>
          <w:kern w:val="0"/>
          <w:szCs w:val="32"/>
        </w:rPr>
      </w:pPr>
      <w:r>
        <w:rPr>
          <w:rFonts w:hint="eastAsia" w:ascii="方正仿宋_GBK" w:cs="宋体"/>
          <w:b/>
          <w:bCs/>
          <w:kern w:val="0"/>
          <w:szCs w:val="32"/>
        </w:rPr>
        <w:t>加强生物多样性保护。</w:t>
      </w:r>
      <w:r>
        <w:rPr>
          <w:rFonts w:hint="eastAsia" w:ascii="方正仿宋_GBK" w:cs="宋体"/>
          <w:kern w:val="0"/>
          <w:szCs w:val="32"/>
        </w:rPr>
        <w:t>以</w:t>
      </w:r>
      <w:r>
        <w:rPr>
          <w:rFonts w:hint="eastAsia"/>
          <w:szCs w:val="36"/>
        </w:rPr>
        <w:t>天坑地缝等</w:t>
      </w:r>
      <w:r>
        <w:rPr>
          <w:rFonts w:hint="eastAsia" w:ascii="方正仿宋_GBK" w:cs="宋体"/>
          <w:kern w:val="0"/>
          <w:szCs w:val="32"/>
        </w:rPr>
        <w:t>自然保护地以及濒危野生动植物栖息地为重点，加大野生动植物拯救保护力度，建设陆生野生动物救护站和野生植物保护管理站，综合运用野化放归、回归、就地保护、迁地保护等措施实施野生动植物拯救保护。完善野生动植物监测体系，结合林长制开展人工巡护和执法检查，加强野生动植物资源监测，常态化打击整治乱捕滥猎、非法收购、非法运输濒危野生动植物和破坏野生动植物栖息地等违法犯罪行为。建立健全陆生野生动物疫源疫病监测预警防控体系，严格外来物种的审批和监管。</w:t>
      </w:r>
    </w:p>
    <w:p>
      <w:pPr>
        <w:pStyle w:val="34"/>
        <w:numPr>
          <w:ilvl w:val="0"/>
          <w:numId w:val="0"/>
        </w:numPr>
        <w:ind w:left="2469"/>
      </w:pPr>
    </w:p>
    <w:p>
      <w:pPr>
        <w:pStyle w:val="5"/>
      </w:pPr>
      <w:bookmarkStart w:id="666" w:name="_Toc12063"/>
      <w:bookmarkStart w:id="667" w:name="_Toc715"/>
      <w:bookmarkStart w:id="668" w:name="_Toc9911"/>
      <w:bookmarkStart w:id="669" w:name="_Toc31569"/>
      <w:bookmarkStart w:id="670" w:name="_Toc27831"/>
      <w:bookmarkStart w:id="671" w:name="_Toc12554"/>
      <w:bookmarkStart w:id="672" w:name="_Toc15407"/>
      <w:bookmarkStart w:id="673" w:name="_Toc14968"/>
      <w:bookmarkStart w:id="674" w:name="_Toc23410"/>
      <w:bookmarkStart w:id="675" w:name="_Toc15322"/>
      <w:bookmarkStart w:id="676" w:name="_Toc27948"/>
      <w:bookmarkStart w:id="677" w:name="_Toc15610"/>
      <w:bookmarkStart w:id="678" w:name="_Toc28536"/>
      <w:bookmarkStart w:id="679" w:name="_Toc13320"/>
      <w:bookmarkStart w:id="680" w:name="_Toc11903"/>
      <w:bookmarkStart w:id="681" w:name="_Toc15467"/>
      <w:bookmarkStart w:id="682" w:name="_Toc11170"/>
      <w:bookmarkStart w:id="683" w:name="_Toc20868"/>
      <w:bookmarkStart w:id="684" w:name="_Toc10697"/>
      <w:r>
        <w:rPr>
          <w:rFonts w:hint="eastAsia"/>
        </w:rPr>
        <w:t>开展生态脆弱区域生态修复</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pPr>
        <w:spacing w:line="600" w:lineRule="exact"/>
        <w:rPr>
          <w:b/>
          <w:szCs w:val="28"/>
        </w:rPr>
      </w:pPr>
    </w:p>
    <w:p>
      <w:pPr>
        <w:spacing w:line="600" w:lineRule="exact"/>
        <w:rPr>
          <w:bCs/>
          <w:szCs w:val="28"/>
        </w:rPr>
      </w:pPr>
      <w:r>
        <w:rPr>
          <w:rFonts w:hint="eastAsia"/>
          <w:b/>
          <w:szCs w:val="28"/>
        </w:rPr>
        <w:t>加强消落带综合治理。</w:t>
      </w:r>
      <w:r>
        <w:rPr>
          <w:rFonts w:hint="eastAsia"/>
          <w:bCs/>
          <w:szCs w:val="28"/>
        </w:rPr>
        <w:t>总结推广永乐镇白龙村、安坪镇三坨村长江干流消落带治理技术，因地制宜采取岸线整治、消落区治理等方式把消落区建成具有固土、涵水、益鸟等生态湿地功能的缓冲带。实施长江岸线综合治理及草堂湖、石马河等重点区域消落带专项治理。</w:t>
      </w:r>
    </w:p>
    <w:p>
      <w:pPr>
        <w:spacing w:line="600" w:lineRule="exact"/>
        <w:rPr>
          <w:bCs/>
          <w:szCs w:val="28"/>
        </w:rPr>
      </w:pPr>
      <w:r>
        <w:rPr>
          <w:rFonts w:hint="eastAsia"/>
          <w:b/>
          <w:szCs w:val="28"/>
        </w:rPr>
        <w:t>加强水土流失治理。</w:t>
      </w:r>
      <w:r>
        <w:rPr>
          <w:rFonts w:hint="eastAsia"/>
          <w:bCs/>
          <w:szCs w:val="28"/>
        </w:rPr>
        <w:t>坚持预防为主、防治结合，强化重点水土流失区防治，将水土保持生态建设与乡村振兴相结合，因地制宜推进生态清洁小流域建设。以“一江五河”为重点，采用建设坡改梯、经果林、保土耕作、封禁治理、蓄水池、截排水沟、沉砂池等方式，因地制宜，实施白帝镇石庙村、坪上村，鹤峰乡观斗村，安坪镇天鹅村，康坪乡大架村等区域的水土保持项目</w:t>
      </w:r>
      <w:r>
        <w:rPr>
          <w:bCs/>
          <w:szCs w:val="28"/>
        </w:rPr>
        <w:t>。</w:t>
      </w:r>
    </w:p>
    <w:p>
      <w:pPr>
        <w:spacing w:line="600" w:lineRule="exact"/>
        <w:rPr>
          <w:bCs/>
          <w:szCs w:val="28"/>
        </w:rPr>
      </w:pPr>
      <w:r>
        <w:rPr>
          <w:rFonts w:hint="eastAsia"/>
          <w:b/>
          <w:szCs w:val="28"/>
        </w:rPr>
        <w:t>科学治理石漠化。</w:t>
      </w:r>
      <w:r>
        <w:rPr>
          <w:rFonts w:hint="eastAsia"/>
          <w:bCs/>
          <w:szCs w:val="28"/>
        </w:rPr>
        <w:t>按照国家、市级相关工作部署，开展岩溶地区石漠化调查。因地制宜实施岩溶地区石漠化综合治理，实施封山育林、人工造林、森林抚育及退化防护林修复，有效增加石漠化地区</w:t>
      </w:r>
      <w:r>
        <w:rPr>
          <w:bCs/>
          <w:szCs w:val="28"/>
        </w:rPr>
        <w:t>森林植被</w:t>
      </w:r>
      <w:r>
        <w:rPr>
          <w:rFonts w:hint="eastAsia"/>
          <w:bCs/>
          <w:szCs w:val="28"/>
        </w:rPr>
        <w:t>覆盖</w:t>
      </w:r>
      <w:r>
        <w:rPr>
          <w:bCs/>
          <w:szCs w:val="28"/>
        </w:rPr>
        <w:t>率</w:t>
      </w:r>
      <w:r>
        <w:rPr>
          <w:rFonts w:hint="eastAsia"/>
          <w:bCs/>
          <w:szCs w:val="28"/>
        </w:rPr>
        <w:t>。</w:t>
      </w:r>
    </w:p>
    <w:p>
      <w:pPr>
        <w:spacing w:line="594" w:lineRule="exact"/>
        <w:rPr>
          <w:bCs/>
          <w:szCs w:val="28"/>
        </w:rPr>
      </w:pPr>
      <w:r>
        <w:rPr>
          <w:rFonts w:hint="eastAsia"/>
          <w:b/>
          <w:szCs w:val="28"/>
        </w:rPr>
        <w:t>加强历史遗留和关闭矿山地质环境治理恢复。</w:t>
      </w:r>
      <w:r>
        <w:rPr>
          <w:rFonts w:hint="eastAsia"/>
          <w:bCs/>
          <w:szCs w:val="28"/>
        </w:rPr>
        <w:t>坚持按照“宜农则农、宜林则林、宜园则园、宜水则水、宜建则建”的原则，分类落实矿区修复利用方向，把握整体推进和重点突破，协同推进生态环境保护和经济发展，开展全县矿山地质环境、损毁土地详细调查和历史遗留和关闭矿山地质环境治理恢复，至2</w:t>
      </w:r>
      <w:r>
        <w:rPr>
          <w:bCs/>
          <w:szCs w:val="28"/>
        </w:rPr>
        <w:t>025</w:t>
      </w:r>
      <w:r>
        <w:rPr>
          <w:rFonts w:hint="eastAsia"/>
          <w:bCs/>
          <w:szCs w:val="28"/>
        </w:rPr>
        <w:t>年，</w:t>
      </w:r>
      <w:r>
        <w:rPr>
          <w:bCs/>
          <w:szCs w:val="28"/>
        </w:rPr>
        <w:t>完成19</w:t>
      </w:r>
      <w:r>
        <w:rPr>
          <w:rFonts w:hint="eastAsia"/>
          <w:bCs/>
          <w:szCs w:val="28"/>
        </w:rPr>
        <w:t>个矿山共2</w:t>
      </w:r>
      <w:r>
        <w:rPr>
          <w:bCs/>
          <w:szCs w:val="28"/>
        </w:rPr>
        <w:t>5.22</w:t>
      </w:r>
      <w:r>
        <w:rPr>
          <w:rFonts w:hint="eastAsia"/>
          <w:bCs/>
          <w:szCs w:val="28"/>
        </w:rPr>
        <w:t>公顷治理。</w:t>
      </w:r>
    </w:p>
    <w:p>
      <w:pPr>
        <w:pStyle w:val="34"/>
        <w:numPr>
          <w:ilvl w:val="0"/>
          <w:numId w:val="0"/>
        </w:numPr>
        <w:ind w:left="2469"/>
      </w:pPr>
    </w:p>
    <w:p>
      <w:pPr>
        <w:pStyle w:val="5"/>
      </w:pPr>
      <w:bookmarkStart w:id="685" w:name="_Toc7832"/>
      <w:bookmarkStart w:id="686" w:name="_Toc2636"/>
      <w:bookmarkStart w:id="687" w:name="_Toc27635"/>
      <w:bookmarkStart w:id="688" w:name="_Toc14548"/>
      <w:bookmarkStart w:id="689" w:name="_Toc1004"/>
      <w:bookmarkStart w:id="690" w:name="_Toc4143"/>
      <w:bookmarkStart w:id="691" w:name="_Toc17589"/>
      <w:bookmarkStart w:id="692" w:name="_Toc5453"/>
      <w:bookmarkStart w:id="693" w:name="_Toc17144"/>
      <w:bookmarkStart w:id="694" w:name="_Toc30046"/>
      <w:bookmarkStart w:id="695" w:name="_Toc25363"/>
      <w:bookmarkStart w:id="696" w:name="_Toc17365"/>
      <w:bookmarkStart w:id="697" w:name="_Toc30669"/>
      <w:bookmarkStart w:id="698" w:name="_Toc20171"/>
      <w:bookmarkStart w:id="699" w:name="_Toc27197"/>
      <w:bookmarkStart w:id="700" w:name="_Toc12004"/>
      <w:bookmarkStart w:id="701" w:name="_Toc28956"/>
      <w:r>
        <w:rPr>
          <w:rFonts w:hint="eastAsia"/>
        </w:rPr>
        <w:t>加强生态环境风险防范</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pPr>
        <w:spacing w:line="594" w:lineRule="exact"/>
        <w:rPr>
          <w:b/>
          <w:szCs w:val="28"/>
        </w:rPr>
      </w:pPr>
    </w:p>
    <w:p>
      <w:pPr>
        <w:spacing w:line="594" w:lineRule="exact"/>
        <w:rPr>
          <w:b/>
          <w:szCs w:val="28"/>
        </w:rPr>
      </w:pPr>
      <w:r>
        <w:rPr>
          <w:rFonts w:hint="eastAsia"/>
          <w:b/>
          <w:szCs w:val="28"/>
        </w:rPr>
        <w:t>严格沿江工业企业监管。</w:t>
      </w:r>
      <w:r>
        <w:rPr>
          <w:rFonts w:hint="eastAsia"/>
          <w:bCs/>
          <w:szCs w:val="28"/>
        </w:rPr>
        <w:t>禁止在长江干支流岸线一公里范围内新建、扩建化工园区和化工项目。禁止在长江干流岸线三公里范围内和重要支流岸线一公里范围内新建、改建、扩建尾矿库；但是以提升安全、生态环境保护水平为目的的改建除外。鼓励现有工业项目搬入工业园区</w:t>
      </w:r>
      <w:r>
        <w:rPr>
          <w:bCs/>
          <w:szCs w:val="28"/>
        </w:rPr>
        <w:t>。全面调查摸底</w:t>
      </w:r>
      <w:r>
        <w:rPr>
          <w:rFonts w:hint="eastAsia"/>
          <w:bCs/>
          <w:szCs w:val="28"/>
        </w:rPr>
        <w:t>长江岸线一</w:t>
      </w:r>
      <w:r>
        <w:rPr>
          <w:bCs/>
          <w:szCs w:val="28"/>
        </w:rPr>
        <w:t>公里范围内</w:t>
      </w:r>
      <w:r>
        <w:rPr>
          <w:rFonts w:hint="eastAsia"/>
          <w:bCs/>
          <w:szCs w:val="28"/>
        </w:rPr>
        <w:t>的</w:t>
      </w:r>
      <w:r>
        <w:rPr>
          <w:bCs/>
          <w:szCs w:val="28"/>
        </w:rPr>
        <w:t>工业企业</w:t>
      </w:r>
      <w:r>
        <w:rPr>
          <w:rFonts w:hint="eastAsia"/>
          <w:bCs/>
          <w:szCs w:val="28"/>
        </w:rPr>
        <w:t>基本情况</w:t>
      </w:r>
      <w:r>
        <w:rPr>
          <w:bCs/>
          <w:szCs w:val="28"/>
        </w:rPr>
        <w:t>，科学评估规划、安全、环保等合规情况，稳步有序实施整治搬迁工作。</w:t>
      </w:r>
      <w:r>
        <w:rPr>
          <w:rFonts w:hint="eastAsia"/>
          <w:bCs/>
          <w:szCs w:val="28"/>
        </w:rPr>
        <w:t>加强尚未搬迁企业的日常监管，督促企业提升环境风险防范能力，严防突发环境事件发生。</w:t>
      </w:r>
    </w:p>
    <w:p>
      <w:pPr>
        <w:spacing w:line="594" w:lineRule="exact"/>
        <w:rPr>
          <w:bCs/>
          <w:szCs w:val="28"/>
        </w:rPr>
      </w:pPr>
      <w:r>
        <w:rPr>
          <w:rFonts w:hint="eastAsia"/>
          <w:b/>
          <w:szCs w:val="28"/>
        </w:rPr>
        <w:t>实施危险化学品全过程监管。</w:t>
      </w:r>
      <w:r>
        <w:rPr>
          <w:rFonts w:hint="eastAsia"/>
          <w:bCs/>
          <w:szCs w:val="28"/>
        </w:rPr>
        <w:t>加强危险化学品生产、经营、贮存、运输、使用、处置的全过程监管。强化水上危化品运输安全管理，加大危化品运输船舶及专用港口、码头、锚地的风险防控力度，制定实施沿江危险化学品运输配套设施布点方案，严格管控持久性有机污染物（POPs）和消耗臭氧层物质（ODS）</w:t>
      </w:r>
      <w:r>
        <w:rPr>
          <w:bCs/>
          <w:szCs w:val="28"/>
        </w:rPr>
        <w:t>。</w:t>
      </w:r>
      <w:r>
        <w:rPr>
          <w:rFonts w:hint="eastAsia"/>
          <w:bCs/>
          <w:szCs w:val="28"/>
        </w:rPr>
        <w:t>加大</w:t>
      </w:r>
      <w:r>
        <w:rPr>
          <w:bCs/>
          <w:szCs w:val="28"/>
        </w:rPr>
        <w:t>对</w:t>
      </w:r>
      <w:r>
        <w:rPr>
          <w:rFonts w:hint="eastAsia"/>
          <w:bCs/>
          <w:szCs w:val="28"/>
        </w:rPr>
        <w:t>违法行为查处力度。加强化学品危害鉴别、风险评估技术队伍建设和水上环境应急能力建设。</w:t>
      </w:r>
    </w:p>
    <w:p>
      <w:pPr>
        <w:spacing w:line="594" w:lineRule="exact"/>
        <w:rPr>
          <w:rFonts w:cs="Times New Roman"/>
          <w:kern w:val="0"/>
          <w:szCs w:val="32"/>
        </w:rPr>
      </w:pPr>
      <w:r>
        <w:rPr>
          <w:rFonts w:hint="eastAsia" w:cs="Times New Roman"/>
          <w:b/>
          <w:bCs/>
          <w:kern w:val="0"/>
          <w:szCs w:val="32"/>
        </w:rPr>
        <w:t>加强危险废物处理处置。</w:t>
      </w:r>
      <w:r>
        <w:rPr>
          <w:rFonts w:hint="eastAsia" w:cs="Times New Roman"/>
          <w:color w:val="000000"/>
          <w:kern w:val="0"/>
          <w:szCs w:val="32"/>
        </w:rPr>
        <w:t>完善危险废物收集贮存体系建设，</w:t>
      </w:r>
      <w:r>
        <w:rPr>
          <w:rFonts w:hint="eastAsia" w:cs="Times New Roman"/>
          <w:kern w:val="0"/>
          <w:szCs w:val="32"/>
        </w:rPr>
        <w:t>推动危废集中收集贮存转运试点，</w:t>
      </w:r>
      <w:r>
        <w:rPr>
          <w:rFonts w:cs="Times New Roman"/>
          <w:kern w:val="0"/>
          <w:szCs w:val="32"/>
        </w:rPr>
        <w:t>配足</w:t>
      </w:r>
      <w:r>
        <w:rPr>
          <w:rFonts w:hint="eastAsia" w:cs="Times New Roman"/>
          <w:kern w:val="0"/>
          <w:szCs w:val="32"/>
        </w:rPr>
        <w:t>废矿物油、废铅蓄电池等集中收集贮存设施。加快危险废物信息化管理系统建设，规范包装及标签，实现危险废物从产生到处置全过程信息追踪。加大危险废物重点单位监管力度，继续落实危险废物电子转移联单制度，强化危险废物贮存转运规范化推动危险废物过程监控信息化</w:t>
      </w:r>
      <w:r>
        <w:rPr>
          <w:rFonts w:cs="Times New Roman"/>
          <w:kern w:val="0"/>
          <w:szCs w:val="32"/>
        </w:rPr>
        <w:t>。</w:t>
      </w:r>
      <w:r>
        <w:rPr>
          <w:rFonts w:hint="eastAsia" w:cs="Times New Roman"/>
          <w:kern w:val="0"/>
          <w:szCs w:val="32"/>
        </w:rPr>
        <w:t>加强</w:t>
      </w:r>
      <w:r>
        <w:rPr>
          <w:rFonts w:cs="Times New Roman"/>
          <w:kern w:val="0"/>
          <w:szCs w:val="32"/>
        </w:rPr>
        <w:t>医疗废物监管，定期开展</w:t>
      </w:r>
      <w:r>
        <w:rPr>
          <w:rFonts w:hint="eastAsia" w:cs="Times New Roman"/>
          <w:kern w:val="0"/>
          <w:szCs w:val="32"/>
        </w:rPr>
        <w:t>多部门</w:t>
      </w:r>
      <w:r>
        <w:rPr>
          <w:rFonts w:cs="Times New Roman"/>
          <w:kern w:val="0"/>
          <w:szCs w:val="32"/>
        </w:rPr>
        <w:t>联动医疗机构医疗废物处置执法监督检查，规范医疗废弃物的收集、储存、运输</w:t>
      </w:r>
      <w:r>
        <w:rPr>
          <w:rFonts w:hint="eastAsia" w:cs="Times New Roman"/>
          <w:kern w:val="0"/>
          <w:szCs w:val="32"/>
        </w:rPr>
        <w:t>，委托有相应资质单位统一处理，其中，</w:t>
      </w:r>
      <w:r>
        <w:rPr>
          <w:rFonts w:cs="Times New Roman"/>
          <w:kern w:val="0"/>
          <w:szCs w:val="32"/>
        </w:rPr>
        <w:t>县属医疗机构、民营医院、乡镇卫生院、社区卫生服务中心每年</w:t>
      </w:r>
      <w:r>
        <w:rPr>
          <w:rFonts w:hint="eastAsia" w:cs="Times New Roman"/>
          <w:kern w:val="0"/>
          <w:szCs w:val="32"/>
        </w:rPr>
        <w:t>100</w:t>
      </w:r>
      <w:r>
        <w:rPr>
          <w:rFonts w:cs="Times New Roman"/>
          <w:kern w:val="0"/>
          <w:szCs w:val="32"/>
        </w:rPr>
        <w:t>%全覆盖，村（</w:t>
      </w:r>
      <w:r>
        <w:rPr>
          <w:rFonts w:hint="eastAsia" w:cs="Times New Roman"/>
          <w:kern w:val="0"/>
          <w:szCs w:val="32"/>
        </w:rPr>
        <w:t>居</w:t>
      </w:r>
      <w:r>
        <w:rPr>
          <w:rFonts w:cs="Times New Roman"/>
          <w:kern w:val="0"/>
          <w:szCs w:val="32"/>
        </w:rPr>
        <w:t>）</w:t>
      </w:r>
      <w:r>
        <w:rPr>
          <w:rFonts w:hint="eastAsia" w:cs="Times New Roman"/>
          <w:kern w:val="0"/>
          <w:szCs w:val="32"/>
        </w:rPr>
        <w:t>卫生室</w:t>
      </w:r>
      <w:r>
        <w:rPr>
          <w:rFonts w:cs="Times New Roman"/>
          <w:kern w:val="0"/>
          <w:szCs w:val="32"/>
        </w:rPr>
        <w:t>每年抽查</w:t>
      </w:r>
      <w:r>
        <w:rPr>
          <w:rFonts w:hint="eastAsia" w:cs="Times New Roman"/>
          <w:kern w:val="0"/>
          <w:szCs w:val="32"/>
        </w:rPr>
        <w:t>15</w:t>
      </w:r>
      <w:r>
        <w:rPr>
          <w:rFonts w:cs="Times New Roman"/>
          <w:kern w:val="0"/>
          <w:szCs w:val="32"/>
        </w:rPr>
        <w:t>%，私人诊所每年抽查</w:t>
      </w:r>
      <w:r>
        <w:rPr>
          <w:rFonts w:hint="eastAsia" w:cs="Times New Roman"/>
          <w:kern w:val="0"/>
          <w:szCs w:val="32"/>
        </w:rPr>
        <w:t>30</w:t>
      </w:r>
      <w:r>
        <w:rPr>
          <w:rFonts w:cs="Times New Roman"/>
          <w:kern w:val="0"/>
          <w:szCs w:val="32"/>
        </w:rPr>
        <w:t>%</w:t>
      </w:r>
      <w:r>
        <w:rPr>
          <w:rFonts w:hint="eastAsia" w:cs="Times New Roman"/>
          <w:kern w:val="0"/>
          <w:szCs w:val="32"/>
        </w:rPr>
        <w:t>，确保全县医疗废物均得到妥善处置，到2</w:t>
      </w:r>
      <w:r>
        <w:rPr>
          <w:rFonts w:cs="Times New Roman"/>
          <w:kern w:val="0"/>
          <w:szCs w:val="32"/>
        </w:rPr>
        <w:t>025</w:t>
      </w:r>
      <w:r>
        <w:rPr>
          <w:rFonts w:hint="eastAsia" w:cs="Times New Roman"/>
          <w:kern w:val="0"/>
          <w:szCs w:val="32"/>
        </w:rPr>
        <w:t>年，全县危险废物利用处理率稳定保持100%。</w:t>
      </w:r>
    </w:p>
    <w:p>
      <w:pPr>
        <w:spacing w:line="594" w:lineRule="exact"/>
        <w:rPr>
          <w:rFonts w:cs="Times New Roman"/>
          <w:kern w:val="0"/>
          <w:szCs w:val="32"/>
        </w:rPr>
      </w:pPr>
      <w:r>
        <w:rPr>
          <w:rFonts w:hint="eastAsia" w:cs="Times New Roman"/>
          <w:b/>
          <w:bCs/>
          <w:kern w:val="0"/>
          <w:szCs w:val="32"/>
        </w:rPr>
        <w:t>构建生态环境风险防范和应急防控体系。</w:t>
      </w:r>
      <w:r>
        <w:rPr>
          <w:rFonts w:hint="eastAsia" w:cs="Times New Roman"/>
          <w:kern w:val="0"/>
          <w:szCs w:val="32"/>
        </w:rPr>
        <w:t>强化源头风险防控，制定朱衣河、长滩河、甲高河等流域突发水污染事件环境应急“南阳实践”工作方案，绘制重点区域、重点流域环境风险“一张图”</w:t>
      </w:r>
      <w:r>
        <w:rPr>
          <w:rFonts w:cs="Times New Roman"/>
          <w:kern w:val="0"/>
          <w:szCs w:val="32"/>
        </w:rPr>
        <w:t>。</w:t>
      </w:r>
      <w:r>
        <w:rPr>
          <w:rFonts w:hint="eastAsia" w:cs="Times New Roman"/>
          <w:kern w:val="0"/>
          <w:szCs w:val="32"/>
        </w:rPr>
        <w:t>建立健全风险防范体系，完善“县—园区—企业”的“事前严防、事中严管、事后处置”的全过程风险防范制度，健全“建设项目—发展规划—产业政策”全决策过程风险防范制度。健全突发生态环境事件应急管理机制，建立政府主导、部门联动、社会救援的突发环境事件应急处置机制，积极推动企业环境应急专业救援队伍参与全县环境应急抢险救援工作</w:t>
      </w:r>
      <w:r>
        <w:rPr>
          <w:rFonts w:cs="Times New Roman"/>
          <w:kern w:val="0"/>
          <w:szCs w:val="32"/>
        </w:rPr>
        <w:t>，</w:t>
      </w:r>
      <w:r>
        <w:rPr>
          <w:rFonts w:hint="eastAsia" w:cs="Times New Roman"/>
          <w:kern w:val="0"/>
          <w:szCs w:val="32"/>
        </w:rPr>
        <w:t>定期组织开展突发环境事件应急演练。推进环境风险防控重点工程建设。</w:t>
      </w:r>
    </w:p>
    <w:p>
      <w:pPr>
        <w:pStyle w:val="5"/>
        <w:sectPr>
          <w:pgSz w:w="11906" w:h="16838"/>
          <w:pgMar w:top="2098" w:right="1474" w:bottom="1984" w:left="1587" w:header="851" w:footer="1474" w:gutter="0"/>
          <w:cols w:space="720" w:num="1"/>
          <w:docGrid w:type="lines" w:linePitch="439" w:charSpace="0"/>
        </w:sectPr>
      </w:pPr>
    </w:p>
    <w:p>
      <w:pPr>
        <w:spacing w:line="594" w:lineRule="exact"/>
      </w:pPr>
      <w:bookmarkStart w:id="702" w:name="_Toc17366"/>
      <w:bookmarkStart w:id="703" w:name="_Toc19270"/>
      <w:bookmarkStart w:id="704" w:name="_Toc19444"/>
      <w:bookmarkStart w:id="705" w:name="_Toc8525"/>
      <w:bookmarkStart w:id="706" w:name="_Toc6909"/>
      <w:bookmarkStart w:id="707" w:name="_Toc19775"/>
      <w:bookmarkStart w:id="708" w:name="_Toc18419"/>
      <w:bookmarkStart w:id="709" w:name="_Toc18313"/>
      <w:bookmarkStart w:id="710" w:name="_Toc17905"/>
      <w:bookmarkStart w:id="711" w:name="_Toc7404"/>
      <w:bookmarkStart w:id="712" w:name="_Toc19714"/>
      <w:bookmarkStart w:id="713" w:name="_Toc29883"/>
      <w:bookmarkStart w:id="714" w:name="_Toc22245"/>
      <w:bookmarkStart w:id="715" w:name="_Toc6552"/>
    </w:p>
    <w:p>
      <w:pPr>
        <w:sectPr>
          <w:type w:val="continuous"/>
          <w:pgSz w:w="11906" w:h="16838"/>
          <w:pgMar w:top="2098" w:right="1474" w:bottom="1984" w:left="1587" w:header="851" w:footer="1474" w:gutter="0"/>
          <w:cols w:space="720" w:num="1"/>
          <w:docGrid w:type="lines" w:linePitch="435" w:charSpace="0"/>
        </w:sectPr>
      </w:pPr>
    </w:p>
    <w:p>
      <w:pPr>
        <w:pStyle w:val="4"/>
        <w:spacing w:line="594" w:lineRule="exact"/>
      </w:pPr>
      <w:bookmarkStart w:id="716" w:name="_Toc15157"/>
      <w:bookmarkStart w:id="717" w:name="_Toc1847"/>
      <w:bookmarkStart w:id="718" w:name="_Toc17799"/>
      <w:bookmarkStart w:id="719" w:name="_Toc10556"/>
      <w:bookmarkStart w:id="720" w:name="_Toc21993"/>
      <w:r>
        <w:rPr>
          <w:rFonts w:hint="eastAsia"/>
        </w:rPr>
        <w:t>持续推进产业转型升级，</w:t>
      </w:r>
      <w:r>
        <w:t>加快发展生态经济</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pPr>
        <w:spacing w:line="594" w:lineRule="exact"/>
      </w:pPr>
      <w:bookmarkStart w:id="721" w:name="_Toc29555"/>
      <w:bookmarkStart w:id="722" w:name="_Toc21095"/>
    </w:p>
    <w:p>
      <w:pPr>
        <w:spacing w:line="594" w:lineRule="exact"/>
      </w:pPr>
      <w:r>
        <w:t>充分发挥区域山水生态资源优势，</w:t>
      </w:r>
      <w:r>
        <w:rPr>
          <w:rFonts w:hint="eastAsia"/>
        </w:rPr>
        <w:t>加快推动绿色低碳发展，持续推进产业转型升级，促进生态工业、生态农业、生态旅游等绿色产业发展，提高水资源、土地资源等节约集约利用，大力发展循环经济，助推奉节</w:t>
      </w:r>
      <w:r>
        <w:t>逐渐形成绿色高质量发展新格局。</w:t>
      </w:r>
    </w:p>
    <w:p>
      <w:pPr>
        <w:pStyle w:val="34"/>
        <w:numPr>
          <w:ilvl w:val="0"/>
          <w:numId w:val="0"/>
        </w:numPr>
        <w:ind w:left="2469"/>
      </w:pPr>
    </w:p>
    <w:p>
      <w:pPr>
        <w:pStyle w:val="5"/>
      </w:pPr>
      <w:bookmarkStart w:id="723" w:name="_Toc31456"/>
      <w:bookmarkStart w:id="724" w:name="_Toc4620"/>
      <w:bookmarkStart w:id="725" w:name="_Toc15302"/>
      <w:bookmarkStart w:id="726" w:name="_Toc26265"/>
      <w:bookmarkStart w:id="727" w:name="_Toc17410"/>
      <w:bookmarkStart w:id="728" w:name="_Toc7700"/>
      <w:bookmarkStart w:id="729" w:name="_Toc29372"/>
      <w:bookmarkStart w:id="730" w:name="_Toc30096"/>
      <w:bookmarkStart w:id="731" w:name="_Toc16066"/>
      <w:bookmarkStart w:id="732" w:name="_Toc24358"/>
      <w:bookmarkStart w:id="733" w:name="_Toc28545"/>
      <w:bookmarkStart w:id="734" w:name="_Toc26383"/>
      <w:bookmarkStart w:id="735" w:name="_Toc6459"/>
      <w:bookmarkStart w:id="736" w:name="_Toc5400"/>
      <w:bookmarkStart w:id="737" w:name="_Toc12626"/>
      <w:bookmarkStart w:id="738" w:name="_Toc15880"/>
      <w:bookmarkStart w:id="739" w:name="_Toc2771"/>
      <w:r>
        <w:rPr>
          <w:rFonts w:hint="eastAsia"/>
        </w:rPr>
        <w:t>积极应对气候变化</w:t>
      </w:r>
      <w:bookmarkEnd w:id="723"/>
      <w:bookmarkEnd w:id="724"/>
      <w:bookmarkEnd w:id="725"/>
    </w:p>
    <w:p>
      <w:pPr>
        <w:pStyle w:val="2"/>
        <w:spacing w:line="596" w:lineRule="exact"/>
        <w:ind w:left="0" w:leftChars="0"/>
        <w:rPr>
          <w:b/>
          <w:bCs/>
        </w:rPr>
      </w:pPr>
    </w:p>
    <w:p>
      <w:pPr>
        <w:pStyle w:val="2"/>
        <w:spacing w:line="596" w:lineRule="exact"/>
        <w:ind w:left="0" w:leftChars="0"/>
        <w:rPr>
          <w:rFonts w:ascii="方正仿宋_GBK" w:hAnsi="方正仿宋_GBK" w:cs="方正仿宋_GBK"/>
          <w:szCs w:val="32"/>
        </w:rPr>
      </w:pPr>
      <w:r>
        <w:rPr>
          <w:b/>
          <w:bCs/>
        </w:rPr>
        <w:t>有效控制温室气体排放。</w:t>
      </w:r>
      <w:r>
        <w:rPr>
          <w:rFonts w:hint="eastAsia"/>
        </w:rPr>
        <w:t>严格控制温室气体排放，</w:t>
      </w:r>
      <w:r>
        <w:rPr>
          <w:rFonts w:hint="eastAsia" w:ascii="方正仿宋_GBK" w:hAnsi="方正仿宋_GBK" w:cs="方正仿宋_GBK"/>
          <w:szCs w:val="32"/>
        </w:rPr>
        <w:t>开展温室气体统计核算，编制奉节县温室气体排放清单。落实项目碳排放与环境影响评价、排污许可联动管理机制，以排污许可证为载体，关联碳排放管理要求，完善排污与碳排放信息披露同步办理、同步生效、同步管理“三同步”工作机制，推动实现减污降碳协同效应。升级能源、建材领域工艺技术，控制工业过程温室气体排放。推行绿色建筑，不断提高新建建筑中超低能耗和零排放建筑比例，强化对公共建筑用能监测和低碳运营管理。大力支持交通运输和建筑行业的节能低碳技术开发与推广应用。加强畜禽养殖、污水处理、垃圾填埋等重点领域的甲烷、氧化亚氮等温室气体排放控制。</w:t>
      </w:r>
    </w:p>
    <w:p>
      <w:pPr>
        <w:snapToGrid w:val="0"/>
        <w:spacing w:line="594" w:lineRule="exact"/>
        <w:rPr>
          <w:szCs w:val="32"/>
        </w:rPr>
      </w:pPr>
      <w:r>
        <w:rPr>
          <w:b/>
          <w:bCs/>
        </w:rPr>
        <w:t>开展碳排放达峰行动。</w:t>
      </w:r>
      <w:r>
        <w:rPr>
          <w:rFonts w:hint="eastAsia" w:ascii="方正仿宋_GBK" w:hAnsi="方正仿宋_GBK" w:cs="方正仿宋_GBK"/>
          <w:szCs w:val="32"/>
        </w:rPr>
        <w:t>严格执行市级关于节能减排低碳发展行动实施方案，有序推进全县二氧化碳达峰行动，推动建材、电力等重点行业提出明确的达峰目标并制定达峰行动方案，鼓励大型企业制定二氧化碳达峰行动方案。实施低碳标杆引领计划，推动重点行业企业开展碳排放强度对标活动。以全国碳交易市场建设运行为契机，配合市级运用好碳配额这一环境权益调控手段。持续开展“全国低碳日”系列宣传活动，</w:t>
      </w:r>
      <w:r>
        <w:rPr>
          <w:rFonts w:hint="eastAsia"/>
        </w:rPr>
        <w:t>积极</w:t>
      </w:r>
      <w:r>
        <w:t>开展</w:t>
      </w:r>
      <w:r>
        <w:rPr>
          <w:rFonts w:hint="eastAsia"/>
        </w:rPr>
        <w:t>低碳城区、低碳乡镇、低碳社区、低碳家庭、低碳园区试点示范建设。围绕衣、食、住、行、游等生活环节</w:t>
      </w:r>
      <w:r>
        <w:t>，</w:t>
      </w:r>
      <w:r>
        <w:rPr>
          <w:rFonts w:hint="eastAsia"/>
        </w:rPr>
        <w:t>推广低碳建筑、低碳交通出行、低碳办公、低碳消费等模式，引导市民养成绿色、文明</w:t>
      </w:r>
      <w:r>
        <w:t>、</w:t>
      </w:r>
      <w:r>
        <w:rPr>
          <w:rFonts w:hint="eastAsia"/>
        </w:rPr>
        <w:t>健康的</w:t>
      </w:r>
      <w:r>
        <w:t>低碳</w:t>
      </w:r>
      <w:r>
        <w:rPr>
          <w:rFonts w:hint="eastAsia"/>
        </w:rPr>
        <w:t>生活方式。</w:t>
      </w:r>
    </w:p>
    <w:p>
      <w:pPr>
        <w:pStyle w:val="2"/>
        <w:spacing w:line="596" w:lineRule="exact"/>
        <w:ind w:left="0" w:leftChars="0"/>
        <w:rPr>
          <w:b/>
          <w:bCs/>
          <w:sz w:val="30"/>
          <w:szCs w:val="30"/>
        </w:rPr>
      </w:pPr>
      <w:r>
        <w:rPr>
          <w:b/>
          <w:bCs/>
        </w:rPr>
        <w:t>主动适应气候变化。</w:t>
      </w:r>
      <w:r>
        <w:rPr>
          <w:rFonts w:hint="eastAsia" w:ascii="方正仿宋_GBK" w:hAnsi="方正仿宋_GBK" w:cs="方正仿宋_GBK"/>
          <w:szCs w:val="32"/>
        </w:rPr>
        <w:t>严格落实市级适应气候变化实施方案，在农业、林业、水资源、基础设施等领域开展适应气候变化行动，探索“碳汇+”行动，增加林业等生态系统碳汇。推动城市基础设施适应气候变化，统筹提升极端气候事件监测预警、防灾减灾综合评估和风险管控能力，研究制定应对和防范措施。推动建立常态化的应对气候变化部门会商机制，加强与能源消费统计工作的协调，加强高耗能、高排放项目信息共享。强化应对气候变化能力建设，积极开展社会宣传，夯实应对气候变化基础。</w:t>
      </w:r>
    </w:p>
    <w:p/>
    <w:p>
      <w:pPr>
        <w:pStyle w:val="2"/>
      </w:pPr>
    </w:p>
    <w:p>
      <w:pPr>
        <w:pStyle w:val="5"/>
      </w:pPr>
      <w:bookmarkStart w:id="740" w:name="_Toc11735"/>
      <w:bookmarkStart w:id="741" w:name="_Toc17359"/>
      <w:bookmarkStart w:id="742" w:name="_Toc19056"/>
      <w:r>
        <w:rPr>
          <w:rFonts w:hint="eastAsia"/>
        </w:rPr>
        <w:t>加快推动绿色低碳发展</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pPr>
        <w:spacing w:line="594" w:lineRule="exact"/>
        <w:rPr>
          <w:b/>
          <w:bCs/>
        </w:rPr>
      </w:pPr>
    </w:p>
    <w:p>
      <w:pPr>
        <w:spacing w:line="594" w:lineRule="exact"/>
      </w:pPr>
      <w:r>
        <w:rPr>
          <w:rFonts w:hint="eastAsia"/>
          <w:b/>
          <w:bCs/>
        </w:rPr>
        <w:t>构建清洁低碳的能源体系。</w:t>
      </w:r>
      <w:r>
        <w:rPr>
          <w:rFonts w:hint="eastAsia"/>
        </w:rPr>
        <w:t>聚焦“全市能源基地”“全国有影响力能源县”目标定位，抢抓“碳达峰、碳中和”机遇，</w:t>
      </w:r>
      <w:r>
        <w:rPr>
          <w:rFonts w:hint="eastAsia"/>
          <w:bCs/>
          <w:szCs w:val="32"/>
        </w:rPr>
        <w:t>控制煤炭消费总量，</w:t>
      </w:r>
      <w:r>
        <w:rPr>
          <w:rFonts w:hint="eastAsia"/>
        </w:rPr>
        <w:t>推动全县清洁能源产业跨越式发展。依托全县“风光水储”资源禀赋，积极推进能源体制改革创新，逐渐形成安全可靠、清洁低碳、经济高效的现代能源体系，加快打造1000万千瓦的渝东北绿色能源基地。充分利用风能资源优势，加强与华能等国企风电开发合作，加快推进风电项目建设，建成分水岭、云雾山等风电项目。加快推进水能开发，推进石岗乡璧山渡水电站整改扩容，康乐镇、汾河镇纤维厂一二级电站和五马镇竹林湾电站建设，改造升级落后低效的水电机组；加快推进兴隆镇菜籽坝抽水蓄能电站建设步伐。以生物质能发展为重点，结合垃圾处理、养殖、农林废弃物能源化利用情况，积极发展垃圾发电、生物天然气等产业。</w:t>
      </w:r>
    </w:p>
    <w:p>
      <w:pPr>
        <w:spacing w:line="594" w:lineRule="exact"/>
        <w:rPr>
          <w:b/>
          <w:bCs/>
        </w:rPr>
      </w:pPr>
      <w:r>
        <w:rPr>
          <w:rFonts w:hint="eastAsia" w:cs="Times New Roman"/>
          <w:b/>
          <w:bCs/>
          <w:szCs w:val="22"/>
          <w:lang w:val="zh-CN"/>
        </w:rPr>
        <w:t>强化能源控制和管理</w:t>
      </w:r>
      <w:r>
        <w:rPr>
          <w:rFonts w:hint="eastAsia" w:ascii="方正仿宋_GBK" w:cs="Times New Roman"/>
          <w:b/>
          <w:bCs/>
          <w:kern w:val="0"/>
          <w:szCs w:val="28"/>
        </w:rPr>
        <w:t>。</w:t>
      </w:r>
      <w:r>
        <w:rPr>
          <w:rFonts w:hint="eastAsia" w:ascii="方正仿宋_GBK" w:cs="Times New Roman"/>
          <w:kern w:val="0"/>
          <w:szCs w:val="28"/>
        </w:rPr>
        <w:t>实</w:t>
      </w:r>
      <w:r>
        <w:rPr>
          <w:rFonts w:hint="eastAsia" w:ascii="方正仿宋_GBK" w:cs="Times New Roman"/>
          <w:kern w:val="0"/>
          <w:szCs w:val="28"/>
        </w:rPr>
        <w:fldChar w:fldCharType="begin"/>
      </w:r>
      <w:r>
        <w:instrText xml:space="preserve">HYPERLINK "http://www.baidu.com/link?url=LhLdfpbDwRCWrhuYGg70Es3EAftMP77KLxcaMXX-K6UuxpFyZryJ_BNDeMMbbtayr2EELlnBaLgyfsL4jne1Q_"</w:instrText>
      </w:r>
      <w:r>
        <w:rPr>
          <w:rFonts w:hint="eastAsia" w:ascii="方正仿宋_GBK" w:cs="Times New Roman"/>
          <w:kern w:val="0"/>
          <w:szCs w:val="28"/>
        </w:rPr>
        <w:fldChar w:fldCharType="separate"/>
      </w:r>
      <w:r>
        <w:rPr>
          <w:rFonts w:hint="eastAsia" w:ascii="方正仿宋_GBK" w:cs="Times New Roman"/>
          <w:kern w:val="0"/>
          <w:szCs w:val="28"/>
        </w:rPr>
        <w:t>施能源消耗总量和强度双控行动</w:t>
      </w:r>
      <w:r>
        <w:rPr>
          <w:rFonts w:hint="eastAsia" w:ascii="方正仿宋_GBK" w:cs="Times New Roman"/>
          <w:kern w:val="0"/>
          <w:szCs w:val="28"/>
        </w:rPr>
        <w:fldChar w:fldCharType="end"/>
      </w:r>
      <w:r>
        <w:rPr>
          <w:rFonts w:hint="eastAsia" w:ascii="方正仿宋_GBK" w:cs="Times New Roman"/>
          <w:kern w:val="0"/>
          <w:szCs w:val="28"/>
        </w:rPr>
        <w:t>，</w:t>
      </w:r>
      <w:r>
        <w:rPr>
          <w:rFonts w:hint="eastAsia" w:cs="Times New Roman"/>
          <w:kern w:val="0"/>
          <w:szCs w:val="28"/>
        </w:rPr>
        <w:t>达到市级下达的年度单位地区生产总值能耗考核目标。</w:t>
      </w:r>
      <w:r>
        <w:rPr>
          <w:rFonts w:hint="eastAsia" w:ascii="方正仿宋_GBK" w:cs="Times New Roman"/>
          <w:kern w:val="0"/>
          <w:szCs w:val="28"/>
        </w:rPr>
        <w:t>开展能效“领跑者”引领行动</w:t>
      </w:r>
      <w:r>
        <w:rPr>
          <w:rFonts w:ascii="方正仿宋_GBK" w:cs="Times New Roman"/>
          <w:kern w:val="0"/>
          <w:szCs w:val="28"/>
        </w:rPr>
        <w:t>，</w:t>
      </w:r>
      <w:r>
        <w:rPr>
          <w:rFonts w:hint="eastAsia"/>
          <w:bCs/>
          <w:szCs w:val="32"/>
        </w:rPr>
        <w:t>强化重点领域用能管理和重点耗能行业的能效管理，加强城市能源系统节能低碳改造，更多使用可再生能源，支持分布式电力系统建设，</w:t>
      </w:r>
      <w:r>
        <w:rPr>
          <w:rFonts w:hint="eastAsia"/>
          <w:bCs/>
          <w:color w:val="000000"/>
          <w:szCs w:val="32"/>
        </w:rPr>
        <w:t>推进电网升级改造。</w:t>
      </w:r>
      <w:r>
        <w:rPr>
          <w:rFonts w:cs="Times New Roman"/>
          <w:kern w:val="0"/>
          <w:szCs w:val="28"/>
        </w:rPr>
        <w:t>推进重点领域节能降耗，</w:t>
      </w:r>
      <w:r>
        <w:rPr>
          <w:rFonts w:hint="eastAsia"/>
          <w:bCs/>
          <w:szCs w:val="32"/>
        </w:rPr>
        <w:t>以华电奉节发电厂为重点实施工业节能改造；</w:t>
      </w:r>
      <w:r>
        <w:rPr>
          <w:rFonts w:cs="Times New Roman"/>
          <w:kern w:val="0"/>
          <w:szCs w:val="28"/>
        </w:rPr>
        <w:t>严格执行新建项目强制性节能标准，推进绿色建筑行动</w:t>
      </w:r>
      <w:r>
        <w:rPr>
          <w:rFonts w:hint="eastAsia" w:cs="Times New Roman"/>
          <w:kern w:val="0"/>
          <w:szCs w:val="28"/>
        </w:rPr>
        <w:t>。</w:t>
      </w:r>
    </w:p>
    <w:p>
      <w:pPr>
        <w:pStyle w:val="2"/>
      </w:pPr>
    </w:p>
    <w:p>
      <w:pPr>
        <w:pStyle w:val="5"/>
      </w:pPr>
      <w:bookmarkStart w:id="743" w:name="_Toc1862"/>
      <w:bookmarkStart w:id="744" w:name="_Toc23022"/>
      <w:bookmarkStart w:id="745" w:name="_Toc19460"/>
      <w:bookmarkStart w:id="746" w:name="_Toc25371"/>
      <w:bookmarkStart w:id="747" w:name="_Toc14170"/>
      <w:bookmarkStart w:id="748" w:name="_Toc24680"/>
      <w:bookmarkStart w:id="749" w:name="_Toc1712"/>
      <w:bookmarkStart w:id="750" w:name="_Toc17903"/>
      <w:bookmarkStart w:id="751" w:name="_Toc15521"/>
      <w:bookmarkStart w:id="752" w:name="_Toc22992"/>
      <w:bookmarkStart w:id="753" w:name="_Toc5296"/>
      <w:bookmarkStart w:id="754" w:name="_Toc13703"/>
      <w:bookmarkStart w:id="755" w:name="_Toc15115"/>
      <w:bookmarkStart w:id="756" w:name="_Toc27358"/>
      <w:bookmarkStart w:id="757" w:name="_Toc27950"/>
      <w:bookmarkStart w:id="758" w:name="_Toc15037"/>
      <w:bookmarkStart w:id="759" w:name="_Toc21215"/>
      <w:r>
        <w:rPr>
          <w:rFonts w:hint="eastAsia"/>
        </w:rPr>
        <w:t>大力推进产业转型升级</w:t>
      </w:r>
      <w:bookmarkEnd w:id="721"/>
      <w:bookmarkEnd w:id="72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pPr>
        <w:pStyle w:val="2"/>
        <w:spacing w:line="594" w:lineRule="exact"/>
        <w:ind w:left="0" w:leftChars="0"/>
        <w:rPr>
          <w:b/>
          <w:bCs/>
        </w:rPr>
      </w:pPr>
    </w:p>
    <w:p>
      <w:pPr>
        <w:pStyle w:val="2"/>
        <w:spacing w:line="594" w:lineRule="exact"/>
        <w:ind w:left="0" w:leftChars="0"/>
      </w:pPr>
      <w:r>
        <w:rPr>
          <w:rFonts w:hint="eastAsia"/>
          <w:b/>
          <w:bCs/>
        </w:rPr>
        <w:t>深化产业绿色创新驱动。</w:t>
      </w:r>
      <w:r>
        <w:t>加快企业节能降耗技术改造，对消耗高、污染重、技术落后的工艺和产品实施强制性淘汰制度。</w:t>
      </w:r>
      <w:r>
        <w:rPr>
          <w:rFonts w:hint="eastAsia"/>
        </w:rPr>
        <w:t>加强整治能耗高、污染重、固废排放量大、效能低的产业链环节，加大对相关企业的监管力度，推行强制性清洁生产审核制度；鼓励消费品工业、眼镜制造企业改造现有原辅材料、生产工艺、污染处理等环节，向生产绿色化、清洁化、高效化方向升级。建设绿色工厂，推动企业对标行业先进水准，应用绿色低碳厂房建造（改造）技术，选用先进适用节能节水节材、清洁生产等工艺技术设备。加快推动绿色园区建设，促进园区内企业链接共生、原料互供、资源共享。推动制造企业、环保企业利用高等院校、科研院所等社会资源，建立市场化运行的绿色技术创新联合体，大力推进清洁生产、清洁能源等领域关键共性技术、前沿引领技术的攻关与成果转化。</w:t>
      </w:r>
    </w:p>
    <w:p>
      <w:pPr>
        <w:pStyle w:val="2"/>
        <w:spacing w:line="594" w:lineRule="exact"/>
        <w:ind w:left="0" w:leftChars="0" w:firstLine="0" w:firstLineChars="0"/>
      </w:pPr>
    </w:p>
    <w:p>
      <w:pPr>
        <w:pStyle w:val="5"/>
      </w:pPr>
      <w:bookmarkStart w:id="760" w:name="_Toc16986"/>
      <w:bookmarkStart w:id="761" w:name="_Toc28364"/>
      <w:bookmarkStart w:id="762" w:name="_Toc20383"/>
      <w:bookmarkStart w:id="763" w:name="_Toc15984"/>
      <w:bookmarkStart w:id="764" w:name="_Toc15523"/>
      <w:bookmarkStart w:id="765" w:name="_Toc25047"/>
      <w:bookmarkStart w:id="766" w:name="_Toc11324"/>
      <w:bookmarkStart w:id="767" w:name="_Toc15556"/>
      <w:bookmarkStart w:id="768" w:name="_Toc13048"/>
      <w:bookmarkStart w:id="769" w:name="_Toc5463"/>
      <w:bookmarkStart w:id="770" w:name="_Toc18204"/>
      <w:bookmarkStart w:id="771" w:name="_Toc4603"/>
      <w:bookmarkStart w:id="772" w:name="_Toc31429"/>
      <w:bookmarkStart w:id="773" w:name="_Toc12698"/>
      <w:bookmarkStart w:id="774" w:name="_Toc29655"/>
      <w:bookmarkStart w:id="775" w:name="_Toc29889"/>
      <w:bookmarkStart w:id="776" w:name="_Toc2467"/>
      <w:bookmarkStart w:id="777" w:name="_Toc20284"/>
      <w:bookmarkStart w:id="778" w:name="_Toc11897"/>
      <w:r>
        <w:rPr>
          <w:rFonts w:hint="eastAsia"/>
        </w:rPr>
        <w:t>促进生态产业绿色发展</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pPr>
        <w:spacing w:line="594" w:lineRule="exact"/>
        <w:rPr>
          <w:b/>
          <w:bCs/>
          <w:szCs w:val="36"/>
        </w:rPr>
      </w:pPr>
    </w:p>
    <w:p>
      <w:pPr>
        <w:spacing w:line="594" w:lineRule="exact"/>
        <w:rPr>
          <w:bCs/>
          <w:szCs w:val="32"/>
        </w:rPr>
      </w:pPr>
      <w:r>
        <w:rPr>
          <w:rFonts w:hint="eastAsia"/>
          <w:b/>
          <w:bCs/>
          <w:szCs w:val="36"/>
        </w:rPr>
        <w:t>加快推进工业高质量发展。</w:t>
      </w:r>
      <w:r>
        <w:rPr>
          <w:rFonts w:hint="eastAsia"/>
          <w:color w:val="000000"/>
          <w:szCs w:val="36"/>
        </w:rPr>
        <w:t>加快建设生态工业园区21万方标准厂房项目，为生态工业发展筑巢引凤。</w:t>
      </w:r>
      <w:r>
        <w:rPr>
          <w:rFonts w:hint="eastAsia"/>
          <w:szCs w:val="36"/>
        </w:rPr>
        <w:t>做大做强中国西部（重庆）眼镜产业园区，完善眼镜产业生态，打造集原辅材料供应、研发设计、生产销售、产品展示和贸易结算于一体的眼镜产业集群，</w:t>
      </w:r>
      <w:r>
        <w:rPr>
          <w:rFonts w:hint="eastAsia"/>
          <w:color w:val="000000"/>
          <w:szCs w:val="36"/>
        </w:rPr>
        <w:t>打造生态眼镜工业特色小镇小镇，</w:t>
      </w:r>
      <w:r>
        <w:rPr>
          <w:rFonts w:hint="eastAsia"/>
          <w:szCs w:val="36"/>
        </w:rPr>
        <w:t>建成集“互联网+工业+商业+物流+配套”为一体的智能化中国西部（重庆）眼镜产业基地。积极推进现有材料工业的技</w:t>
      </w:r>
      <w:r>
        <w:rPr>
          <w:rFonts w:hint="eastAsia"/>
          <w:bCs/>
          <w:szCs w:val="32"/>
        </w:rPr>
        <w:t>术提升和产业升级，科学利用矿产资源，转变开发利用方式，提高矿产资源利用水平，引导水泥、制砖、玻璃深加工等传统建材行业规范发展。重点开发新型墙体材料、高效节能保温材料、轻量化车厢体等新型环保建材。</w:t>
      </w:r>
    </w:p>
    <w:p>
      <w:pPr>
        <w:spacing w:line="594" w:lineRule="exact"/>
        <w:rPr>
          <w:rFonts w:cs="Times New Roman"/>
        </w:rPr>
      </w:pPr>
      <w:r>
        <w:rPr>
          <w:rFonts w:hint="eastAsia"/>
          <w:b/>
          <w:bCs/>
          <w:szCs w:val="36"/>
        </w:rPr>
        <w:t>大力发展山地特色高效农业。</w:t>
      </w:r>
      <w:r>
        <w:rPr>
          <w:rFonts w:hint="eastAsia"/>
          <w:szCs w:val="36"/>
        </w:rPr>
        <w:t>完善“4+3+X”产业体系，</w:t>
      </w:r>
      <w:r>
        <w:rPr>
          <w:rFonts w:cs="Times New Roman"/>
          <w:bCs/>
        </w:rPr>
        <w:t>围绕脐橙产业着力建设国家级现代农业产业园</w:t>
      </w:r>
      <w:r>
        <w:rPr>
          <w:rFonts w:hint="eastAsia" w:cs="Times New Roman"/>
          <w:bCs/>
        </w:rPr>
        <w:t>，</w:t>
      </w:r>
      <w:r>
        <w:rPr>
          <w:rFonts w:cs="Times New Roman"/>
          <w:bCs/>
        </w:rPr>
        <w:t>大力发展脐橙产地初加工，探索奉节脐橙精深加工。围绕</w:t>
      </w:r>
      <w:r>
        <w:rPr>
          <w:rFonts w:hint="eastAsia" w:ascii="方正仿宋_GBK" w:cs="方正仿宋_GBK"/>
        </w:rPr>
        <w:t>“提质增效”发</w:t>
      </w:r>
      <w:r>
        <w:rPr>
          <w:rFonts w:cs="Times New Roman"/>
          <w:bCs/>
        </w:rPr>
        <w:t>展要求，持续加强中药材的发展力度，提质扩面中药材基地建设</w:t>
      </w:r>
      <w:r>
        <w:rPr>
          <w:rFonts w:hint="eastAsia" w:cs="Times New Roman"/>
          <w:bCs/>
        </w:rPr>
        <w:t>，</w:t>
      </w:r>
      <w:r>
        <w:rPr>
          <w:rFonts w:cs="Times New Roman"/>
        </w:rPr>
        <w:t>巩固和改造老基地16万亩，建设牛膝、大黄、党参、天麻等品系全、品质优的中药材种植基地，高标准打</w:t>
      </w:r>
      <w:r>
        <w:rPr>
          <w:rFonts w:hint="eastAsia" w:ascii="方正仿宋_GBK" w:cs="方正仿宋_GBK"/>
        </w:rPr>
        <w:t>造“中国绿色生态中药材之乡”。加</w:t>
      </w:r>
      <w:r>
        <w:rPr>
          <w:rFonts w:hint="eastAsia" w:cs="Times New Roman"/>
        </w:rPr>
        <w:t>强木</w:t>
      </w:r>
      <w:r>
        <w:rPr>
          <w:rFonts w:cs="Times New Roman"/>
        </w:rPr>
        <w:t>本油料产业提质增效</w:t>
      </w:r>
      <w:r>
        <w:rPr>
          <w:rFonts w:hint="eastAsia" w:cs="Times New Roman"/>
        </w:rPr>
        <w:t>，</w:t>
      </w:r>
      <w:r>
        <w:rPr>
          <w:rFonts w:cs="Times New Roman"/>
        </w:rPr>
        <w:t>建设以甲高镇光明村为中心的油橄榄小镇、以五马镇樟木村为中心的油茶小镇，建成木本油料精深加工产业园。重点围绕国家现代畜牧业示范区建设，结合畜产品稳产保供等，构建</w:t>
      </w:r>
      <w:r>
        <w:rPr>
          <w:rFonts w:hint="eastAsia" w:ascii="方正仿宋_GBK" w:cs="方正仿宋_GBK"/>
        </w:rPr>
        <w:t>以“一城、一群、三带、六点、十站、百场”为</w:t>
      </w:r>
      <w:r>
        <w:rPr>
          <w:rFonts w:cs="Times New Roman"/>
        </w:rPr>
        <w:t>体现的全市现代畜牧业发展空间布局</w:t>
      </w:r>
      <w:r>
        <w:rPr>
          <w:rFonts w:hint="eastAsia" w:cs="Times New Roman"/>
        </w:rPr>
        <w:t>，</w:t>
      </w:r>
      <w:r>
        <w:rPr>
          <w:rFonts w:cs="Times New Roman"/>
        </w:rPr>
        <w:t>推进</w:t>
      </w:r>
      <w:r>
        <w:rPr>
          <w:rFonts w:hint="eastAsia" w:cs="Times New Roman"/>
        </w:rPr>
        <w:t>全县</w:t>
      </w:r>
      <w:r>
        <w:rPr>
          <w:rFonts w:cs="Times New Roman"/>
        </w:rPr>
        <w:t>畜牧养殖示范场、示范园建设。</w:t>
      </w:r>
      <w:r>
        <w:rPr>
          <w:rFonts w:hint="eastAsia" w:cs="Times New Roman"/>
        </w:rPr>
        <w:t>创新培育蔬菜、蚕桑、烟叶等优势产业，</w:t>
      </w:r>
      <w:r>
        <w:rPr>
          <w:rFonts w:cs="Times New Roman"/>
        </w:rPr>
        <w:t>围绕全国绿色优质蔬菜产业带建设，打造奉节高山特色蔬菜产业带，建成龙桥高山蔬菜小镇、公平绿色蔬菜小镇</w:t>
      </w:r>
      <w:r>
        <w:rPr>
          <w:rFonts w:hint="eastAsia" w:cs="Times New Roman"/>
        </w:rPr>
        <w:t>，大力发展云雾高山食用菌产业</w:t>
      </w:r>
      <w:r>
        <w:rPr>
          <w:rFonts w:cs="Times New Roman"/>
        </w:rPr>
        <w:t>；以新民、冯坪、青龙的蚕桑基地为基础建设智能蚕桑园，打造新民蚕桑产业园</w:t>
      </w:r>
      <w:r>
        <w:rPr>
          <w:rFonts w:hint="eastAsia" w:cs="Times New Roman"/>
        </w:rPr>
        <w:t>，</w:t>
      </w:r>
      <w:r>
        <w:rPr>
          <w:rFonts w:cs="Times New Roman"/>
        </w:rPr>
        <w:t>以重庆市奉节县祥飞茧丝绸有限公司为投资主体</w:t>
      </w:r>
      <w:r>
        <w:rPr>
          <w:rFonts w:hint="eastAsia" w:cs="Times New Roman"/>
        </w:rPr>
        <w:t>，</w:t>
      </w:r>
      <w:r>
        <w:rPr>
          <w:rFonts w:cs="Times New Roman"/>
        </w:rPr>
        <w:t>建成丝绸、印花等全产业链设计及生产制造基地</w:t>
      </w:r>
      <w:r>
        <w:rPr>
          <w:rFonts w:hint="eastAsia" w:cs="Times New Roman"/>
        </w:rPr>
        <w:t>。</w:t>
      </w:r>
      <w:r>
        <w:rPr>
          <w:rFonts w:cs="Times New Roman"/>
        </w:rPr>
        <w:t>以优化水果品种结构、提升水果质量为重点，进一步壮大发展以脆李、猕猴桃、桃、葡萄为主的特色精品小水果产业。</w:t>
      </w:r>
    </w:p>
    <w:p>
      <w:pPr>
        <w:spacing w:line="594" w:lineRule="exact"/>
        <w:rPr>
          <w:rFonts w:cs="Times New Roman"/>
          <w:szCs w:val="30"/>
        </w:rPr>
      </w:pPr>
      <w:r>
        <w:rPr>
          <w:rFonts w:hint="eastAsia" w:cs="Times New Roman"/>
          <w:b/>
          <w:bCs/>
          <w:szCs w:val="30"/>
        </w:rPr>
        <w:t>深入推进农业绿色发展。</w:t>
      </w:r>
      <w:r>
        <w:rPr>
          <w:rFonts w:cs="Times New Roman"/>
          <w:szCs w:val="30"/>
        </w:rPr>
        <w:t>全面加强农业面源污染综合防治。持续实施农药化肥减量增效行动，优化施肥方式，调整施肥结构，深入开展测土配方施肥，以脐橙种植基地为重点，推进有机肥替代化肥。深入开展农药残留超标等专项整治行动，强化病虫害统防统治和绿色防控，推广生态控制、生物防治等绿色技术。大力发展绿色农产品，开展绿色技术创新，建设农产品绿色生产基地和农产品安全示范基地。</w:t>
      </w:r>
    </w:p>
    <w:p>
      <w:pPr>
        <w:spacing w:line="594" w:lineRule="exact"/>
      </w:pPr>
      <w:r>
        <w:rPr>
          <w:rFonts w:hint="eastAsia" w:cs="Times New Roman"/>
          <w:b/>
          <w:bCs/>
        </w:rPr>
        <w:t>大力发展生态旅游业。</w:t>
      </w:r>
      <w:r>
        <w:rPr>
          <w:rFonts w:hint="eastAsia" w:cs="Times New Roman"/>
        </w:rPr>
        <w:t>以“诗·橙”文化为统领，</w:t>
      </w:r>
      <w:r>
        <w:rPr>
          <w:rFonts w:cs="Times New Roman"/>
        </w:rPr>
        <w:t>打好</w:t>
      </w:r>
      <w:r>
        <w:rPr>
          <w:rFonts w:hint="eastAsia" w:cs="Times New Roman"/>
        </w:rPr>
        <w:t>“三峡牌”“生态牌”“人文牌”</w:t>
      </w:r>
      <w:r>
        <w:rPr>
          <w:rFonts w:cs="Times New Roman"/>
        </w:rPr>
        <w:t>，</w:t>
      </w:r>
      <w:r>
        <w:rPr>
          <w:rFonts w:hint="eastAsia" w:cs="Times New Roman"/>
        </w:rPr>
        <w:t>构筑“三峡之巅 诗·橙奉节”的长江三峡第一旅游目的地，打造长江三峡文旅融合的典范、旅游高质量发展的渝东北“三峡版”和“N+旅游”大融合全域旅游标杆。</w:t>
      </w:r>
      <w:r>
        <w:rPr>
          <w:rFonts w:hint="eastAsia"/>
        </w:rPr>
        <w:t>全面推进A级景区群建设，开展景区“创A升A”工作，推进景区景点提质升级，</w:t>
      </w:r>
      <w:r>
        <w:t>打造一批资源禀赋突出、有影响力的</w:t>
      </w:r>
      <w:r>
        <w:rPr>
          <w:rFonts w:hint="eastAsia"/>
        </w:rPr>
        <w:t>“硬核”</w:t>
      </w:r>
      <w:r>
        <w:t>引擎</w:t>
      </w:r>
      <w:r>
        <w:rPr>
          <w:rFonts w:hint="eastAsia"/>
        </w:rPr>
        <w:t>景区，做靓“三峡门户”、做优“三峡之巅”、做强“三峡原乡”。深入实施“旅游+”发展战略</w:t>
      </w:r>
      <w:r>
        <w:t>，</w:t>
      </w:r>
      <w:r>
        <w:rPr>
          <w:rFonts w:hint="eastAsia"/>
        </w:rPr>
        <w:t>构建“旅游+N——灵动水系+文化深植+森林康养+科考研学+乡村田园”五位一体的旅游产业发展体系，全面推进自驾行摄、生态康养、诗歌朝圣、民俗美食、科考研学、极限体育六大旅游目的地建设。促进</w:t>
      </w:r>
      <w:r>
        <w:rPr>
          <w:rFonts w:hint="eastAsia" w:ascii="方正仿宋_GBK" w:cs="方正仿宋_GBK"/>
        </w:rPr>
        <w:t>“农业</w:t>
      </w:r>
      <w:r>
        <w:rPr>
          <w:rFonts w:ascii="方正仿宋_GBK" w:cs="方正仿宋_GBK"/>
        </w:rPr>
        <w:t>+</w:t>
      </w:r>
      <w:r>
        <w:rPr>
          <w:rFonts w:hint="eastAsia" w:ascii="方正仿宋_GBK" w:cs="方正仿宋_GBK"/>
        </w:rPr>
        <w:t>旅游”</w:t>
      </w:r>
      <w:r>
        <w:rPr>
          <w:rFonts w:hint="eastAsia"/>
        </w:rPr>
        <w:t>深度</w:t>
      </w:r>
      <w:r>
        <w:t>融合发展，</w:t>
      </w:r>
      <w:r>
        <w:rPr>
          <w:rFonts w:hint="eastAsia"/>
        </w:rPr>
        <w:t>加快城乡融合进程，</w:t>
      </w:r>
      <w:r>
        <w:t>推动</w:t>
      </w:r>
      <w:r>
        <w:rPr>
          <w:rFonts w:hint="eastAsia"/>
        </w:rPr>
        <w:t>农村</w:t>
      </w:r>
      <w:r>
        <w:t>绿色化、品质化、智慧化提档升级，丰富旅游产品供给，展现</w:t>
      </w:r>
      <w:r>
        <w:rPr>
          <w:rFonts w:hint="eastAsia"/>
        </w:rPr>
        <w:t>“原山原水老家原滋味，乡里乡亲邻里乡情浓”</w:t>
      </w:r>
      <w:r>
        <w:t>魅力，打造三峡库区乡村旅游胜地</w:t>
      </w:r>
      <w:r>
        <w:rPr>
          <w:rFonts w:hint="eastAsia"/>
        </w:rPr>
        <w:t>，发展以乡村振兴为核心的全域旅游。</w:t>
      </w:r>
    </w:p>
    <w:p>
      <w:pPr>
        <w:spacing w:line="594" w:lineRule="exact"/>
        <w:rPr>
          <w:bCs/>
          <w:szCs w:val="32"/>
        </w:rPr>
      </w:pPr>
      <w:r>
        <w:rPr>
          <w:rFonts w:hint="eastAsia"/>
          <w:b/>
          <w:szCs w:val="32"/>
        </w:rPr>
        <w:t>打造数字经济产业高地。</w:t>
      </w:r>
      <w:r>
        <w:rPr>
          <w:rFonts w:hint="eastAsia"/>
          <w:bCs/>
          <w:szCs w:val="32"/>
        </w:rPr>
        <w:t>以“数字奉节”建设为核心，聚焦数字经济基础设施、数字产业化发展、产业数字化转型、政务管理数字化应用、公共服务数字化变革等五大任务，不断提升传统产业数字化、智能化水平，加快物联、数联、智联布局，加速重构经济发展与政府治理模式的新型经济形态，打造数字经济发展新高地。</w:t>
      </w:r>
    </w:p>
    <w:p>
      <w:pPr>
        <w:pStyle w:val="34"/>
        <w:numPr>
          <w:ilvl w:val="0"/>
          <w:numId w:val="0"/>
        </w:numPr>
        <w:ind w:left="2469"/>
      </w:pPr>
    </w:p>
    <w:p>
      <w:pPr>
        <w:pStyle w:val="5"/>
      </w:pPr>
      <w:bookmarkStart w:id="779" w:name="_Toc30505"/>
      <w:bookmarkStart w:id="780" w:name="_Toc24117"/>
      <w:bookmarkStart w:id="781" w:name="_Toc30640"/>
      <w:bookmarkStart w:id="782" w:name="_Toc21385"/>
      <w:bookmarkStart w:id="783" w:name="_Toc14925"/>
      <w:bookmarkStart w:id="784" w:name="_Toc6335"/>
      <w:bookmarkStart w:id="785" w:name="_Toc19735"/>
      <w:bookmarkStart w:id="786" w:name="_Toc12857"/>
      <w:bookmarkStart w:id="787" w:name="_Toc12708"/>
      <w:bookmarkStart w:id="788" w:name="_Toc19486"/>
      <w:bookmarkStart w:id="789" w:name="_Toc25366"/>
      <w:bookmarkStart w:id="790" w:name="_Toc24459"/>
      <w:bookmarkStart w:id="791" w:name="_Toc27688"/>
      <w:bookmarkStart w:id="792" w:name="_Toc10285"/>
      <w:bookmarkStart w:id="793" w:name="_Toc8973"/>
      <w:bookmarkStart w:id="794" w:name="_Toc27962"/>
      <w:bookmarkStart w:id="795" w:name="_Toc9271"/>
      <w:bookmarkStart w:id="796" w:name="_Toc9236"/>
      <w:bookmarkStart w:id="797" w:name="_Toc24809"/>
      <w:r>
        <w:rPr>
          <w:rFonts w:hint="eastAsia"/>
        </w:rPr>
        <w:t>提高资源节约集约利用</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pPr>
        <w:spacing w:line="594" w:lineRule="exact"/>
        <w:ind w:firstLine="636" w:firstLineChars="198"/>
        <w:rPr>
          <w:b/>
          <w:szCs w:val="32"/>
        </w:rPr>
      </w:pPr>
    </w:p>
    <w:p>
      <w:pPr>
        <w:spacing w:line="594" w:lineRule="exact"/>
        <w:ind w:firstLine="636" w:firstLineChars="198"/>
        <w:rPr>
          <w:rFonts w:cs="Times New Roman"/>
          <w:kern w:val="0"/>
          <w:szCs w:val="28"/>
        </w:rPr>
      </w:pPr>
      <w:r>
        <w:rPr>
          <w:rFonts w:hint="eastAsia"/>
          <w:b/>
          <w:szCs w:val="32"/>
        </w:rPr>
        <w:t>推进水资源节约集约利用。</w:t>
      </w:r>
      <w:r>
        <w:rPr>
          <w:rFonts w:hint="eastAsia"/>
          <w:bCs/>
          <w:szCs w:val="32"/>
        </w:rPr>
        <w:t>落实最严格的水资源管理制度，实施水资源开发利用控制红线管理，严格取水许可和水资源有偿使用，推行水权交易制度。加强用水总量和强度控制，</w:t>
      </w:r>
      <w:r>
        <w:rPr>
          <w:rFonts w:hint="eastAsia" w:cs="Times New Roman"/>
          <w:kern w:val="0"/>
          <w:szCs w:val="28"/>
        </w:rPr>
        <w:t>达到市级下达的年度单位地区生产总值水耗目标要求。</w:t>
      </w:r>
      <w:r>
        <w:rPr>
          <w:rFonts w:hint="eastAsia"/>
          <w:bCs/>
          <w:szCs w:val="32"/>
        </w:rPr>
        <w:t>加快节水型社会建设，探索合同节水管理，推广应用源头减量、循环利用、零排放的节水技术和模式。</w:t>
      </w:r>
      <w:r>
        <w:rPr>
          <w:rFonts w:cs="Times New Roman"/>
          <w:szCs w:val="32"/>
        </w:rPr>
        <w:t>加强工业节水改造，限制高耗水行业发展，加强重点监控用水单位监管。加强城镇节水，开展公共建筑节水改造、城镇供水管网漏损治理工程，积极推广节水器具与水效标识。加强农业节水，推进农业节水设施建设。</w:t>
      </w:r>
      <w:r>
        <w:rPr>
          <w:rFonts w:hint="eastAsia"/>
          <w:bCs/>
          <w:szCs w:val="32"/>
        </w:rPr>
        <w:t>加大再生水和雨水利用力度，强化水资源循环利用，减少废污水排放量。</w:t>
      </w:r>
    </w:p>
    <w:p>
      <w:pPr>
        <w:spacing w:line="594" w:lineRule="exact"/>
        <w:ind w:firstLine="636" w:firstLineChars="198"/>
        <w:rPr>
          <w:rFonts w:cs="Times New Roman"/>
          <w:kern w:val="0"/>
          <w:szCs w:val="28"/>
        </w:rPr>
      </w:pPr>
      <w:r>
        <w:rPr>
          <w:rFonts w:hint="eastAsia" w:cs="Times New Roman"/>
          <w:b/>
          <w:bCs/>
          <w:kern w:val="0"/>
          <w:szCs w:val="28"/>
        </w:rPr>
        <w:t>加强土地节约集约利用。</w:t>
      </w:r>
      <w:r>
        <w:rPr>
          <w:rFonts w:hint="eastAsia" w:cs="Times New Roman"/>
          <w:kern w:val="0"/>
          <w:szCs w:val="28"/>
        </w:rPr>
        <w:t>强化国土空间规划和用途管控，建立土地资源高效利用制度，持续降低单位地区生产总值建设用地使用面积，达到市级下达的年度</w:t>
      </w:r>
      <w:r>
        <w:rPr>
          <w:rFonts w:cs="Times New Roman"/>
          <w:kern w:val="0"/>
          <w:szCs w:val="28"/>
        </w:rPr>
        <w:t>单位</w:t>
      </w:r>
      <w:r>
        <w:rPr>
          <w:rFonts w:hint="eastAsia" w:cs="Times New Roman"/>
          <w:kern w:val="0"/>
          <w:szCs w:val="28"/>
        </w:rPr>
        <w:t>地区生产总值建设用地使用面积下降率考核要求。</w:t>
      </w:r>
      <w:r>
        <w:rPr>
          <w:rFonts w:hint="eastAsia"/>
        </w:rPr>
        <w:t>严格用途管制，深化土地全</w:t>
      </w:r>
      <w:r>
        <w:rPr>
          <w:rFonts w:hint="eastAsia" w:cs="Times New Roman"/>
          <w:szCs w:val="32"/>
        </w:rPr>
        <w:t>生命周期管理，提高土地节约集约利用水平。开展土地整理和复垦，盘活存量建设用地，清理闲置土地，调整建设用地结构，推进城镇低效用地再开发和工矿废弃地复垦，发展城市节地型住宅和公共建筑。</w:t>
      </w:r>
    </w:p>
    <w:p>
      <w:pPr>
        <w:spacing w:line="594" w:lineRule="exact"/>
        <w:rPr>
          <w:rFonts w:cs="Times New Roman"/>
          <w:szCs w:val="32"/>
        </w:rPr>
      </w:pPr>
      <w:r>
        <w:rPr>
          <w:rFonts w:hint="eastAsia"/>
          <w:b/>
          <w:szCs w:val="32"/>
        </w:rPr>
        <w:t>加强工业固废综合利用。</w:t>
      </w:r>
      <w:r>
        <w:rPr>
          <w:rFonts w:hint="eastAsia"/>
          <w:bCs/>
          <w:szCs w:val="32"/>
        </w:rPr>
        <w:t>遵循“减量化、资源化、无害化”原则，持续推进固体废物源头减量和资源化利用。</w:t>
      </w:r>
      <w:r>
        <w:rPr>
          <w:rFonts w:hint="eastAsia" w:cs="Times New Roman"/>
          <w:kern w:val="0"/>
          <w:szCs w:val="28"/>
        </w:rPr>
        <w:t>优先采用资源利用率高、有利于产品废弃后回收利用的技术和工艺，建立企业内部多层次、多渠道的资源再利用和深加工系统，从源头减少固体废物产生。完善鼓励工业固体废物利用和处置的优惠政策，强化工业固体废物综合利用和处置技术开发，加强煤矸石、尾矿、粉煤灰、工业副产石膏和化工废渣等大宗工业固废的综合利用。</w:t>
      </w:r>
    </w:p>
    <w:p>
      <w:pPr>
        <w:spacing w:line="594" w:lineRule="exact"/>
        <w:rPr>
          <w:rFonts w:cs="Times New Roman"/>
        </w:rPr>
      </w:pPr>
      <w:r>
        <w:rPr>
          <w:rFonts w:hint="eastAsia" w:cs="Times New Roman"/>
          <w:b/>
          <w:bCs/>
        </w:rPr>
        <w:t>推进农业废弃物综合利用。</w:t>
      </w:r>
      <w:r>
        <w:rPr>
          <w:rFonts w:hint="eastAsia" w:cs="Times New Roman"/>
        </w:rPr>
        <w:t>按照“资源化、减量化、无害化”的原则，以“种养结合”农业绿色循环发展模式为主线，进一步完善规模养殖场粪污资源化利用设施，深入推进畜禽养殖废弃物资源化利用，确保畜禽粪污综合利用率稳定在90%以上，推动农业种养殖等产业之间协调发展。加强秸秆肥料化利用重点推广，做好秸秆饲料化利用，适当推广秸秆燃料化。加大农业废弃包装物回收利用力度，推广0.01mm以上加厚地膜和全生物降解地膜。</w:t>
      </w:r>
    </w:p>
    <w:p>
      <w:pPr>
        <w:pStyle w:val="2"/>
        <w:rPr>
          <w:rFonts w:cs="Times New Roman"/>
        </w:rPr>
        <w:sectPr>
          <w:pgSz w:w="11906" w:h="16838"/>
          <w:pgMar w:top="2098" w:right="1474" w:bottom="1984" w:left="1587" w:header="851" w:footer="1474" w:gutter="0"/>
          <w:cols w:space="720" w:num="1"/>
          <w:docGrid w:type="lines" w:linePitch="435" w:charSpace="0"/>
        </w:sectPr>
      </w:pPr>
    </w:p>
    <w:p>
      <w:pPr>
        <w:pStyle w:val="2"/>
        <w:sectPr>
          <w:pgSz w:w="11906" w:h="16838"/>
          <w:pgMar w:top="2098" w:right="1474" w:bottom="1984" w:left="1587" w:header="851" w:footer="1474" w:gutter="0"/>
          <w:cols w:space="720" w:num="1"/>
          <w:docGrid w:type="lines" w:linePitch="435" w:charSpace="0"/>
        </w:sectPr>
      </w:pPr>
    </w:p>
    <w:bookmarkEnd w:id="618"/>
    <w:bookmarkEnd w:id="619"/>
    <w:bookmarkEnd w:id="620"/>
    <w:bookmarkEnd w:id="621"/>
    <w:bookmarkEnd w:id="622"/>
    <w:bookmarkEnd w:id="623"/>
    <w:bookmarkEnd w:id="624"/>
    <w:bookmarkEnd w:id="625"/>
    <w:bookmarkEnd w:id="626"/>
    <w:bookmarkEnd w:id="627"/>
    <w:p>
      <w:pPr>
        <w:pStyle w:val="4"/>
        <w:spacing w:line="594" w:lineRule="exact"/>
        <w:ind w:left="0"/>
      </w:pPr>
      <w:bookmarkStart w:id="798" w:name="_Toc26949"/>
      <w:bookmarkStart w:id="799" w:name="_Toc26802"/>
      <w:bookmarkStart w:id="800" w:name="_Toc24952"/>
      <w:bookmarkStart w:id="801" w:name="_Toc9098"/>
      <w:bookmarkStart w:id="802" w:name="_Toc30255"/>
      <w:bookmarkStart w:id="803" w:name="_Toc12371"/>
      <w:bookmarkStart w:id="804" w:name="_Toc1807"/>
      <w:bookmarkStart w:id="805" w:name="_Toc23086"/>
      <w:bookmarkStart w:id="806" w:name="_Toc24433"/>
      <w:bookmarkStart w:id="807" w:name="_Toc26059"/>
      <w:bookmarkStart w:id="808" w:name="_Toc2099"/>
      <w:bookmarkStart w:id="809" w:name="_Toc1852"/>
      <w:bookmarkStart w:id="810" w:name="_Toc31701"/>
      <w:bookmarkStart w:id="811" w:name="_Toc25059"/>
      <w:bookmarkStart w:id="812" w:name="_Toc26527"/>
      <w:bookmarkStart w:id="813" w:name="_Toc7112"/>
      <w:bookmarkStart w:id="814" w:name="_Toc2292"/>
      <w:bookmarkStart w:id="815" w:name="_Toc26907"/>
      <w:bookmarkStart w:id="816" w:name="_Toc12656"/>
      <w:bookmarkStart w:id="817" w:name="_Toc31713"/>
      <w:bookmarkStart w:id="818" w:name="_Toc2499"/>
      <w:bookmarkStart w:id="819" w:name="_Toc4376"/>
      <w:bookmarkStart w:id="820" w:name="_Toc10271"/>
      <w:bookmarkStart w:id="821" w:name="_Toc8988"/>
      <w:r>
        <w:t xml:space="preserve"> </w:t>
      </w:r>
      <w:bookmarkStart w:id="822" w:name="_Toc12808"/>
      <w:bookmarkStart w:id="823" w:name="_Toc10972"/>
      <w:bookmarkStart w:id="824" w:name="_Toc12890"/>
      <w:bookmarkStart w:id="825" w:name="_Toc10989"/>
      <w:bookmarkStart w:id="826" w:name="_Toc7743"/>
      <w:r>
        <w:rPr>
          <w:rFonts w:hint="eastAsia"/>
        </w:rPr>
        <w:t>加快城乡基础设施建设，</w:t>
      </w:r>
      <w:r>
        <w:fldChar w:fldCharType="begin"/>
      </w:r>
      <w:r>
        <w:instrText xml:space="preserve">HYPERLINK "https://www.so.com/link?m=bg5OL46C5F9OIWKRwqZjRY6qVZA/vZ7xF+Qmkv1DvgumGJFAJZhmshhl9v/WZ4Aj9xu4n+g4o/hNBUmrgZraWRHbh5kVtRmdQMbYy73TWn4dU7gJyNgVlh+LH6OijpOxxo0nTjvhQVNNJFDqm709jkapDPqvqFisZUfmjCZkvyMX4o4Igt2tengFHDwZnxx+loDuzKNF1ZcPQTfPagd9feGd4N3w="</w:instrText>
      </w:r>
      <w:r>
        <w:fldChar w:fldCharType="separate"/>
      </w:r>
      <w:r>
        <w:t>优化生态人居环境</w:t>
      </w:r>
      <w:r>
        <w:fldChar w:fldCharType="end"/>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22"/>
      <w:bookmarkEnd w:id="823"/>
      <w:bookmarkEnd w:id="824"/>
      <w:bookmarkEnd w:id="825"/>
      <w:bookmarkEnd w:id="826"/>
    </w:p>
    <w:p/>
    <w:p>
      <w:pPr>
        <w:spacing w:line="594" w:lineRule="exact"/>
      </w:pPr>
      <w:bookmarkStart w:id="827" w:name="_Toc3957"/>
      <w:r>
        <w:rPr>
          <w:rFonts w:hint="eastAsia"/>
        </w:rPr>
        <w:t>扎实推进城乡生态环境基础设施建设，持续完善城镇、农村生活环境治理设施，全面改善城乡居民的人居环境。提升城市功能品质，加强绿地系统建设，推动城市更新提质增效，建成生态宜居城市</w:t>
      </w:r>
      <w:r>
        <w:t>。</w:t>
      </w:r>
    </w:p>
    <w:p>
      <w:pPr>
        <w:spacing w:line="594" w:lineRule="exact"/>
      </w:pPr>
    </w:p>
    <w:p>
      <w:pPr>
        <w:pStyle w:val="5"/>
        <w:numPr>
          <w:ilvl w:val="1"/>
          <w:numId w:val="7"/>
        </w:numPr>
      </w:pPr>
      <w:bookmarkStart w:id="828" w:name="_Toc4918"/>
      <w:bookmarkStart w:id="829" w:name="_Toc17777"/>
      <w:bookmarkStart w:id="830" w:name="_Toc13448"/>
      <w:bookmarkStart w:id="831" w:name="_Toc29156"/>
      <w:bookmarkStart w:id="832" w:name="_Toc26282"/>
      <w:bookmarkStart w:id="833" w:name="_Toc27270"/>
      <w:bookmarkStart w:id="834" w:name="_Toc5322"/>
      <w:bookmarkStart w:id="835" w:name="_Toc27639"/>
      <w:bookmarkStart w:id="836" w:name="_Toc8955"/>
      <w:bookmarkStart w:id="837" w:name="_Toc7588"/>
      <w:bookmarkStart w:id="838" w:name="_Toc23932"/>
      <w:bookmarkStart w:id="839" w:name="_Toc29076"/>
      <w:bookmarkStart w:id="840" w:name="_Toc25464"/>
      <w:bookmarkStart w:id="841" w:name="_Toc22962"/>
      <w:bookmarkStart w:id="842" w:name="_Toc11312"/>
      <w:bookmarkStart w:id="843" w:name="_Toc24329"/>
      <w:bookmarkStart w:id="844" w:name="_Toc10731"/>
      <w:r>
        <w:rPr>
          <w:rFonts w:hint="eastAsia"/>
        </w:rPr>
        <w:t>持续完善环境基础设施</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pPr>
        <w:pStyle w:val="40"/>
        <w:rPr>
          <w:rFonts w:cs="Times New Roman"/>
          <w:b/>
          <w:bCs/>
          <w:kern w:val="0"/>
          <w:szCs w:val="28"/>
        </w:rPr>
      </w:pPr>
    </w:p>
    <w:p>
      <w:pPr>
        <w:pStyle w:val="40"/>
        <w:rPr>
          <w:rFonts w:cs="Times New Roman"/>
          <w:kern w:val="0"/>
          <w:szCs w:val="28"/>
        </w:rPr>
      </w:pPr>
      <w:r>
        <w:rPr>
          <w:rFonts w:hint="eastAsia" w:cs="Times New Roman"/>
          <w:b/>
          <w:bCs/>
          <w:kern w:val="0"/>
          <w:szCs w:val="28"/>
        </w:rPr>
        <w:t>完善城镇污水收集处理设施。</w:t>
      </w:r>
      <w:r>
        <w:rPr>
          <w:rFonts w:hint="eastAsia"/>
        </w:rPr>
        <w:t>有序推进乡镇污水管网建设工程，加快雨污分流改造。完成西部新城污水处理厂技术改造，提升城市生活污水处理效率。</w:t>
      </w:r>
      <w:r>
        <w:rPr>
          <w:rFonts w:hint="eastAsia" w:cs="Times New Roman"/>
          <w:kern w:val="0"/>
          <w:szCs w:val="28"/>
        </w:rPr>
        <w:t>推动污泥无害化、资源化处置，实施污泥统一收集、运输和处置，提升污泥处置能力和应急处理能力，确保污泥得到规范处置。</w:t>
      </w:r>
    </w:p>
    <w:p>
      <w:pPr>
        <w:pStyle w:val="40"/>
      </w:pPr>
      <w:r>
        <w:rPr>
          <w:rFonts w:hint="eastAsia"/>
          <w:b/>
          <w:bCs/>
        </w:rPr>
        <w:t>强化污水处理厂运营管理。</w:t>
      </w:r>
      <w:r>
        <w:rPr>
          <w:rFonts w:hint="eastAsia"/>
        </w:rPr>
        <w:t>落实专人</w:t>
      </w:r>
      <w:r>
        <w:t>运营管理乡镇</w:t>
      </w:r>
      <w:r>
        <w:rPr>
          <w:rFonts w:hint="eastAsia"/>
        </w:rPr>
        <w:t>污水处理厂，建立健管理岗位责任制，</w:t>
      </w:r>
      <w:r>
        <w:t>强化</w:t>
      </w:r>
      <w:r>
        <w:rPr>
          <w:rFonts w:hint="eastAsia"/>
        </w:rPr>
        <w:t>业务技能培训，完善突发事故应急预案，推进乡镇污水处理厂运行专业化、操作规范化、管理制度化</w:t>
      </w:r>
      <w:r>
        <w:t>。</w:t>
      </w:r>
      <w:r>
        <w:rPr>
          <w:rFonts w:hint="eastAsia" w:ascii="方正仿宋_GBK"/>
        </w:rPr>
        <w:t>持续强化巡查维护工作，</w:t>
      </w:r>
      <w:r>
        <w:t>及时</w:t>
      </w:r>
      <w:r>
        <w:rPr>
          <w:rFonts w:hint="eastAsia"/>
        </w:rPr>
        <w:t>对破损的设备设施及时进行更换、保养、检修，确保乡镇污水处理厂实现正常运营和达标排放。</w:t>
      </w:r>
      <w:r>
        <w:rPr>
          <w:rFonts w:hint="eastAsia" w:ascii="方正仿宋_GBK"/>
        </w:rPr>
        <w:t>持续强化污水处理厂运行监管，确保全县城镇集中式污水处理率</w:t>
      </w:r>
      <w:r>
        <w:rPr>
          <w:rFonts w:hint="eastAsia" w:cs="Times New Roman"/>
        </w:rPr>
        <w:t>达到</w:t>
      </w:r>
      <w:r>
        <w:rPr>
          <w:rFonts w:cs="Times New Roman"/>
        </w:rPr>
        <w:t>95%</w:t>
      </w:r>
      <w:r>
        <w:rPr>
          <w:rFonts w:hint="eastAsia" w:cs="Times New Roman"/>
        </w:rPr>
        <w:t>以上。</w:t>
      </w:r>
    </w:p>
    <w:p>
      <w:pPr>
        <w:pStyle w:val="40"/>
        <w:rPr>
          <w:b/>
          <w:bCs/>
        </w:rPr>
      </w:pPr>
      <w:r>
        <w:rPr>
          <w:rFonts w:hint="eastAsia"/>
          <w:b/>
          <w:bCs/>
        </w:rPr>
        <w:t>完善生活垃圾收运及处置体系。</w:t>
      </w:r>
      <w:r>
        <w:t>加快推进城镇生活垃圾收运及处置体系建设。完善乡村垃圾收运系统，全面推广</w:t>
      </w:r>
      <w:r>
        <w:rPr>
          <w:rFonts w:hint="eastAsia" w:ascii="方正仿宋_GBK"/>
        </w:rPr>
        <w:t>“</w:t>
      </w:r>
      <w:r>
        <w:rPr>
          <w:rFonts w:hint="eastAsia"/>
        </w:rPr>
        <w:t>户集、村收、乡镇转运、县处理</w:t>
      </w:r>
      <w:r>
        <w:rPr>
          <w:rFonts w:hint="eastAsia" w:ascii="方正仿宋_GBK"/>
        </w:rPr>
        <w:t>”</w:t>
      </w:r>
      <w:r>
        <w:t>的农村生活垃圾处理处置模式，将农村生活垃圾纳入市政垃圾收运处置系统。进一步加大垃圾收集箱体投放和专用环卫车辆配置力度，强化乡村生活垃圾收运能力建设，实现城乡生活垃圾收运全覆盖。</w:t>
      </w:r>
    </w:p>
    <w:p>
      <w:pPr>
        <w:pStyle w:val="40"/>
        <w:rPr>
          <w:rFonts w:cs="Times New Roman"/>
          <w:kern w:val="0"/>
          <w:szCs w:val="28"/>
        </w:rPr>
      </w:pPr>
      <w:r>
        <w:rPr>
          <w:rFonts w:hint="eastAsia"/>
          <w:b/>
          <w:bCs/>
        </w:rPr>
        <w:t>推进生活垃圾分类。</w:t>
      </w:r>
      <w:r>
        <w:rPr>
          <w:rFonts w:hint="eastAsia"/>
        </w:rPr>
        <w:t>严格落实《奉节县生活垃圾分类工</w:t>
      </w:r>
      <w:r>
        <w:rPr>
          <w:rFonts w:hint="eastAsia" w:cs="Times New Roman"/>
          <w:kern w:val="0"/>
          <w:szCs w:val="28"/>
        </w:rPr>
        <w:t>作方案》要求，持续推进城乡生活垃圾分类，建立分类投放、分类收集、分类运输、分类处置全过程体系</w:t>
      </w:r>
      <w:r>
        <w:rPr>
          <w:rFonts w:cs="Times New Roman"/>
          <w:kern w:val="0"/>
          <w:szCs w:val="28"/>
        </w:rPr>
        <w:t>。</w:t>
      </w:r>
      <w:r>
        <w:rPr>
          <w:rFonts w:hint="eastAsia" w:cs="Times New Roman"/>
          <w:kern w:val="0"/>
          <w:szCs w:val="28"/>
        </w:rPr>
        <w:t>完善简便易行的分类投放方式、规范生活垃圾分类收集，配套小区生活垃圾分类收运厢房，新增垃圾分类收运车辆</w:t>
      </w:r>
      <w:r>
        <w:rPr>
          <w:rFonts w:cs="Times New Roman"/>
          <w:kern w:val="0"/>
          <w:szCs w:val="28"/>
        </w:rPr>
        <w:t>。</w:t>
      </w:r>
      <w:r>
        <w:rPr>
          <w:rFonts w:hint="eastAsia" w:cs="Times New Roman"/>
          <w:kern w:val="0"/>
          <w:szCs w:val="28"/>
        </w:rPr>
        <w:t>推进厨余垃圾处置、建筑垃圾消纳等项目实施。</w:t>
      </w:r>
    </w:p>
    <w:p>
      <w:pPr>
        <w:pStyle w:val="40"/>
        <w:rPr>
          <w:rFonts w:cs="Times New Roman"/>
          <w:kern w:val="0"/>
          <w:szCs w:val="28"/>
        </w:rPr>
      </w:pPr>
    </w:p>
    <w:p>
      <w:pPr>
        <w:pStyle w:val="5"/>
        <w:numPr>
          <w:ilvl w:val="1"/>
          <w:numId w:val="7"/>
        </w:numPr>
      </w:pPr>
      <w:bookmarkStart w:id="845" w:name="_Toc8502"/>
      <w:bookmarkStart w:id="846" w:name="_Toc16521"/>
      <w:bookmarkStart w:id="847" w:name="_Toc6277"/>
      <w:bookmarkStart w:id="848" w:name="_Toc13511"/>
      <w:bookmarkStart w:id="849" w:name="_Toc32414"/>
      <w:bookmarkStart w:id="850" w:name="_Toc22150"/>
      <w:bookmarkStart w:id="851" w:name="_Toc492"/>
      <w:bookmarkStart w:id="852" w:name="_Toc9435"/>
      <w:bookmarkStart w:id="853" w:name="_Toc24061"/>
      <w:bookmarkStart w:id="854" w:name="_Toc303"/>
      <w:bookmarkStart w:id="855" w:name="_Toc5868"/>
      <w:bookmarkStart w:id="856" w:name="_Toc26882"/>
      <w:bookmarkStart w:id="857" w:name="_Toc13522"/>
      <w:bookmarkStart w:id="858" w:name="_Toc23100"/>
      <w:bookmarkStart w:id="859" w:name="_Toc3321"/>
      <w:bookmarkStart w:id="860" w:name="_Toc25775"/>
      <w:bookmarkStart w:id="861" w:name="_Toc23156"/>
      <w:bookmarkStart w:id="862" w:name="_Toc7802"/>
      <w:r>
        <w:rPr>
          <w:rFonts w:hint="eastAsia"/>
        </w:rPr>
        <w:t>持续提升城镇功能品质</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pPr>
        <w:pStyle w:val="40"/>
        <w:rPr>
          <w:b/>
          <w:bCs/>
        </w:rPr>
      </w:pPr>
    </w:p>
    <w:p>
      <w:pPr>
        <w:pStyle w:val="40"/>
        <w:rPr>
          <w:b/>
          <w:bCs/>
        </w:rPr>
      </w:pPr>
      <w:r>
        <w:rPr>
          <w:rFonts w:hint="eastAsia"/>
          <w:b/>
          <w:bCs/>
        </w:rPr>
        <w:t>提升城市功能品质。</w:t>
      </w:r>
      <w:r>
        <w:rPr>
          <w:rFonts w:hint="eastAsia"/>
        </w:rPr>
        <w:t>持续推进“治乱拆违、街净巷洁、路平</w:t>
      </w:r>
      <w:r>
        <w:rPr>
          <w:rFonts w:hint="eastAsia" w:ascii="方正仿宋_GBK" w:cs="方正仿宋_GBK"/>
        </w:rPr>
        <w:t>桥安、整墙修面、灯明景靓、江清水畅、城美山青”七大</w:t>
      </w:r>
      <w:r>
        <w:rPr>
          <w:rFonts w:ascii="方正仿宋_GBK" w:cs="方正仿宋_GBK"/>
        </w:rPr>
        <w:t>工程，</w:t>
      </w:r>
      <w:r>
        <w:rPr>
          <w:rFonts w:hint="eastAsia" w:ascii="方正仿宋_GBK" w:cs="方正仿宋_GBK"/>
        </w:rPr>
        <w:t>实施城市绿化、花化、美化、净化、亮化行动，巩固鲜花大道、诗歌街区、广告路景和示范街创建成果。强化城市运行安全，实施</w:t>
      </w:r>
      <w:r>
        <w:rPr>
          <w:rFonts w:hint="eastAsia" w:ascii="方正仿宋_GBK" w:cs="方正仿宋_GBK"/>
          <w:bCs/>
        </w:rPr>
        <w:t>城管领域安全生产三年行动和打通“生命通道”集中整治行动，完成移民安置区桥梁除险加固整治工程。持续推进城镇综合管理提升行动，坚持城市“细管、智管、众管、严管”，常态化</w:t>
      </w:r>
      <w:r>
        <w:rPr>
          <w:rFonts w:ascii="方正仿宋_GBK" w:cs="方正仿宋_GBK"/>
          <w:bCs/>
        </w:rPr>
        <w:t>开展</w:t>
      </w:r>
      <w:r>
        <w:rPr>
          <w:rFonts w:hint="eastAsia" w:ascii="方正仿宋_GBK" w:cs="方正仿宋_GBK"/>
          <w:bCs/>
        </w:rPr>
        <w:t>“马路办公”，推进智慧城管建设，</w:t>
      </w:r>
      <w:r>
        <w:rPr>
          <w:rFonts w:hint="eastAsia" w:ascii="方正仿宋_GBK" w:cs="方正仿宋_GBK"/>
        </w:rPr>
        <w:t>建成城市综合管理服务平台，推进建成区数字化城市管理全覆盖，构建“一云承载、一图呈现、一网统管、一端服务”的城市智管新格局。</w:t>
      </w:r>
    </w:p>
    <w:p>
      <w:pPr>
        <w:spacing w:line="594" w:lineRule="exact"/>
      </w:pPr>
      <w:r>
        <w:rPr>
          <w:rFonts w:hint="eastAsia"/>
          <w:b/>
          <w:bCs/>
        </w:rPr>
        <w:t>完善绿地系统建设。</w:t>
      </w:r>
      <w:r>
        <w:rPr>
          <w:rFonts w:hint="eastAsia"/>
        </w:rPr>
        <w:t>结合国土绿化提升行动，</w:t>
      </w:r>
      <w:r>
        <w:rPr>
          <w:rFonts w:hint="eastAsia" w:cs="Times New Roman"/>
          <w:kern w:val="0"/>
          <w:szCs w:val="28"/>
        </w:rPr>
        <w:t>有序推进公园、空地、道路绿化建设及公共绿地景观改造、坡坎崖景观绿化治理，</w:t>
      </w:r>
      <w:r>
        <w:rPr>
          <w:rFonts w:hint="eastAsia"/>
        </w:rPr>
        <w:t>实施一批坡坎崖绿化美化和口袋公园建设。推进滨河公园修复项目及永安街道头道河片区人居环境改造项目，包括重要景观节点调整和品质提升，老旧公园品质提升等内容，预计新增绿地面积55余万平方米。</w:t>
      </w:r>
      <w:r>
        <w:rPr>
          <w:rFonts w:hint="eastAsia" w:cs="Times New Roman"/>
          <w:kern w:val="0"/>
          <w:szCs w:val="28"/>
        </w:rPr>
        <w:t>到2</w:t>
      </w:r>
      <w:r>
        <w:rPr>
          <w:rFonts w:cs="Times New Roman"/>
          <w:kern w:val="0"/>
          <w:szCs w:val="28"/>
        </w:rPr>
        <w:t>023</w:t>
      </w:r>
      <w:r>
        <w:rPr>
          <w:rFonts w:hint="eastAsia" w:cs="Times New Roman"/>
          <w:kern w:val="0"/>
          <w:szCs w:val="28"/>
        </w:rPr>
        <w:t>年，城镇建成区人均公园绿地面积不少于12平方米/人。</w:t>
      </w:r>
      <w:r>
        <w:rPr>
          <w:rFonts w:hint="eastAsia"/>
        </w:rPr>
        <w:t>扎实推进海绵城市建设，开展海绵型公园、道路、广场、住宅区、公共项目等海绵体建设，实施高铁新城片区、职教中心</w:t>
      </w:r>
      <w:r>
        <w:t>片区</w:t>
      </w:r>
      <w:r>
        <w:rPr>
          <w:rFonts w:hint="eastAsia"/>
        </w:rPr>
        <w:t>、</w:t>
      </w:r>
      <w:r>
        <w:t>夔州街道</w:t>
      </w:r>
      <w:r>
        <w:rPr>
          <w:rFonts w:hint="eastAsia"/>
        </w:rPr>
        <w:t>滨河公园片区海绵城市工程，打造</w:t>
      </w:r>
      <w:r>
        <w:rPr>
          <w:rFonts w:hint="eastAsia"/>
          <w:shd w:val="clear" w:color="auto" w:fill="FFFFFF"/>
        </w:rPr>
        <w:t>和谐有序的城市环境，构建完整连贯的城乡生态系统。</w:t>
      </w:r>
    </w:p>
    <w:p>
      <w:pPr>
        <w:spacing w:line="594" w:lineRule="exact"/>
        <w:jc w:val="left"/>
        <w:rPr>
          <w:rFonts w:cs="Times New Roman"/>
          <w:kern w:val="0"/>
          <w:szCs w:val="32"/>
        </w:rPr>
      </w:pPr>
      <w:r>
        <w:rPr>
          <w:rFonts w:hint="eastAsia" w:cs="Times New Roman"/>
          <w:b/>
          <w:bCs/>
          <w:kern w:val="0"/>
          <w:szCs w:val="32"/>
        </w:rPr>
        <w:t>持续推进规模化绿色建筑建设。</w:t>
      </w:r>
      <w:r>
        <w:rPr>
          <w:rFonts w:cs="Times New Roman"/>
          <w:kern w:val="0"/>
          <w:szCs w:val="32"/>
        </w:rPr>
        <w:t>引导新建建筑和改扩建建筑按照重庆市绿色建筑标准设计、建设和运营，提高政府投资公益性建筑和大型公共建筑的绿色建筑星级标准要求。政府投资或以政府投资为主的新建公共建筑、社会投资建筑面积2万平方米及以上的大型公共建筑，至少达到二星级绿色建筑标准。新申报的绿色生态住宅小区，至少达到二星级绿色建筑标准要求</w:t>
      </w:r>
      <w:r>
        <w:rPr>
          <w:rFonts w:hint="eastAsia" w:cs="Times New Roman"/>
          <w:kern w:val="0"/>
          <w:szCs w:val="32"/>
        </w:rPr>
        <w:t>。</w:t>
      </w:r>
      <w:r>
        <w:rPr>
          <w:rFonts w:cs="Times New Roman"/>
          <w:kern w:val="0"/>
          <w:szCs w:val="32"/>
        </w:rPr>
        <w:t>鼓励建筑高度超过150米及以上的公共建筑、核心商圈等重点区域内的地标性建筑和其他具备条件的建筑，执行三星级绿色建筑标准。实施既有居住建筑节能改造，推动既有公共建筑开展绿色改造。加强绿色建筑运行管理，定期开展运行评估，采用合同能源管理</w:t>
      </w:r>
      <w:r>
        <w:rPr>
          <w:rFonts w:hint="eastAsia" w:cs="Times New Roman"/>
          <w:kern w:val="0"/>
          <w:szCs w:val="32"/>
        </w:rPr>
        <w:t>及</w:t>
      </w:r>
      <w:r>
        <w:rPr>
          <w:rFonts w:cs="Times New Roman"/>
          <w:kern w:val="0"/>
          <w:szCs w:val="32"/>
        </w:rPr>
        <w:t>合同节水管理</w:t>
      </w:r>
      <w:r>
        <w:rPr>
          <w:rFonts w:hint="eastAsia" w:cs="Times New Roman"/>
          <w:kern w:val="0"/>
          <w:szCs w:val="32"/>
        </w:rPr>
        <w:t>模式</w:t>
      </w:r>
      <w:r>
        <w:rPr>
          <w:rFonts w:cs="Times New Roman"/>
          <w:kern w:val="0"/>
          <w:szCs w:val="32"/>
        </w:rPr>
        <w:t>，引导用户合理控制室内温度。</w:t>
      </w:r>
    </w:p>
    <w:p>
      <w:pPr>
        <w:pStyle w:val="34"/>
        <w:numPr>
          <w:ilvl w:val="0"/>
          <w:numId w:val="0"/>
        </w:numPr>
        <w:ind w:left="2469"/>
      </w:pPr>
    </w:p>
    <w:p>
      <w:pPr>
        <w:pStyle w:val="5"/>
        <w:numPr>
          <w:ilvl w:val="1"/>
          <w:numId w:val="7"/>
        </w:numPr>
        <w:rPr>
          <w:rFonts w:ascii="方正楷体_GBK"/>
        </w:rPr>
      </w:pPr>
      <w:bookmarkStart w:id="863" w:name="_Toc28108"/>
      <w:bookmarkStart w:id="864" w:name="_Toc1539"/>
      <w:bookmarkStart w:id="865" w:name="_Toc18797"/>
      <w:bookmarkStart w:id="866" w:name="_Toc11780"/>
      <w:bookmarkStart w:id="867" w:name="_Toc18563"/>
      <w:bookmarkStart w:id="868" w:name="_Toc4563"/>
      <w:bookmarkStart w:id="869" w:name="_Toc13355"/>
      <w:bookmarkStart w:id="870" w:name="_Toc18423"/>
      <w:bookmarkStart w:id="871" w:name="_Toc22091"/>
      <w:bookmarkStart w:id="872" w:name="_Toc14901"/>
      <w:bookmarkStart w:id="873" w:name="_Toc144"/>
      <w:bookmarkStart w:id="874" w:name="_Toc4012"/>
      <w:bookmarkStart w:id="875" w:name="_Toc25793"/>
      <w:bookmarkStart w:id="876" w:name="_Toc26898"/>
      <w:bookmarkStart w:id="877" w:name="_Toc24248"/>
      <w:bookmarkStart w:id="878" w:name="_Toc4578"/>
      <w:bookmarkStart w:id="879" w:name="_Toc22878"/>
      <w:bookmarkStart w:id="880" w:name="_Toc24904"/>
      <w:r>
        <w:rPr>
          <w:rFonts w:hint="eastAsia" w:ascii="方正楷体_GBK"/>
        </w:rPr>
        <w:t>加快实施乡村生态振兴</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pPr>
        <w:spacing w:line="594" w:lineRule="exact"/>
        <w:rPr>
          <w:b/>
          <w:bCs/>
        </w:rPr>
      </w:pPr>
    </w:p>
    <w:p>
      <w:pPr>
        <w:spacing w:line="594" w:lineRule="exact"/>
      </w:pPr>
      <w:r>
        <w:rPr>
          <w:rFonts w:hint="eastAsia"/>
          <w:b/>
          <w:bCs/>
        </w:rPr>
        <w:t>保障农村饮用水供给和水质安全。</w:t>
      </w:r>
      <w:r>
        <w:rPr>
          <w:rFonts w:hint="eastAsia"/>
        </w:rPr>
        <w:t>加强分散小型农村供水工程标准化建设，</w:t>
      </w:r>
      <w:r>
        <w:t>着力</w:t>
      </w:r>
      <w:r>
        <w:rPr>
          <w:rFonts w:hint="eastAsia"/>
        </w:rPr>
        <w:t>提升人均可供水水量。“十四五”期间，以鹤峰乡、安坪镇集镇为重点，实施乡村振兴规模化供水工程</w:t>
      </w:r>
      <w:r>
        <w:t>2</w:t>
      </w:r>
      <w:r>
        <w:rPr>
          <w:rFonts w:hint="eastAsia"/>
        </w:rPr>
        <w:t>处，在农村区域实施村级供水“一改三提”工程</w:t>
      </w:r>
      <w:r>
        <w:t>52</w:t>
      </w:r>
      <w:r>
        <w:rPr>
          <w:rFonts w:hint="eastAsia"/>
        </w:rPr>
        <w:t>处。加强农村饮用水水源地保护，强化饮用水水源地规范化建设、水质监测、巡查管护、风险防范和应急处置，并落实水源管护责任人，确保水源地安全。加大水质安全监管力度，每年应按水质监测计划开展千人以上供水工程水质抽检，开展农村供水水质抽样检测，督促辖区内农村集中供水单位做好日常水质检测，</w:t>
      </w:r>
      <w:r>
        <w:t>做好</w:t>
      </w:r>
      <w:r>
        <w:rPr>
          <w:rFonts w:hint="eastAsia"/>
        </w:rPr>
        <w:t>水利、卫生健康、生态环境等部门间的水质监测信息共享，建立健全水质监测</w:t>
      </w:r>
      <w:r>
        <w:t>单位</w:t>
      </w:r>
      <w:r>
        <w:rPr>
          <w:rFonts w:hint="eastAsia"/>
        </w:rPr>
        <w:t>与供水单位</w:t>
      </w:r>
      <w:r>
        <w:t>之间</w:t>
      </w:r>
      <w:r>
        <w:rPr>
          <w:rFonts w:hint="eastAsia"/>
        </w:rPr>
        <w:t>的联动机制，</w:t>
      </w:r>
      <w:r>
        <w:t>确保从水源头到水龙头的水安全，让群众从有水喝到喝好水。</w:t>
      </w:r>
    </w:p>
    <w:p>
      <w:pPr>
        <w:spacing w:line="594" w:lineRule="exact"/>
        <w:jc w:val="left"/>
      </w:pPr>
      <w:r>
        <w:rPr>
          <w:rFonts w:hint="eastAsia"/>
          <w:b/>
          <w:bCs/>
        </w:rPr>
        <w:t>加强农村生活污水处理。</w:t>
      </w:r>
      <w:r>
        <w:rPr>
          <w:rFonts w:hint="eastAsia"/>
        </w:rPr>
        <w:t>严格落实《奉节县农村生活污水治理专项规划（2021-2030年）》，因地制宜推进全县农村生活污水治理设施建设。积极推进城镇污水管网向周边农村地区延伸，推进农村生活污水处理设施及配套管网建设。以减量化、生态化、资源化为导向，因地制宜选择达标排放与综合利用相结合模式，梯次推进农村聚居点生活污水处理设施建设，加强与改厕衔接，合理选择改厕模式，因地制宜推进改厕工作，力争实现愿改尽改、能改尽改。到2025年，基本实现农村常住人口200户或600人以上聚居点设施覆盖，农村卫生厕所普及率完成市级下达的任务。</w:t>
      </w:r>
    </w:p>
    <w:p>
      <w:pPr>
        <w:spacing w:line="594" w:lineRule="exact"/>
      </w:pPr>
      <w:r>
        <w:rPr>
          <w:rFonts w:hint="eastAsia"/>
          <w:b/>
          <w:bCs/>
        </w:rPr>
        <w:t>加快实施人居环境整治。</w:t>
      </w:r>
      <w:r>
        <w:rPr>
          <w:rFonts w:hint="eastAsia"/>
        </w:rPr>
        <w:t>着力推进“四好农村路”建设，全面提升乡村公路通达、通畅水平。到2025年，实现穿村公路和村内主干道路硬化全覆盖，基本解决村内道路泥泞、村民出行不便等问题。持续开展“村庄清洁行动”，以“四清一改”为重点，贯彻立足“清”、聚焦“保”、着力“改”、促进“美”的总体要求，因地制宜，创新方式，常态化开展村庄清洁行动“春夏秋冬”四季战役。规范村庄清洁评比活动，明确美丽庭院、清洁户等评比标准，发挥好“红黑榜”“点评台”“积分超市”等激励机制作用，充分调动农民群众积极性，促进“政府带动”向“农民主动”转变，形成一批可操作、能复制、好推广的典型。</w:t>
      </w:r>
      <w:r>
        <w:t>积极推广农村规模化沼气、户用沼气，大力推广太阳能等清洁能源。</w:t>
      </w:r>
    </w:p>
    <w:p>
      <w:pPr>
        <w:pStyle w:val="40"/>
        <w:sectPr>
          <w:type w:val="continuous"/>
          <w:pgSz w:w="11906" w:h="16838"/>
          <w:pgMar w:top="2098" w:right="1474" w:bottom="1984" w:left="1587" w:header="851" w:footer="992" w:gutter="0"/>
          <w:cols w:space="720" w:num="1"/>
          <w:docGrid w:type="lines" w:linePitch="439" w:charSpace="0"/>
        </w:sectPr>
      </w:pPr>
    </w:p>
    <w:p>
      <w:pPr>
        <w:pStyle w:val="4"/>
        <w:spacing w:line="594" w:lineRule="exact"/>
        <w:ind w:left="0"/>
      </w:pPr>
      <w:bookmarkStart w:id="881" w:name="_Toc24744"/>
      <w:bookmarkStart w:id="882" w:name="_Toc23917"/>
      <w:bookmarkStart w:id="883" w:name="_Toc17210"/>
      <w:bookmarkStart w:id="884" w:name="_Toc1888"/>
      <w:bookmarkStart w:id="885" w:name="_Toc1427"/>
      <w:bookmarkStart w:id="886" w:name="_Toc17568"/>
      <w:bookmarkStart w:id="887" w:name="_Toc14908"/>
      <w:bookmarkStart w:id="888" w:name="_Toc800"/>
      <w:bookmarkStart w:id="889" w:name="_Toc22845"/>
      <w:bookmarkStart w:id="890" w:name="_Toc21759"/>
      <w:bookmarkStart w:id="891" w:name="_Toc2140"/>
      <w:bookmarkStart w:id="892" w:name="_Toc1266"/>
      <w:bookmarkStart w:id="893" w:name="_Toc4616"/>
      <w:bookmarkStart w:id="894" w:name="_Toc17083"/>
      <w:bookmarkStart w:id="895" w:name="_Toc28719"/>
      <w:bookmarkStart w:id="896" w:name="_Toc14916"/>
      <w:bookmarkStart w:id="897" w:name="_Toc2497"/>
      <w:bookmarkStart w:id="898" w:name="_Toc7876"/>
      <w:r>
        <w:t>积极培育生态文化</w:t>
      </w:r>
      <w:bookmarkEnd w:id="881"/>
      <w:bookmarkEnd w:id="882"/>
      <w:bookmarkEnd w:id="883"/>
      <w:bookmarkEnd w:id="884"/>
      <w:bookmarkEnd w:id="885"/>
      <w:bookmarkEnd w:id="886"/>
      <w:bookmarkEnd w:id="887"/>
      <w:bookmarkEnd w:id="888"/>
      <w:bookmarkEnd w:id="889"/>
      <w:bookmarkEnd w:id="890"/>
      <w:bookmarkEnd w:id="891"/>
      <w:bookmarkEnd w:id="892"/>
      <w:bookmarkEnd w:id="893"/>
      <w:r>
        <w:rPr>
          <w:rFonts w:hint="eastAsia"/>
        </w:rPr>
        <w:t>，营造生态文明建设氛围</w:t>
      </w:r>
      <w:bookmarkEnd w:id="894"/>
      <w:bookmarkEnd w:id="895"/>
      <w:bookmarkEnd w:id="896"/>
      <w:bookmarkEnd w:id="897"/>
      <w:bookmarkEnd w:id="898"/>
    </w:p>
    <w:p>
      <w:pPr>
        <w:snapToGrid w:val="0"/>
        <w:spacing w:line="594" w:lineRule="exact"/>
        <w:rPr>
          <w:rFonts w:cs="Times New Roman"/>
          <w:szCs w:val="32"/>
        </w:rPr>
      </w:pPr>
    </w:p>
    <w:p>
      <w:pPr>
        <w:snapToGrid w:val="0"/>
        <w:spacing w:line="594" w:lineRule="exact"/>
        <w:rPr>
          <w:rFonts w:cs="Times New Roman"/>
          <w:szCs w:val="32"/>
        </w:rPr>
      </w:pPr>
      <w:r>
        <w:rPr>
          <w:rFonts w:cs="Times New Roman"/>
          <w:szCs w:val="32"/>
        </w:rPr>
        <w:t>加强生态文明价值理念弘扬，广泛开展生态文明宣传教育，倡导绿色生活方式</w:t>
      </w:r>
      <w:r>
        <w:rPr>
          <w:rFonts w:hint="eastAsia" w:cs="Times New Roman"/>
          <w:szCs w:val="32"/>
        </w:rPr>
        <w:t>，充分挖掘优秀传统文化，持续推进生态文明示范建设，促进</w:t>
      </w:r>
      <w:r>
        <w:rPr>
          <w:rFonts w:cs="Times New Roman"/>
          <w:szCs w:val="32"/>
        </w:rPr>
        <w:t>绿色低碳生产生活方式和消费理念成为政府、企业和社会公众的广泛共识和自觉行动</w:t>
      </w:r>
      <w:r>
        <w:rPr>
          <w:rFonts w:hint="eastAsia" w:cs="Times New Roman"/>
          <w:szCs w:val="32"/>
        </w:rPr>
        <w:t>。</w:t>
      </w:r>
    </w:p>
    <w:p>
      <w:pPr>
        <w:pStyle w:val="34"/>
        <w:numPr>
          <w:ilvl w:val="0"/>
          <w:numId w:val="0"/>
        </w:numPr>
        <w:ind w:left="2469"/>
      </w:pPr>
    </w:p>
    <w:p>
      <w:pPr>
        <w:pStyle w:val="5"/>
        <w:numPr>
          <w:ilvl w:val="1"/>
          <w:numId w:val="7"/>
        </w:numPr>
      </w:pPr>
      <w:bookmarkStart w:id="899" w:name="_Toc30859"/>
      <w:bookmarkStart w:id="900" w:name="_Toc26573"/>
      <w:bookmarkStart w:id="901" w:name="_Toc20510"/>
      <w:bookmarkStart w:id="902" w:name="_Toc31460"/>
      <w:bookmarkStart w:id="903" w:name="_Toc1817"/>
      <w:bookmarkStart w:id="904" w:name="_Toc26798"/>
      <w:bookmarkStart w:id="905" w:name="_Toc14076"/>
      <w:bookmarkStart w:id="906" w:name="_Toc4182"/>
      <w:bookmarkStart w:id="907" w:name="_Toc6017"/>
      <w:bookmarkStart w:id="908" w:name="_Toc18027"/>
      <w:bookmarkStart w:id="909" w:name="_Toc23719"/>
      <w:bookmarkStart w:id="910" w:name="_Toc25905"/>
      <w:bookmarkStart w:id="911" w:name="_Toc2339"/>
      <w:bookmarkStart w:id="912" w:name="_Toc15142"/>
      <w:bookmarkStart w:id="913" w:name="_Toc5274"/>
      <w:bookmarkStart w:id="914" w:name="_Toc31619"/>
      <w:bookmarkStart w:id="915" w:name="_Toc9018"/>
      <w:bookmarkStart w:id="916" w:name="_Toc23796"/>
      <w:r>
        <w:rPr>
          <w:rFonts w:hint="eastAsia"/>
        </w:rPr>
        <w:t>完善生态文化体系</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pPr>
        <w:adjustRightInd w:val="0"/>
        <w:snapToGrid w:val="0"/>
        <w:spacing w:line="594" w:lineRule="exact"/>
        <w:rPr>
          <w:rFonts w:cs="Times New Roman"/>
          <w:b/>
          <w:bCs/>
          <w:szCs w:val="32"/>
        </w:rPr>
      </w:pPr>
    </w:p>
    <w:p>
      <w:pPr>
        <w:adjustRightInd w:val="0"/>
        <w:snapToGrid w:val="0"/>
        <w:spacing w:line="594" w:lineRule="exact"/>
        <w:rPr>
          <w:rFonts w:cs="Times New Roman"/>
          <w:b/>
          <w:kern w:val="0"/>
          <w:szCs w:val="32"/>
        </w:rPr>
      </w:pPr>
      <w:r>
        <w:rPr>
          <w:rFonts w:hint="eastAsia" w:cs="Times New Roman"/>
          <w:b/>
          <w:bCs/>
          <w:szCs w:val="32"/>
        </w:rPr>
        <w:t>加强生态文明教育培训。</w:t>
      </w:r>
      <w:r>
        <w:rPr>
          <w:rFonts w:cs="Times New Roman"/>
          <w:szCs w:val="32"/>
        </w:rPr>
        <w:t>健全生态文明教育网络，把生态文明教育纳入各类国民教育、成人教育、社区教育体系和各类教学培训计划，营造生态文明社会氛围。加强党政生态文明教育，</w:t>
      </w:r>
      <w:r>
        <w:rPr>
          <w:rFonts w:cs="Times New Roman"/>
          <w:kern w:val="0"/>
          <w:szCs w:val="32"/>
        </w:rPr>
        <w:t>将生态文明纳入党校主体班和网络教学内容，对党政领导干部开展生态文明建设专题培训，</w:t>
      </w:r>
      <w:r>
        <w:rPr>
          <w:rFonts w:cs="Times New Roman"/>
          <w:szCs w:val="32"/>
        </w:rPr>
        <w:t>提高全</w:t>
      </w:r>
      <w:r>
        <w:rPr>
          <w:rFonts w:hint="eastAsia" w:cs="Times New Roman"/>
          <w:szCs w:val="32"/>
        </w:rPr>
        <w:t>县</w:t>
      </w:r>
      <w:r>
        <w:rPr>
          <w:rFonts w:cs="Times New Roman"/>
          <w:szCs w:val="32"/>
        </w:rPr>
        <w:t>各级领导干部的生态环保意识</w:t>
      </w:r>
      <w:r>
        <w:rPr>
          <w:rFonts w:hint="eastAsia" w:cs="Times New Roman"/>
          <w:szCs w:val="32"/>
        </w:rPr>
        <w:t>，</w:t>
      </w:r>
      <w:r>
        <w:rPr>
          <w:rFonts w:cs="Times New Roman"/>
          <w:kern w:val="0"/>
          <w:szCs w:val="32"/>
        </w:rPr>
        <w:t>党政领导干部参加生态文明培训的人数比例</w:t>
      </w:r>
      <w:r>
        <w:rPr>
          <w:rFonts w:hint="eastAsia" w:cs="Times New Roman"/>
          <w:kern w:val="0"/>
          <w:szCs w:val="32"/>
        </w:rPr>
        <w:t>持续</w:t>
      </w:r>
      <w:r>
        <w:rPr>
          <w:rFonts w:cs="Times New Roman"/>
          <w:kern w:val="0"/>
          <w:szCs w:val="32"/>
        </w:rPr>
        <w:t>保持100%。</w:t>
      </w:r>
      <w:r>
        <w:rPr>
          <w:rFonts w:cs="Times New Roman"/>
          <w:szCs w:val="32"/>
        </w:rPr>
        <w:t>广泛开展校园生态文明教育，将生态文明教育纳入中小学校教学计划，保证教育课时。加强企业生态文明教育，强化企业环境保护意识和生态文明建设社会责任。</w:t>
      </w:r>
    </w:p>
    <w:p>
      <w:pPr>
        <w:adjustRightInd w:val="0"/>
        <w:snapToGrid w:val="0"/>
        <w:spacing w:line="594" w:lineRule="exact"/>
        <w:rPr>
          <w:rFonts w:cs="Times New Roman"/>
          <w:kern w:val="0"/>
          <w:szCs w:val="32"/>
        </w:rPr>
      </w:pPr>
      <w:r>
        <w:rPr>
          <w:rFonts w:hint="eastAsia" w:cs="Times New Roman"/>
          <w:b/>
          <w:bCs/>
          <w:kern w:val="0"/>
          <w:szCs w:val="32"/>
        </w:rPr>
        <w:t>强化生态文明宣传。</w:t>
      </w:r>
      <w:r>
        <w:rPr>
          <w:rFonts w:cs="Times New Roman"/>
          <w:kern w:val="0"/>
          <w:szCs w:val="32"/>
        </w:rPr>
        <w:t>充分利用报纸、电视台、网络、政务微博、微信、</w:t>
      </w:r>
      <w:r>
        <w:rPr>
          <w:rFonts w:hint="eastAsia" w:cs="Times New Roman"/>
          <w:kern w:val="0"/>
          <w:szCs w:val="32"/>
        </w:rPr>
        <w:t>电子屏</w:t>
      </w:r>
      <w:r>
        <w:rPr>
          <w:rFonts w:cs="Times New Roman"/>
          <w:kern w:val="0"/>
          <w:szCs w:val="32"/>
        </w:rPr>
        <w:t>等载体广泛宣传生态文明</w:t>
      </w:r>
      <w:r>
        <w:rPr>
          <w:rFonts w:hint="eastAsia" w:cs="Times New Roman"/>
          <w:kern w:val="0"/>
          <w:szCs w:val="32"/>
        </w:rPr>
        <w:t>知识，</w:t>
      </w:r>
      <w:r>
        <w:rPr>
          <w:rFonts w:cs="Times New Roman"/>
          <w:kern w:val="0"/>
          <w:szCs w:val="32"/>
        </w:rPr>
        <w:t>积极开展生态文明主题宣传教育活动和公益活动，推动社会各界和公众广泛参与生态文明建设。</w:t>
      </w:r>
      <w:r>
        <w:rPr>
          <w:rFonts w:hint="eastAsia" w:cs="Times New Roman"/>
          <w:kern w:val="0"/>
          <w:szCs w:val="32"/>
        </w:rPr>
        <w:t>及时公开生态文明建设示范县建设工作动态，适时邀请人大代表、政协委员、环保志愿者等开展现场参观及座谈活动，</w:t>
      </w:r>
      <w:r>
        <w:rPr>
          <w:rFonts w:cs="Times New Roman"/>
          <w:kern w:val="0"/>
          <w:szCs w:val="32"/>
        </w:rPr>
        <w:t>不断提高公众对生态文明知识知晓度和公众对生态文明建设的满意度。</w:t>
      </w:r>
    </w:p>
    <w:p>
      <w:pPr>
        <w:spacing w:line="594" w:lineRule="exact"/>
        <w:rPr>
          <w:rFonts w:cs="Times New Roman"/>
          <w:kern w:val="0"/>
          <w:szCs w:val="32"/>
        </w:rPr>
      </w:pPr>
      <w:r>
        <w:rPr>
          <w:rFonts w:hint="eastAsia" w:ascii="方正仿宋_GBK" w:cs="Times New Roman"/>
          <w:b/>
          <w:bCs/>
          <w:szCs w:val="32"/>
        </w:rPr>
        <w:t>弘扬特色生态文化。</w:t>
      </w:r>
      <w:r>
        <w:rPr>
          <w:rFonts w:hint="eastAsia" w:cs="Times New Roman"/>
          <w:kern w:val="0"/>
          <w:szCs w:val="32"/>
        </w:rPr>
        <w:t>以</w:t>
      </w:r>
      <w:r>
        <w:rPr>
          <w:rFonts w:cs="Times New Roman"/>
          <w:kern w:val="0"/>
          <w:szCs w:val="32"/>
        </w:rPr>
        <w:t>江峡文化、</w:t>
      </w:r>
      <w:r>
        <w:rPr>
          <w:rFonts w:hint="eastAsia" w:cs="Times New Roman"/>
          <w:kern w:val="0"/>
          <w:szCs w:val="32"/>
        </w:rPr>
        <w:t>三国文化、</w:t>
      </w:r>
      <w:r>
        <w:rPr>
          <w:rFonts w:cs="Times New Roman"/>
          <w:kern w:val="0"/>
          <w:szCs w:val="32"/>
        </w:rPr>
        <w:t>诗歌</w:t>
      </w:r>
      <w:r>
        <w:rPr>
          <w:rFonts w:hint="eastAsia" w:cs="Times New Roman"/>
          <w:kern w:val="0"/>
          <w:szCs w:val="32"/>
        </w:rPr>
        <w:t>文化、</w:t>
      </w:r>
      <w:r>
        <w:rPr>
          <w:rFonts w:cs="Times New Roman"/>
          <w:kern w:val="0"/>
          <w:szCs w:val="32"/>
        </w:rPr>
        <w:t>军事</w:t>
      </w:r>
      <w:r>
        <w:rPr>
          <w:rFonts w:hint="eastAsia" w:cs="Times New Roman"/>
          <w:kern w:val="0"/>
          <w:szCs w:val="32"/>
        </w:rPr>
        <w:t>文化、移民文化</w:t>
      </w:r>
      <w:r>
        <w:rPr>
          <w:rFonts w:cs="Times New Roman"/>
          <w:kern w:val="0"/>
          <w:szCs w:val="32"/>
        </w:rPr>
        <w:t>、民俗文化</w:t>
      </w:r>
      <w:r>
        <w:rPr>
          <w:rFonts w:hint="eastAsia" w:cs="Times New Roman"/>
          <w:kern w:val="0"/>
          <w:szCs w:val="32"/>
        </w:rPr>
        <w:t>等文化资源为基础，重点在</w:t>
      </w:r>
      <w:r>
        <w:rPr>
          <w:rFonts w:hint="eastAsia" w:ascii="方正仿宋_GBK" w:cs="Times New Roman"/>
          <w:szCs w:val="32"/>
        </w:rPr>
        <w:t>白帝城、瞿塘峡摩崖石刻、白帝城遗址、鱼复浦、观武镇、</w:t>
      </w:r>
      <w:r>
        <w:rPr>
          <w:rFonts w:hint="eastAsia" w:cs="Times New Roman"/>
          <w:kern w:val="0"/>
          <w:szCs w:val="32"/>
        </w:rPr>
        <w:t>三塘</w:t>
      </w:r>
      <w:r>
        <w:rPr>
          <w:rFonts w:cs="Times New Roman"/>
          <w:kern w:val="0"/>
          <w:szCs w:val="32"/>
        </w:rPr>
        <w:t>等历史文化遗址</w:t>
      </w:r>
      <w:r>
        <w:rPr>
          <w:rFonts w:hint="eastAsia" w:cs="Times New Roman"/>
          <w:kern w:val="0"/>
          <w:szCs w:val="32"/>
        </w:rPr>
        <w:t>以及白帝城·瞿塘峡景区、三峡之巅、文峰塔、天坑地缝等旅游景点集中展示奉节特色文化，打造竹园历史文化名镇；</w:t>
      </w:r>
      <w:r>
        <w:rPr>
          <w:rFonts w:cs="Times New Roman"/>
          <w:kern w:val="0"/>
          <w:szCs w:val="32"/>
        </w:rPr>
        <w:t>充分发挥图书馆、博物馆、文化馆、体育馆等载体传播生态文化的作用，</w:t>
      </w:r>
      <w:r>
        <w:rPr>
          <w:rFonts w:hint="eastAsia" w:cs="Times New Roman"/>
          <w:kern w:val="0"/>
          <w:szCs w:val="32"/>
        </w:rPr>
        <w:t>推动在夔州博物馆、奉节文化馆等</w:t>
      </w:r>
      <w:r>
        <w:rPr>
          <w:rFonts w:cs="Times New Roman"/>
          <w:kern w:val="0"/>
          <w:szCs w:val="32"/>
        </w:rPr>
        <w:t>建设生态文化展示区，提高生态文化基础设施的服务能力和水平。将生态文化融入文化创作、文艺演出、文化惠民等活动中，引导群众关注、支持和参与生态文明建设。</w:t>
      </w:r>
    </w:p>
    <w:p>
      <w:pPr>
        <w:spacing w:line="594" w:lineRule="exact"/>
        <w:jc w:val="left"/>
        <w:rPr>
          <w:rFonts w:cs="Times New Roman"/>
          <w:kern w:val="0"/>
          <w:szCs w:val="32"/>
        </w:rPr>
      </w:pPr>
      <w:r>
        <w:rPr>
          <w:rFonts w:hint="eastAsia" w:cs="Times New Roman"/>
          <w:b/>
          <w:bCs/>
          <w:kern w:val="0"/>
          <w:szCs w:val="32"/>
        </w:rPr>
        <w:t>培育生态文化产业。</w:t>
      </w:r>
      <w:r>
        <w:rPr>
          <w:rFonts w:hint="eastAsia" w:cs="Times New Roman"/>
          <w:kern w:val="0"/>
          <w:szCs w:val="32"/>
        </w:rPr>
        <w:t>以“全域旅游”为引领，以《归来三峡》等特色文化节目为</w:t>
      </w:r>
      <w:r>
        <w:rPr>
          <w:rFonts w:cs="Times New Roman"/>
          <w:kern w:val="0"/>
          <w:szCs w:val="32"/>
        </w:rPr>
        <w:t>载体</w:t>
      </w:r>
      <w:r>
        <w:rPr>
          <w:rFonts w:hint="eastAsia" w:cs="Times New Roman"/>
          <w:kern w:val="0"/>
          <w:szCs w:val="32"/>
        </w:rPr>
        <w:t>，积极发展影视文化制作传播产业</w:t>
      </w:r>
      <w:r>
        <w:rPr>
          <w:rFonts w:cs="Times New Roman"/>
          <w:kern w:val="0"/>
          <w:szCs w:val="32"/>
        </w:rPr>
        <w:t>等项目</w:t>
      </w:r>
      <w:r>
        <w:rPr>
          <w:rFonts w:hint="eastAsia" w:cs="Times New Roman"/>
          <w:kern w:val="0"/>
          <w:szCs w:val="32"/>
        </w:rPr>
        <w:t>，培育新型文化娱乐业态。深化公益性文化事业单位改革，加大政府购买公共文化服务力度，引导社会资本投入公共文化领域。扩大对外文化交流与互动，深化与毗邻地区文化交流合作。</w:t>
      </w:r>
      <w:r>
        <w:rPr>
          <w:rFonts w:cs="Times New Roman"/>
          <w:kern w:val="0"/>
          <w:szCs w:val="32"/>
        </w:rPr>
        <w:t>加强</w:t>
      </w:r>
      <w:r>
        <w:rPr>
          <w:rFonts w:hint="eastAsia" w:cs="Times New Roman"/>
          <w:kern w:val="0"/>
          <w:szCs w:val="32"/>
        </w:rPr>
        <w:t>区域特色文化的研究、传承与创新</w:t>
      </w:r>
      <w:r>
        <w:rPr>
          <w:rFonts w:cs="Times New Roman"/>
          <w:kern w:val="0"/>
          <w:szCs w:val="32"/>
        </w:rPr>
        <w:t>，弘扬诗词文化，唱响三国文化，挖掘本土文化，发展文化旅游业，提高生态文化品位，提升城市软实力。</w:t>
      </w:r>
    </w:p>
    <w:p>
      <w:pPr>
        <w:pStyle w:val="2"/>
        <w:rPr>
          <w:rFonts w:hint="eastAsia"/>
        </w:rPr>
      </w:pPr>
    </w:p>
    <w:p>
      <w:pPr>
        <w:pStyle w:val="5"/>
        <w:numPr>
          <w:ilvl w:val="1"/>
          <w:numId w:val="7"/>
        </w:numPr>
      </w:pPr>
      <w:bookmarkStart w:id="917" w:name="_Toc19256"/>
      <w:bookmarkStart w:id="918" w:name="_Toc27826"/>
      <w:bookmarkStart w:id="919" w:name="_Toc9607"/>
      <w:bookmarkStart w:id="920" w:name="_Toc27978"/>
      <w:bookmarkStart w:id="921" w:name="_Toc14567"/>
      <w:bookmarkStart w:id="922" w:name="_Toc9472"/>
      <w:bookmarkStart w:id="923" w:name="_Toc7469"/>
      <w:bookmarkStart w:id="924" w:name="_Toc30591"/>
      <w:bookmarkStart w:id="925" w:name="_Toc2120"/>
      <w:bookmarkStart w:id="926" w:name="_Toc4738"/>
      <w:bookmarkStart w:id="927" w:name="_Toc5508"/>
      <w:bookmarkStart w:id="928" w:name="_Toc16848"/>
      <w:bookmarkStart w:id="929" w:name="_Toc16325"/>
      <w:bookmarkStart w:id="930" w:name="_Toc30228"/>
      <w:bookmarkStart w:id="931" w:name="_Toc27434"/>
      <w:bookmarkStart w:id="932" w:name="_Toc12321"/>
      <w:bookmarkStart w:id="933" w:name="_Toc29015"/>
      <w:bookmarkStart w:id="934" w:name="_Toc7276"/>
      <w:r>
        <w:rPr>
          <w:rFonts w:hint="eastAsia"/>
        </w:rPr>
        <w:t>倡导绿色生活方式</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pPr>
        <w:pStyle w:val="40"/>
        <w:rPr>
          <w:b/>
          <w:bCs/>
        </w:rPr>
      </w:pPr>
    </w:p>
    <w:p>
      <w:pPr>
        <w:pStyle w:val="40"/>
      </w:pPr>
      <w:r>
        <w:rPr>
          <w:rFonts w:hint="eastAsia"/>
          <w:b/>
          <w:bCs/>
        </w:rPr>
        <w:t>提高政府绿色采购比例。</w:t>
      </w:r>
      <w:r>
        <w:t>贯彻落实政府绿色采购相关法律法规，完善政府优先采购节能环保产品制度，建立地方推广节能产品目录。加大对节能环保产品和环境标志产品支持力度，推动政府、事业单位等公共机构开展绿色采购，做好绿色采购示范</w:t>
      </w:r>
      <w:r>
        <w:rPr>
          <w:rFonts w:hint="eastAsia"/>
        </w:rPr>
        <w:t>，持续稳定保持</w:t>
      </w:r>
      <w:r>
        <w:t>政府绿色采购比例</w:t>
      </w:r>
      <w:r>
        <w:rPr>
          <w:rFonts w:hint="eastAsia"/>
        </w:rPr>
        <w:t>不小于</w:t>
      </w:r>
      <w:r>
        <w:t>80%。</w:t>
      </w:r>
    </w:p>
    <w:p>
      <w:pPr>
        <w:spacing w:line="594" w:lineRule="exact"/>
      </w:pPr>
      <w:r>
        <w:rPr>
          <w:rFonts w:hint="eastAsia"/>
          <w:b/>
          <w:bCs/>
        </w:rPr>
        <w:t>增强绿色消费意识。</w:t>
      </w:r>
      <w:r>
        <w:t>大力倡导实用节约、适度消费、崇尚精神和文化的生态消费方式。制定完善激励绿色消费的政策措施，建立绿色消费服务体系，形成科学、健康、环保的绿色消费模式。积极倡导低碳生活方式，鼓励机关、企事业单位、城乡居民广泛使用节能型家电、节水型设备等绿色产品，限制一次性用品的使用，限制过度包装。推广绿色低碳出行，鼓励个人购买新能源、小排量等节能环保型汽车。</w:t>
      </w:r>
    </w:p>
    <w:p>
      <w:pPr>
        <w:spacing w:line="594" w:lineRule="exact"/>
      </w:pPr>
      <w:r>
        <w:rPr>
          <w:rFonts w:hint="eastAsia"/>
          <w:b/>
          <w:bCs/>
        </w:rPr>
        <w:t>推广节能节水器具。</w:t>
      </w:r>
      <w:r>
        <w:t>完善城镇市政照明智能化控制系统，加快城镇市政道路、景观照明和隧道的LED等高效照明产品推广。加强机关事业单位日常节能管理，抓住关键用能领域，推进公共机构开展供配电系统、空调系统、电梯、照明、燃气设备等节能改造和使用节能设备。对现有建筑实施节能改造，鼓励新建居住建筑积极安装节能灯具、节水器具</w:t>
      </w:r>
      <w:r>
        <w:rPr>
          <w:rFonts w:hint="eastAsia"/>
        </w:rPr>
        <w:t>。</w:t>
      </w:r>
    </w:p>
    <w:p>
      <w:pPr>
        <w:pStyle w:val="2"/>
        <w:rPr>
          <w:rFonts w:hint="eastAsia"/>
        </w:rPr>
      </w:pPr>
    </w:p>
    <w:p>
      <w:pPr>
        <w:pStyle w:val="5"/>
        <w:numPr>
          <w:ilvl w:val="1"/>
          <w:numId w:val="7"/>
        </w:numPr>
        <w:rPr>
          <w:rFonts w:ascii="方正楷体_GBK"/>
        </w:rPr>
      </w:pPr>
      <w:bookmarkStart w:id="935" w:name="_Toc266"/>
      <w:bookmarkStart w:id="936" w:name="_Toc19571"/>
      <w:bookmarkStart w:id="937" w:name="_Toc5742"/>
      <w:bookmarkStart w:id="938" w:name="_Toc11764"/>
      <w:bookmarkStart w:id="939" w:name="_Toc10937"/>
      <w:bookmarkStart w:id="940" w:name="_Toc26303"/>
      <w:bookmarkStart w:id="941" w:name="_Toc4107"/>
      <w:bookmarkStart w:id="942" w:name="_Toc2466"/>
      <w:bookmarkStart w:id="943" w:name="_Toc13755"/>
      <w:bookmarkStart w:id="944" w:name="_Toc1710"/>
      <w:bookmarkStart w:id="945" w:name="_Toc6963"/>
      <w:bookmarkStart w:id="946" w:name="_Toc11769"/>
      <w:bookmarkStart w:id="947" w:name="_Toc19652"/>
      <w:bookmarkStart w:id="948" w:name="_Toc15699"/>
      <w:bookmarkStart w:id="949" w:name="_Toc3025"/>
      <w:bookmarkStart w:id="950" w:name="_Toc28748"/>
      <w:bookmarkStart w:id="951" w:name="_Toc16854"/>
      <w:bookmarkStart w:id="952" w:name="_Toc3984"/>
      <w:r>
        <w:rPr>
          <w:rFonts w:hint="eastAsia" w:ascii="方正楷体_GBK"/>
        </w:rPr>
        <w:t>共建共享生态文明</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pPr>
        <w:spacing w:line="594" w:lineRule="exact"/>
        <w:rPr>
          <w:b/>
          <w:bCs/>
        </w:rPr>
      </w:pPr>
    </w:p>
    <w:p>
      <w:pPr>
        <w:pStyle w:val="40"/>
      </w:pPr>
      <w:r>
        <w:rPr>
          <w:rFonts w:hint="eastAsia"/>
          <w:b/>
          <w:bCs/>
        </w:rPr>
        <w:t>全面推动公众参与。</w:t>
      </w:r>
      <w:r>
        <w:t>严格落实《环境保护公众参与办法》，搭建生态保护公众参与</w:t>
      </w:r>
      <w:r>
        <w:rPr>
          <w:rFonts w:hint="eastAsia"/>
        </w:rPr>
        <w:t>互动</w:t>
      </w:r>
      <w:r>
        <w:t>平台，畅通参与渠道，丰富参与方式，鼓励发展群众性环保监督组织，广泛吸纳专业力量参与环境保护。积极推进环境决策、环境监督及环境影响评价等重点领域公众参与，编制环境影响报告书要充分征求意见，公开有关内容。执行重大敏感项目社会稳定风险评估制度，完善环境信访投诉办理制度，鼓励和引导公众对环境污染、生态破坏以及未依法履行环境保护监督管理职责的行为进行举报。</w:t>
      </w:r>
    </w:p>
    <w:p>
      <w:pPr>
        <w:spacing w:line="594" w:lineRule="exact"/>
        <w:rPr>
          <w:rFonts w:cs="Times New Roman"/>
          <w:szCs w:val="32"/>
        </w:rPr>
      </w:pPr>
      <w:r>
        <w:rPr>
          <w:rFonts w:hint="eastAsia"/>
          <w:b/>
          <w:bCs/>
        </w:rPr>
        <w:t>持续提升公众满意度。</w:t>
      </w:r>
      <w:r>
        <w:t>加强环境信访投诉办理制度建设，完善信访、环保、公安等多部门联动机制和案件移送机制，推进有奖举报制度。全力保障</w:t>
      </w:r>
      <w:r>
        <w:rPr>
          <w:rFonts w:hint="eastAsia" w:ascii="方正仿宋_GBK"/>
        </w:rPr>
        <w:t>“</w:t>
      </w:r>
      <w:r>
        <w:t>123</w:t>
      </w:r>
      <w:r>
        <w:rPr>
          <w:rFonts w:hint="eastAsia"/>
        </w:rPr>
        <w:t>45</w:t>
      </w:r>
      <w:r>
        <w:rPr>
          <w:rFonts w:hint="eastAsia" w:ascii="方正仿宋_GBK"/>
        </w:rPr>
        <w:t>”政务服务热线</w:t>
      </w:r>
      <w:r>
        <w:rPr>
          <w:rFonts w:ascii="方正仿宋_GBK"/>
        </w:rPr>
        <w:t>畅通</w:t>
      </w:r>
      <w:r>
        <w:t>，及时处理与答复群众举报、投诉，对重点投诉进行跟踪回访，确保群众反映的问题</w:t>
      </w:r>
      <w:r>
        <w:rPr>
          <w:rFonts w:hint="eastAsia" w:ascii="方正仿宋_GBK"/>
        </w:rPr>
        <w:t>“</w:t>
      </w:r>
      <w:r>
        <w:t>事事有回音，件件有落实</w:t>
      </w:r>
      <w:r>
        <w:rPr>
          <w:rFonts w:hint="eastAsia" w:ascii="方正仿宋_GBK"/>
        </w:rPr>
        <w:t>”</w:t>
      </w:r>
      <w:r>
        <w:t>。按照</w:t>
      </w:r>
      <w:r>
        <w:rPr>
          <w:rFonts w:hint="eastAsia" w:ascii="方正仿宋_GBK"/>
        </w:rPr>
        <w:t>“</w:t>
      </w:r>
      <w:r>
        <w:t>属地管理、分级负责、分类办理</w:t>
      </w:r>
      <w:r>
        <w:rPr>
          <w:rFonts w:hint="eastAsia" w:ascii="方正仿宋_GBK"/>
        </w:rPr>
        <w:t>”</w:t>
      </w:r>
      <w:r>
        <w:t>的原则，强化生态环境矛盾纠纷排查和处理，切实解决好损害群众健康的突出环境问题，确保问题处理率达100%</w:t>
      </w:r>
      <w:r>
        <w:rPr>
          <w:rFonts w:hint="eastAsia" w:cs="Times New Roman"/>
          <w:szCs w:val="32"/>
        </w:rPr>
        <w:t>，持续保持公众对生态文明建设的满意度不小于80%。</w:t>
      </w:r>
    </w:p>
    <w:p>
      <w:pPr>
        <w:pStyle w:val="2"/>
        <w:sectPr>
          <w:pgSz w:w="11906" w:h="16838"/>
          <w:pgMar w:top="2098" w:right="1474" w:bottom="1984" w:left="1587" w:header="851" w:footer="1474" w:gutter="0"/>
          <w:cols w:space="720" w:num="1"/>
          <w:docGrid w:type="lines" w:linePitch="439" w:charSpace="0"/>
        </w:sectPr>
      </w:pPr>
    </w:p>
    <w:p>
      <w:pPr>
        <w:pStyle w:val="5"/>
        <w:numPr>
          <w:ilvl w:val="1"/>
          <w:numId w:val="7"/>
        </w:numPr>
        <w:rPr>
          <w:rFonts w:ascii="方正楷体_GBK"/>
        </w:rPr>
      </w:pPr>
      <w:bookmarkStart w:id="953" w:name="_Toc30582"/>
      <w:bookmarkStart w:id="954" w:name="_Toc3286"/>
      <w:bookmarkStart w:id="955" w:name="_Toc28169"/>
      <w:bookmarkStart w:id="956" w:name="_Toc23631"/>
      <w:bookmarkStart w:id="957" w:name="_Toc7136"/>
      <w:bookmarkStart w:id="958" w:name="_Toc422"/>
      <w:bookmarkStart w:id="959" w:name="_Toc10596"/>
      <w:bookmarkStart w:id="960" w:name="_Toc28785"/>
      <w:bookmarkStart w:id="961" w:name="_Toc2253"/>
      <w:bookmarkStart w:id="962" w:name="_Toc30611"/>
      <w:bookmarkStart w:id="963" w:name="_Toc19293"/>
      <w:bookmarkStart w:id="964" w:name="_Toc5660"/>
      <w:bookmarkStart w:id="965" w:name="_Toc12472"/>
      <w:bookmarkStart w:id="966" w:name="_Toc4325"/>
      <w:bookmarkStart w:id="967" w:name="_Toc9864"/>
      <w:bookmarkStart w:id="968" w:name="_Toc649"/>
      <w:bookmarkStart w:id="969" w:name="_Toc21985"/>
      <w:bookmarkStart w:id="970" w:name="_Toc13049"/>
      <w:r>
        <w:rPr>
          <w:rFonts w:hint="eastAsia" w:ascii="方正楷体_GBK"/>
        </w:rPr>
        <w:t>夯实生态细胞工程</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pPr>
        <w:spacing w:line="594" w:lineRule="exact"/>
        <w:rPr>
          <w:b/>
          <w:bCs/>
        </w:rPr>
      </w:pPr>
    </w:p>
    <w:p>
      <w:pPr>
        <w:spacing w:line="594" w:lineRule="exact"/>
      </w:pPr>
      <w:r>
        <w:rPr>
          <w:rFonts w:hint="eastAsia"/>
          <w:b/>
          <w:bCs/>
        </w:rPr>
        <w:t>推进市级生态文明建设示范乡镇</w:t>
      </w:r>
      <w:r>
        <w:rPr>
          <w:b/>
          <w:bCs/>
        </w:rPr>
        <w:t>（街道）</w:t>
      </w:r>
      <w:r>
        <w:rPr>
          <w:rFonts w:hint="eastAsia"/>
          <w:b/>
          <w:bCs/>
        </w:rPr>
        <w:t>建设。</w:t>
      </w:r>
      <w:r>
        <w:rPr>
          <w:rFonts w:hint="eastAsia"/>
        </w:rPr>
        <w:t>进一步巩固和扩大生态文明建设“细胞工程”建设成果，积极推进市级生态文明建设示范乡镇（街道）创建工作，到2</w:t>
      </w:r>
      <w:r>
        <w:t>022</w:t>
      </w:r>
      <w:r>
        <w:rPr>
          <w:rFonts w:hint="eastAsia"/>
        </w:rPr>
        <w:t>年，全县创成1</w:t>
      </w:r>
      <w:r>
        <w:t>7</w:t>
      </w:r>
      <w:r>
        <w:rPr>
          <w:rFonts w:hint="eastAsia"/>
        </w:rPr>
        <w:t>个市级生态文明建设示范乡镇（街道），市级</w:t>
      </w:r>
      <w:r>
        <w:rPr>
          <w:rFonts w:cs="Times New Roman"/>
          <w:kern w:val="0"/>
        </w:rPr>
        <w:t>生态文明建设示范</w:t>
      </w:r>
      <w:r>
        <w:rPr>
          <w:rFonts w:hint="eastAsia" w:cs="Times New Roman"/>
          <w:kern w:val="0"/>
        </w:rPr>
        <w:t>乡镇（街道）</w:t>
      </w:r>
      <w:r>
        <w:rPr>
          <w:rFonts w:cs="Times New Roman"/>
          <w:kern w:val="0"/>
        </w:rPr>
        <w:t>占比达到50%</w:t>
      </w:r>
      <w:r>
        <w:rPr>
          <w:rFonts w:hint="eastAsia"/>
        </w:rPr>
        <w:t>。</w:t>
      </w:r>
    </w:p>
    <w:p>
      <w:pPr>
        <w:pStyle w:val="40"/>
        <w:sectPr>
          <w:pgSz w:w="11906" w:h="16838"/>
          <w:pgMar w:top="2098" w:right="1474" w:bottom="1984" w:left="1587" w:header="851" w:footer="1474" w:gutter="0"/>
          <w:cols w:space="720" w:num="1"/>
          <w:docGrid w:type="lines" w:linePitch="439" w:charSpace="0"/>
        </w:sectPr>
      </w:pPr>
      <w:r>
        <w:rPr>
          <w:rFonts w:hint="eastAsia"/>
          <w:b/>
          <w:bCs/>
        </w:rPr>
        <w:t>深化群众性生态文明建设创建。</w:t>
      </w:r>
      <w:r>
        <w:t>以国家生态文明建设示范县</w:t>
      </w:r>
      <w:r>
        <w:rPr>
          <w:rFonts w:hint="eastAsia"/>
        </w:rPr>
        <w:t>建设</w:t>
      </w:r>
      <w:r>
        <w:t>为契机，</w:t>
      </w:r>
      <w:r>
        <w:rPr>
          <w:rFonts w:hint="eastAsia"/>
        </w:rPr>
        <w:t>持续推进</w:t>
      </w:r>
      <w:r>
        <w:t>生态文明</w:t>
      </w:r>
      <w:r>
        <w:rPr>
          <w:rFonts w:hint="eastAsia" w:ascii="方正仿宋_GBK"/>
        </w:rPr>
        <w:t>“</w:t>
      </w:r>
      <w:r>
        <w:t>十进</w:t>
      </w:r>
      <w:r>
        <w:rPr>
          <w:rFonts w:hint="eastAsia" w:ascii="方正仿宋_GBK"/>
        </w:rPr>
        <w:t>”“</w:t>
      </w:r>
      <w:r>
        <w:t>十创</w:t>
      </w:r>
      <w:r>
        <w:rPr>
          <w:rFonts w:hint="eastAsia" w:ascii="方正仿宋_GBK"/>
        </w:rPr>
        <w:t>”等共建共享活动</w:t>
      </w:r>
      <w:r>
        <w:rPr>
          <w:rFonts w:ascii="方正仿宋_GBK"/>
        </w:rPr>
        <w:t>。</w:t>
      </w:r>
      <w:r>
        <w:t>积极推进绿色机关、绿色企业</w:t>
      </w:r>
      <w:r>
        <w:rPr>
          <w:rFonts w:hint="eastAsia"/>
        </w:rPr>
        <w:t>、绿色园区</w:t>
      </w:r>
      <w:r>
        <w:t>等创建工作，巩固或创建绿色社区、绿色校园，倡导崇尚自然、节约资源、减少污染、保护环境的社会新风尚，将生态文明渗透到社会生活各个方面。</w:t>
      </w:r>
      <w:r>
        <w:rPr>
          <w:rFonts w:hint="eastAsia" w:cs="Times New Roman"/>
        </w:rPr>
        <w:t>积极开展生态环境教育基地建设，立足奉节长江上游屏障定位，积极申报具有奉节特色的生态环境教育基地，为打造“绿满夔州·花漾奉节”添薪助火。</w:t>
      </w:r>
    </w:p>
    <w:p>
      <w:pPr>
        <w:pStyle w:val="4"/>
        <w:spacing w:line="594" w:lineRule="exact"/>
        <w:ind w:left="0"/>
      </w:pPr>
      <w:bookmarkStart w:id="971" w:name="_Toc855"/>
      <w:bookmarkStart w:id="972" w:name="_Toc17761"/>
      <w:bookmarkStart w:id="973" w:name="_Toc8052"/>
      <w:bookmarkStart w:id="974" w:name="_Toc6729"/>
      <w:bookmarkStart w:id="975" w:name="_Toc22818"/>
      <w:bookmarkStart w:id="976" w:name="_Toc4933"/>
      <w:bookmarkStart w:id="977" w:name="_Toc27625"/>
      <w:bookmarkStart w:id="978" w:name="_Toc10297"/>
      <w:bookmarkStart w:id="979" w:name="_Toc2345"/>
      <w:bookmarkStart w:id="980" w:name="_Toc16763"/>
      <w:bookmarkStart w:id="981" w:name="_Toc29537"/>
      <w:bookmarkStart w:id="982" w:name="_Toc12235"/>
      <w:bookmarkStart w:id="983" w:name="_Toc3261"/>
      <w:bookmarkStart w:id="984" w:name="_Toc16198"/>
      <w:bookmarkStart w:id="985" w:name="_Toc30574"/>
      <w:bookmarkStart w:id="986" w:name="_Toc31987"/>
      <w:bookmarkStart w:id="987" w:name="_Toc13623"/>
      <w:bookmarkStart w:id="988" w:name="_Toc3745"/>
      <w:r>
        <w:t>重点工程及</w:t>
      </w:r>
      <w:r>
        <w:rPr>
          <w:rFonts w:hint="eastAsia"/>
        </w:rPr>
        <w:t>效益分析</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p>
      <w:pPr>
        <w:pStyle w:val="5"/>
        <w:numPr>
          <w:ilvl w:val="1"/>
          <w:numId w:val="7"/>
        </w:numPr>
      </w:pPr>
      <w:bookmarkStart w:id="989" w:name="_Toc1741"/>
      <w:bookmarkStart w:id="990" w:name="_Toc28776"/>
      <w:bookmarkStart w:id="991" w:name="_Toc20398"/>
      <w:bookmarkStart w:id="992" w:name="_Toc22076"/>
      <w:bookmarkStart w:id="993" w:name="_Toc21328"/>
      <w:bookmarkStart w:id="994" w:name="_Toc14284"/>
      <w:bookmarkStart w:id="995" w:name="_Toc992"/>
      <w:bookmarkStart w:id="996" w:name="_Toc12240"/>
      <w:bookmarkStart w:id="997" w:name="_Toc13083"/>
      <w:bookmarkStart w:id="998" w:name="_Toc25067"/>
      <w:bookmarkStart w:id="999" w:name="_Toc1598"/>
      <w:bookmarkStart w:id="1000" w:name="_Toc22329"/>
      <w:bookmarkStart w:id="1001" w:name="_Toc29492"/>
      <w:bookmarkStart w:id="1002" w:name="_Toc28257"/>
      <w:bookmarkStart w:id="1003" w:name="_Toc14395"/>
      <w:bookmarkStart w:id="1004" w:name="_Toc25528"/>
      <w:bookmarkStart w:id="1005" w:name="_Toc20455"/>
      <w:bookmarkStart w:id="1006" w:name="_Toc20923"/>
      <w:r>
        <w:rPr>
          <w:rFonts w:hint="eastAsia"/>
        </w:rPr>
        <w:t>重点工程</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pPr>
        <w:pStyle w:val="40"/>
      </w:pPr>
    </w:p>
    <w:p>
      <w:pPr>
        <w:pStyle w:val="40"/>
      </w:pPr>
      <w:r>
        <w:t>本《规划》</w:t>
      </w:r>
      <w:r>
        <w:rPr>
          <w:rFonts w:hint="eastAsia"/>
        </w:rPr>
        <w:t>围绕重点指标、重点领域和主要任务，从改善生态环境、筑牢生态安全屏障、发展生态经济、优化生态人居环境、培育生态文化五大领域</w:t>
      </w:r>
      <w:r>
        <w:t>共策划</w:t>
      </w:r>
      <w:r>
        <w:rPr>
          <w:rFonts w:hint="eastAsia"/>
        </w:rPr>
        <w:t>37项工程，</w:t>
      </w:r>
      <w:r>
        <w:t>其中，</w:t>
      </w:r>
      <w:r>
        <w:rPr>
          <w:rFonts w:hint="eastAsia"/>
        </w:rPr>
        <w:t>环境</w:t>
      </w:r>
      <w:r>
        <w:t>改善领域5项、生态安全领域12项、</w:t>
      </w:r>
      <w:r>
        <w:rPr>
          <w:rFonts w:hint="eastAsia"/>
        </w:rPr>
        <w:t>生态经济</w:t>
      </w:r>
      <w:r>
        <w:t>领域5项、</w:t>
      </w:r>
      <w:r>
        <w:rPr>
          <w:rFonts w:hint="eastAsia"/>
        </w:rPr>
        <w:t>人居环境</w:t>
      </w:r>
      <w:r>
        <w:t>领域12项、</w:t>
      </w:r>
      <w:r>
        <w:rPr>
          <w:rFonts w:hint="eastAsia"/>
        </w:rPr>
        <w:t>生态文化</w:t>
      </w:r>
      <w:r>
        <w:t>领域3项。</w:t>
      </w:r>
      <w:r>
        <w:rPr>
          <w:rFonts w:hint="eastAsia"/>
        </w:rPr>
        <w:t>部分项目已纳入奉节县“十四五”重大项目库。</w:t>
      </w:r>
    </w:p>
    <w:p>
      <w:pPr>
        <w:pStyle w:val="40"/>
      </w:pPr>
    </w:p>
    <w:p>
      <w:pPr>
        <w:pStyle w:val="5"/>
        <w:numPr>
          <w:ilvl w:val="1"/>
          <w:numId w:val="7"/>
        </w:numPr>
        <w:rPr>
          <w:rFonts w:ascii="方正楷体_GBK"/>
        </w:rPr>
      </w:pPr>
      <w:bookmarkStart w:id="1007" w:name="_Toc20905"/>
      <w:bookmarkStart w:id="1008" w:name="_Toc13942"/>
      <w:bookmarkStart w:id="1009" w:name="_Toc23216"/>
      <w:bookmarkStart w:id="1010" w:name="_Toc12894"/>
      <w:bookmarkStart w:id="1011" w:name="_Toc32418"/>
      <w:bookmarkStart w:id="1012" w:name="_Toc21265"/>
      <w:bookmarkStart w:id="1013" w:name="_Toc20580"/>
      <w:bookmarkStart w:id="1014" w:name="_Toc10787"/>
      <w:bookmarkStart w:id="1015" w:name="_Toc16713"/>
      <w:bookmarkStart w:id="1016" w:name="_Toc2314"/>
      <w:bookmarkStart w:id="1017" w:name="_Toc14996"/>
      <w:bookmarkStart w:id="1018" w:name="_Toc271"/>
      <w:bookmarkStart w:id="1019" w:name="_Toc21130"/>
      <w:bookmarkStart w:id="1020" w:name="_Toc22951"/>
      <w:bookmarkStart w:id="1021" w:name="_Toc16734"/>
      <w:bookmarkStart w:id="1022" w:name="_Toc16077"/>
      <w:bookmarkStart w:id="1023" w:name="_Toc27702"/>
      <w:bookmarkStart w:id="1024" w:name="_Toc7198"/>
      <w:r>
        <w:rPr>
          <w:rFonts w:hint="eastAsia" w:ascii="方正楷体_GBK"/>
        </w:rPr>
        <w:t>资金筹措</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pPr>
        <w:adjustRightInd w:val="0"/>
        <w:snapToGrid w:val="0"/>
        <w:spacing w:line="594" w:lineRule="exact"/>
        <w:rPr>
          <w:rFonts w:cs="Times New Roman"/>
          <w:kern w:val="0"/>
          <w:szCs w:val="32"/>
        </w:rPr>
      </w:pPr>
    </w:p>
    <w:p>
      <w:pPr>
        <w:adjustRightInd w:val="0"/>
        <w:snapToGrid w:val="0"/>
        <w:spacing w:line="594" w:lineRule="exact"/>
        <w:rPr>
          <w:rFonts w:cs="Times New Roman"/>
          <w:kern w:val="0"/>
          <w:szCs w:val="32"/>
        </w:rPr>
      </w:pPr>
      <w:r>
        <w:rPr>
          <w:rFonts w:cs="Times New Roman"/>
          <w:kern w:val="0"/>
          <w:szCs w:val="32"/>
        </w:rPr>
        <w:t>生态文明示范</w:t>
      </w:r>
      <w:r>
        <w:rPr>
          <w:rFonts w:hint="eastAsia" w:cs="Times New Roman"/>
          <w:kern w:val="0"/>
          <w:szCs w:val="32"/>
        </w:rPr>
        <w:t>县</w:t>
      </w:r>
      <w:r>
        <w:rPr>
          <w:rFonts w:cs="Times New Roman"/>
          <w:kern w:val="0"/>
          <w:szCs w:val="32"/>
        </w:rPr>
        <w:t>创建作为一项涉及</w:t>
      </w:r>
      <w:r>
        <w:rPr>
          <w:rFonts w:hint="eastAsia" w:cs="Times New Roman"/>
          <w:kern w:val="0"/>
          <w:szCs w:val="32"/>
        </w:rPr>
        <w:t>全县</w:t>
      </w:r>
      <w:r>
        <w:rPr>
          <w:rFonts w:cs="Times New Roman"/>
          <w:kern w:val="0"/>
          <w:szCs w:val="32"/>
        </w:rPr>
        <w:t>各个领域的系统工程，</w:t>
      </w:r>
      <w:r>
        <w:rPr>
          <w:rFonts w:hint="eastAsia" w:cs="Times New Roman"/>
          <w:kern w:val="0"/>
          <w:szCs w:val="32"/>
        </w:rPr>
        <w:t>37个重点工程项目累计资金约67</w:t>
      </w:r>
      <w:r>
        <w:rPr>
          <w:rFonts w:cs="Times New Roman"/>
          <w:kern w:val="0"/>
          <w:szCs w:val="32"/>
        </w:rPr>
        <w:t>.00</w:t>
      </w:r>
      <w:r>
        <w:rPr>
          <w:rFonts w:hint="eastAsia" w:cs="Times New Roman"/>
          <w:kern w:val="0"/>
          <w:szCs w:val="32"/>
        </w:rPr>
        <w:t>亿元。在推进生态文明建设进程中，各</w:t>
      </w:r>
      <w:r>
        <w:rPr>
          <w:rFonts w:cs="Times New Roman"/>
          <w:kern w:val="0"/>
          <w:szCs w:val="32"/>
        </w:rPr>
        <w:t>项目</w:t>
      </w:r>
      <w:r>
        <w:rPr>
          <w:rFonts w:hint="eastAsia" w:cs="Times New Roman"/>
          <w:kern w:val="0"/>
          <w:szCs w:val="32"/>
        </w:rPr>
        <w:t>牵头单位</w:t>
      </w:r>
      <w:r>
        <w:rPr>
          <w:rFonts w:cs="Times New Roman"/>
          <w:kern w:val="0"/>
          <w:szCs w:val="32"/>
        </w:rPr>
        <w:t>应坚持多渠道筹措资金，</w:t>
      </w:r>
      <w:r>
        <w:rPr>
          <w:rFonts w:cs="Times New Roman"/>
          <w:szCs w:val="32"/>
        </w:rPr>
        <w:t>以财政拨款、地方自筹、申请上级政府拨款、银行贷款为主。</w:t>
      </w:r>
      <w:r>
        <w:rPr>
          <w:rFonts w:cs="Times New Roman"/>
          <w:kern w:val="0"/>
          <w:szCs w:val="32"/>
        </w:rPr>
        <w:t>全社会各尽所能，市场化滚动发展，保证重点项目建设顺利进行。</w:t>
      </w:r>
    </w:p>
    <w:p>
      <w:pPr>
        <w:pStyle w:val="34"/>
        <w:numPr>
          <w:ilvl w:val="0"/>
          <w:numId w:val="0"/>
        </w:numPr>
        <w:ind w:left="2469"/>
      </w:pPr>
    </w:p>
    <w:p>
      <w:pPr>
        <w:pStyle w:val="5"/>
        <w:numPr>
          <w:ilvl w:val="1"/>
          <w:numId w:val="7"/>
        </w:numPr>
        <w:rPr>
          <w:rFonts w:ascii="方正楷体_GBK"/>
        </w:rPr>
      </w:pPr>
      <w:bookmarkStart w:id="1025" w:name="_Toc16908"/>
      <w:bookmarkStart w:id="1026" w:name="_Toc23072"/>
      <w:bookmarkStart w:id="1027" w:name="_Toc28"/>
      <w:bookmarkStart w:id="1028" w:name="_Toc32663"/>
      <w:bookmarkStart w:id="1029" w:name="_Toc20918"/>
      <w:bookmarkStart w:id="1030" w:name="_Toc27383"/>
      <w:bookmarkStart w:id="1031" w:name="_Toc1060"/>
      <w:bookmarkStart w:id="1032" w:name="_Toc3979"/>
      <w:bookmarkStart w:id="1033" w:name="_Toc24211"/>
      <w:bookmarkStart w:id="1034" w:name="_Toc27854"/>
      <w:bookmarkStart w:id="1035" w:name="_Toc7919"/>
      <w:bookmarkStart w:id="1036" w:name="_Toc27602"/>
      <w:bookmarkStart w:id="1037" w:name="_Toc4322"/>
      <w:r>
        <w:rPr>
          <w:rFonts w:hint="eastAsia" w:ascii="方正楷体_GBK"/>
        </w:rPr>
        <w:t>效益分析</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pPr>
        <w:adjustRightInd w:val="0"/>
        <w:snapToGrid w:val="0"/>
        <w:spacing w:line="594" w:lineRule="exact"/>
        <w:rPr>
          <w:rFonts w:cs="Times New Roman"/>
          <w:kern w:val="0"/>
          <w:szCs w:val="32"/>
        </w:rPr>
      </w:pPr>
    </w:p>
    <w:p>
      <w:pPr>
        <w:adjustRightInd w:val="0"/>
        <w:snapToGrid w:val="0"/>
        <w:spacing w:line="594" w:lineRule="exact"/>
        <w:rPr>
          <w:rFonts w:cs="Times New Roman"/>
          <w:kern w:val="0"/>
          <w:szCs w:val="32"/>
        </w:rPr>
      </w:pPr>
      <w:r>
        <w:rPr>
          <w:rFonts w:cs="Times New Roman"/>
          <w:b/>
          <w:kern w:val="0"/>
          <w:szCs w:val="32"/>
        </w:rPr>
        <w:t>环境效益。</w:t>
      </w:r>
      <w:r>
        <w:rPr>
          <w:rFonts w:cs="Times New Roman"/>
          <w:kern w:val="0"/>
          <w:szCs w:val="32"/>
        </w:rPr>
        <w:t>推进生态文明示范县建设，始终坚持山水林田湖草</w:t>
      </w:r>
      <w:r>
        <w:rPr>
          <w:rFonts w:hint="eastAsia" w:cs="Times New Roman"/>
          <w:kern w:val="0"/>
          <w:szCs w:val="32"/>
          <w:lang w:eastAsia="zh-CN"/>
        </w:rPr>
        <w:t>是</w:t>
      </w:r>
      <w:r>
        <w:rPr>
          <w:rFonts w:cs="Times New Roman"/>
          <w:kern w:val="0"/>
          <w:szCs w:val="32"/>
        </w:rPr>
        <w:t>一个生命共同体，统筹兼顾、整体施策、多措并举，全方位、全地域、全过程开创新时代生态文明建设新局面，不再是头痛医头、脚痛医脚，各管一摊、相互掣肘。在水环境方面，全面统筹左右岸、上下游、陆上水上、地表地下、水生态水资源、污染防治与生态保护，持续推进城乡水环境基础设施建设和水生态保护与修复工程的实施，保障地表水、地下水、饮用水水质全面达标。在大气环境方面，抓好工业、交通、</w:t>
      </w:r>
      <w:r>
        <w:rPr>
          <w:rFonts w:hint="eastAsia" w:cs="Times New Roman"/>
          <w:kern w:val="0"/>
          <w:szCs w:val="32"/>
        </w:rPr>
        <w:t>建筑</w:t>
      </w:r>
      <w:r>
        <w:rPr>
          <w:rFonts w:cs="Times New Roman"/>
          <w:kern w:val="0"/>
          <w:szCs w:val="32"/>
        </w:rPr>
        <w:t>、生活等</w:t>
      </w:r>
      <w:r>
        <w:rPr>
          <w:rFonts w:hint="eastAsia" w:cs="Times New Roman"/>
          <w:kern w:val="0"/>
          <w:szCs w:val="32"/>
        </w:rPr>
        <w:t>各个</w:t>
      </w:r>
      <w:r>
        <w:rPr>
          <w:rFonts w:cs="Times New Roman"/>
          <w:kern w:val="0"/>
          <w:szCs w:val="32"/>
        </w:rPr>
        <w:t>污染源控制，持续推进全县环境空气质量保持稳定。在生态保护修复方面，深入实施山水林田湖草一体化生态保护和修复，开展国土绿化行动，加快水土流失和荒漠化石漠化综合治理，确保森林覆盖率保持稳定，湿地系统得到有效保护，生物多样性得到较好保护和改善，自然生态系统的承载能力得到提升，国家重点生态功能区的生态环境质量监测评价与考核结果达到相关要求。</w:t>
      </w:r>
    </w:p>
    <w:p>
      <w:pPr>
        <w:adjustRightInd w:val="0"/>
        <w:snapToGrid w:val="0"/>
        <w:spacing w:line="594" w:lineRule="exact"/>
        <w:rPr>
          <w:rFonts w:cs="Times New Roman"/>
          <w:kern w:val="0"/>
          <w:szCs w:val="32"/>
        </w:rPr>
      </w:pPr>
      <w:r>
        <w:rPr>
          <w:rFonts w:cs="Times New Roman"/>
          <w:b/>
          <w:kern w:val="0"/>
          <w:szCs w:val="32"/>
        </w:rPr>
        <w:t>经济效益</w:t>
      </w:r>
      <w:r>
        <w:rPr>
          <w:rFonts w:hint="eastAsia" w:cs="Times New Roman"/>
          <w:b/>
          <w:kern w:val="0"/>
          <w:szCs w:val="32"/>
        </w:rPr>
        <w:t>。</w:t>
      </w:r>
      <w:r>
        <w:rPr>
          <w:rFonts w:cs="Times New Roman"/>
          <w:kern w:val="0"/>
          <w:szCs w:val="32"/>
        </w:rPr>
        <w:t>推进生态文明示范县建设，始终坚持生态优先推进绿色发展，为奉节推动减污降碳协同增效、促进经济社会发展全面绿色转型提供了契机。推动产业结构、能源结构、交通运输结构持续优化，光伏、风能装机容量、发电量稳步增长</w:t>
      </w:r>
      <w:r>
        <w:rPr>
          <w:rFonts w:hint="eastAsia" w:cs="Times New Roman"/>
          <w:kern w:val="0"/>
          <w:szCs w:val="32"/>
        </w:rPr>
        <w:t>，</w:t>
      </w:r>
      <w:r>
        <w:rPr>
          <w:rFonts w:cs="Times New Roman"/>
          <w:kern w:val="0"/>
          <w:szCs w:val="32"/>
        </w:rPr>
        <w:t>生态与人文的发展潜力充分释放，经济结构更加优化，为着力打造</w:t>
      </w:r>
      <w:r>
        <w:rPr>
          <w:rFonts w:hint="eastAsia" w:ascii="方正仿宋_GBK" w:cs="方正仿宋_GBK"/>
          <w:kern w:val="0"/>
          <w:szCs w:val="32"/>
        </w:rPr>
        <w:t>“世界级旅游目的地、奉节脐橙中国典范、奉节眼镜重庆名片、区域性消费中心城市”</w:t>
      </w:r>
      <w:r>
        <w:rPr>
          <w:rFonts w:ascii="方正仿宋_GBK" w:cs="方正仿宋_GBK"/>
          <w:kern w:val="0"/>
          <w:szCs w:val="32"/>
        </w:rPr>
        <w:t>，</w:t>
      </w:r>
      <w:r>
        <w:rPr>
          <w:rFonts w:cs="Times New Roman"/>
          <w:kern w:val="0"/>
          <w:szCs w:val="32"/>
        </w:rPr>
        <w:t>全面形成美丽经济发展体系增强内生动力。</w:t>
      </w:r>
    </w:p>
    <w:p>
      <w:pPr>
        <w:adjustRightInd w:val="0"/>
        <w:snapToGrid w:val="0"/>
        <w:spacing w:line="594" w:lineRule="exact"/>
        <w:rPr>
          <w:rFonts w:cs="Times New Roman"/>
          <w:kern w:val="0"/>
          <w:szCs w:val="32"/>
        </w:rPr>
        <w:sectPr>
          <w:pgSz w:w="11906" w:h="16838"/>
          <w:pgMar w:top="2098" w:right="1474" w:bottom="1984" w:left="1587" w:header="851" w:footer="1474" w:gutter="0"/>
          <w:cols w:space="720" w:num="1"/>
          <w:docGrid w:type="lines" w:linePitch="312" w:charSpace="0"/>
        </w:sectPr>
      </w:pPr>
      <w:r>
        <w:rPr>
          <w:rFonts w:cs="Times New Roman"/>
          <w:b/>
          <w:kern w:val="0"/>
          <w:szCs w:val="32"/>
        </w:rPr>
        <w:t>社会效益</w:t>
      </w:r>
      <w:r>
        <w:rPr>
          <w:rFonts w:hint="eastAsia" w:cs="Times New Roman"/>
          <w:b/>
          <w:kern w:val="0"/>
          <w:szCs w:val="32"/>
        </w:rPr>
        <w:t>。</w:t>
      </w:r>
      <w:r>
        <w:rPr>
          <w:rFonts w:cs="Times New Roman"/>
          <w:kern w:val="0"/>
          <w:szCs w:val="32"/>
        </w:rPr>
        <w:t>推进生态文明示范县建设，各类基础设施不断完善，环境清洁程度提高，人居环境条件明显改善，让奉节的天更蓝、山更绿、水更清、环境更优美，把奉节建设成为人与自然和谐相处、生态环境与经济社会协调发展的宜居县城。同时，生态文明理念更加深入人心，管理者和广大公众的生态文明意识会有大幅提高，让广大公众群体自愿加入生态文明建设中来。</w:t>
      </w:r>
    </w:p>
    <w:p>
      <w:pPr>
        <w:pStyle w:val="4"/>
        <w:spacing w:line="594" w:lineRule="exact"/>
        <w:ind w:left="0"/>
      </w:pPr>
      <w:bookmarkStart w:id="1038" w:name="_Toc12893"/>
      <w:bookmarkStart w:id="1039" w:name="_Toc20616"/>
      <w:bookmarkStart w:id="1040" w:name="_Toc27681"/>
      <w:bookmarkStart w:id="1041" w:name="_Toc1758"/>
      <w:bookmarkStart w:id="1042" w:name="_Toc1251"/>
      <w:bookmarkStart w:id="1043" w:name="_Toc18191"/>
      <w:bookmarkStart w:id="1044" w:name="_Toc17241"/>
      <w:bookmarkStart w:id="1045" w:name="_Toc15889"/>
      <w:bookmarkStart w:id="1046" w:name="_Toc25301"/>
      <w:bookmarkStart w:id="1047" w:name="_Toc9614"/>
      <w:bookmarkStart w:id="1048" w:name="_Toc14857"/>
      <w:bookmarkStart w:id="1049" w:name="_Toc226"/>
      <w:bookmarkStart w:id="1050" w:name="_Toc29862"/>
      <w:bookmarkStart w:id="1051" w:name="_Toc15607"/>
      <w:bookmarkStart w:id="1052" w:name="_Toc10517"/>
      <w:bookmarkStart w:id="1053" w:name="_Toc4650"/>
      <w:bookmarkStart w:id="1054" w:name="_Toc26370"/>
      <w:bookmarkStart w:id="1055" w:name="_Toc12911"/>
      <w:r>
        <w:t>保障措施</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pPr>
        <w:ind w:firstLine="0" w:firstLineChars="0"/>
      </w:pPr>
    </w:p>
    <w:p>
      <w:pPr>
        <w:pStyle w:val="5"/>
        <w:numPr>
          <w:ilvl w:val="1"/>
          <w:numId w:val="7"/>
        </w:numPr>
      </w:pPr>
      <w:bookmarkStart w:id="1056" w:name="_Toc9714"/>
      <w:bookmarkStart w:id="1057" w:name="_Toc31116"/>
      <w:bookmarkStart w:id="1058" w:name="_Toc25480"/>
      <w:bookmarkStart w:id="1059" w:name="_Toc15158"/>
      <w:bookmarkStart w:id="1060" w:name="_Toc10669"/>
      <w:bookmarkStart w:id="1061" w:name="_Toc22436"/>
      <w:bookmarkStart w:id="1062" w:name="_Toc14605"/>
      <w:bookmarkStart w:id="1063" w:name="_Toc3685"/>
      <w:bookmarkStart w:id="1064" w:name="_Toc6353"/>
      <w:bookmarkStart w:id="1065" w:name="_Toc29743"/>
      <w:bookmarkStart w:id="1066" w:name="_Toc10342"/>
      <w:bookmarkStart w:id="1067" w:name="_Toc2939"/>
      <w:bookmarkStart w:id="1068" w:name="_Toc2726"/>
      <w:bookmarkStart w:id="1069" w:name="_Toc29378"/>
      <w:bookmarkStart w:id="1070" w:name="_Toc7374"/>
      <w:bookmarkStart w:id="1071" w:name="_Toc19239"/>
      <w:bookmarkStart w:id="1072" w:name="_Toc31000"/>
      <w:bookmarkStart w:id="1073" w:name="_Toc26148"/>
      <w:r>
        <w:t>强化组织领导</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pPr>
        <w:pStyle w:val="40"/>
      </w:pPr>
    </w:p>
    <w:p>
      <w:pPr>
        <w:pStyle w:val="40"/>
      </w:pPr>
      <w:r>
        <w:t>成立</w:t>
      </w:r>
      <w:r>
        <w:rPr>
          <w:rFonts w:hint="eastAsia"/>
        </w:rPr>
        <w:t>由县政府主要领导任组长，分管副县长任常务副组长，其他副县长任副组长的“奉节县</w:t>
      </w:r>
      <w:r>
        <w:t>生态文明建设示范县创建工作领导小组</w:t>
      </w:r>
      <w:r>
        <w:rPr>
          <w:rFonts w:hint="eastAsia"/>
        </w:rPr>
        <w:t>”</w:t>
      </w:r>
      <w:r>
        <w:t>，</w:t>
      </w:r>
      <w:r>
        <w:rPr>
          <w:rFonts w:hint="eastAsia"/>
        </w:rPr>
        <w:t>领导小组下设办公室，办公室设在县生态环境局</w:t>
      </w:r>
      <w:r>
        <w:t>。</w:t>
      </w:r>
      <w:r>
        <w:rPr>
          <w:rFonts w:hint="eastAsia"/>
        </w:rPr>
        <w:t>领导小组负责生态文明建设示范县创建工作的统筹指挥和重大问题的决策，创建办公室牵头负责相关组织、协调、指导、考核、督查等日常工作</w:t>
      </w:r>
      <w:r>
        <w:t>。</w:t>
      </w:r>
      <w:r>
        <w:rPr>
          <w:rFonts w:hint="eastAsia"/>
        </w:rPr>
        <w:t>领导小组各成员单位应严格履行生态文明建设“党政同责、一岗双责”的要求，自觉担负起本部门、本辖区、本行业的生态文明建设责任，各成员单位应确定一名分管负责人和联络员负责生态创建工作，把生态文明建设工作纳入本单位重要议事日程。</w:t>
      </w:r>
    </w:p>
    <w:p>
      <w:pPr>
        <w:pStyle w:val="40"/>
        <w:ind w:firstLine="0" w:firstLineChars="0"/>
      </w:pPr>
    </w:p>
    <w:p>
      <w:pPr>
        <w:pStyle w:val="5"/>
        <w:numPr>
          <w:ilvl w:val="1"/>
          <w:numId w:val="7"/>
        </w:numPr>
        <w:rPr>
          <w:rFonts w:ascii="方正楷体_GBK"/>
        </w:rPr>
      </w:pPr>
      <w:bookmarkStart w:id="1074" w:name="_Toc8905"/>
      <w:bookmarkStart w:id="1075" w:name="_Toc29285"/>
      <w:bookmarkStart w:id="1076" w:name="_Toc12438"/>
      <w:bookmarkStart w:id="1077" w:name="_Toc25308"/>
      <w:bookmarkStart w:id="1078" w:name="_Toc28606"/>
      <w:bookmarkStart w:id="1079" w:name="_Toc16418"/>
      <w:bookmarkStart w:id="1080" w:name="_Toc6986"/>
      <w:bookmarkStart w:id="1081" w:name="_Toc6501"/>
      <w:bookmarkStart w:id="1082" w:name="_Toc27926"/>
      <w:bookmarkStart w:id="1083" w:name="_Toc4994"/>
      <w:bookmarkStart w:id="1084" w:name="_Toc17058"/>
      <w:bookmarkStart w:id="1085" w:name="_Toc31186"/>
      <w:bookmarkStart w:id="1086" w:name="_Toc11230"/>
      <w:bookmarkStart w:id="1087" w:name="_Toc9608"/>
      <w:bookmarkStart w:id="1088" w:name="_Toc31399"/>
      <w:bookmarkStart w:id="1089" w:name="_Toc10534"/>
      <w:bookmarkStart w:id="1090" w:name="_Toc1865"/>
      <w:bookmarkStart w:id="1091" w:name="_Toc17008"/>
      <w:r>
        <w:rPr>
          <w:rFonts w:ascii="方正楷体_GBK"/>
        </w:rPr>
        <w:t>强化责任落实</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pPr>
        <w:adjustRightInd w:val="0"/>
        <w:snapToGrid w:val="0"/>
        <w:spacing w:line="594" w:lineRule="exact"/>
        <w:rPr>
          <w:rFonts w:cs="Times New Roman"/>
          <w:szCs w:val="32"/>
        </w:rPr>
      </w:pPr>
    </w:p>
    <w:p>
      <w:pPr>
        <w:adjustRightInd w:val="0"/>
        <w:snapToGrid w:val="0"/>
        <w:spacing w:line="594" w:lineRule="exact"/>
        <w:rPr>
          <w:rFonts w:cs="Times New Roman"/>
          <w:szCs w:val="32"/>
        </w:rPr>
      </w:pPr>
      <w:r>
        <w:rPr>
          <w:rFonts w:cs="Times New Roman"/>
          <w:szCs w:val="32"/>
        </w:rPr>
        <w:t>建立和完善生态文明建设目标责任制和激励约束机制，确保责任到位、措施到位、投入到位。</w:t>
      </w:r>
      <w:r>
        <w:rPr>
          <w:rFonts w:hint="eastAsia" w:cs="Times New Roman"/>
          <w:szCs w:val="32"/>
        </w:rPr>
        <w:t>创建办公室</w:t>
      </w:r>
      <w:r>
        <w:rPr>
          <w:rFonts w:cs="Times New Roman"/>
          <w:szCs w:val="32"/>
        </w:rPr>
        <w:t>按年度将生态文明建设工作目标、指标和任务分解落实到相关</w:t>
      </w:r>
      <w:r>
        <w:rPr>
          <w:rFonts w:hint="eastAsia" w:cs="Times New Roman"/>
          <w:szCs w:val="32"/>
        </w:rPr>
        <w:t>县</w:t>
      </w:r>
      <w:r>
        <w:rPr>
          <w:rFonts w:cs="Times New Roman"/>
          <w:szCs w:val="32"/>
        </w:rPr>
        <w:t>级部门</w:t>
      </w:r>
      <w:r>
        <w:rPr>
          <w:rFonts w:hint="eastAsia" w:cs="Times New Roman"/>
          <w:szCs w:val="32"/>
        </w:rPr>
        <w:t>、乡镇（街道）和园区</w:t>
      </w:r>
      <w:r>
        <w:rPr>
          <w:rFonts w:cs="Times New Roman"/>
          <w:szCs w:val="32"/>
        </w:rPr>
        <w:t>，各责任单位结合本单位职责职能，逐条逐项制定细化措施，落实具体工作责任人，明确时间表、路线图，保质保量完成创建各项工作任务。加强过程考核和年终考核，</w:t>
      </w:r>
      <w:r>
        <w:rPr>
          <w:rFonts w:hint="eastAsia" w:cs="Times New Roman"/>
          <w:szCs w:val="32"/>
        </w:rPr>
        <w:t>县</w:t>
      </w:r>
      <w:r>
        <w:rPr>
          <w:rFonts w:cs="Times New Roman"/>
          <w:szCs w:val="32"/>
        </w:rPr>
        <w:t>委组织部将生态文明建设各项任务落实情况纳入当年对</w:t>
      </w:r>
      <w:r>
        <w:rPr>
          <w:rFonts w:hint="eastAsia" w:cs="Times New Roman"/>
          <w:szCs w:val="32"/>
        </w:rPr>
        <w:t>县</w:t>
      </w:r>
      <w:r>
        <w:rPr>
          <w:rFonts w:cs="Times New Roman"/>
          <w:szCs w:val="32"/>
        </w:rPr>
        <w:t>级部门的绩效考核和对各</w:t>
      </w:r>
      <w:r>
        <w:rPr>
          <w:rFonts w:hint="eastAsia" w:cs="Times New Roman"/>
          <w:szCs w:val="32"/>
        </w:rPr>
        <w:t>乡镇（街道）</w:t>
      </w:r>
      <w:r>
        <w:rPr>
          <w:rFonts w:cs="Times New Roman"/>
          <w:szCs w:val="32"/>
        </w:rPr>
        <w:t>及</w:t>
      </w:r>
      <w:r>
        <w:rPr>
          <w:rFonts w:hint="eastAsia" w:cs="Times New Roman"/>
          <w:szCs w:val="32"/>
        </w:rPr>
        <w:t>园区</w:t>
      </w:r>
      <w:r>
        <w:rPr>
          <w:rFonts w:cs="Times New Roman"/>
          <w:szCs w:val="32"/>
        </w:rPr>
        <w:t>的经济社会发展实绩考核。</w:t>
      </w:r>
      <w:r>
        <w:rPr>
          <w:rFonts w:hint="eastAsia" w:cs="Times New Roman"/>
          <w:szCs w:val="32"/>
        </w:rPr>
        <w:t>县政府办公室</w:t>
      </w:r>
      <w:r>
        <w:rPr>
          <w:rFonts w:cs="Times New Roman"/>
          <w:szCs w:val="32"/>
        </w:rPr>
        <w:t>把生态文明建设工作落实情况纳入重大事项督查范围，加强日常督查和重点督查。</w:t>
      </w:r>
      <w:r>
        <w:rPr>
          <w:rFonts w:hint="eastAsia" w:cs="Times New Roman"/>
          <w:szCs w:val="32"/>
        </w:rPr>
        <w:t>县</w:t>
      </w:r>
      <w:r>
        <w:rPr>
          <w:rFonts w:cs="Times New Roman"/>
          <w:szCs w:val="32"/>
        </w:rPr>
        <w:t>政府每年向</w:t>
      </w:r>
      <w:r>
        <w:rPr>
          <w:rFonts w:hint="eastAsia" w:cs="Times New Roman"/>
          <w:szCs w:val="32"/>
        </w:rPr>
        <w:t>县</w:t>
      </w:r>
      <w:r>
        <w:rPr>
          <w:rFonts w:cs="Times New Roman"/>
          <w:szCs w:val="32"/>
        </w:rPr>
        <w:t>人民代表大会或常委会报告生态文明建设工作情况。</w:t>
      </w:r>
    </w:p>
    <w:p>
      <w:pPr>
        <w:pStyle w:val="34"/>
        <w:numPr>
          <w:ilvl w:val="0"/>
          <w:numId w:val="0"/>
        </w:numPr>
        <w:ind w:left="2469"/>
      </w:pPr>
    </w:p>
    <w:p>
      <w:pPr>
        <w:pStyle w:val="5"/>
        <w:numPr>
          <w:ilvl w:val="1"/>
          <w:numId w:val="7"/>
        </w:numPr>
        <w:rPr>
          <w:rFonts w:ascii="方正楷体_GBK"/>
        </w:rPr>
      </w:pPr>
      <w:bookmarkStart w:id="1092" w:name="_Toc7407"/>
      <w:bookmarkStart w:id="1093" w:name="_Toc14161"/>
      <w:bookmarkStart w:id="1094" w:name="_Toc27573"/>
      <w:bookmarkStart w:id="1095" w:name="_Toc29484"/>
      <w:bookmarkStart w:id="1096" w:name="_Toc3730"/>
      <w:bookmarkStart w:id="1097" w:name="_Toc19737"/>
      <w:bookmarkStart w:id="1098" w:name="_Toc23404"/>
      <w:bookmarkStart w:id="1099" w:name="_Toc14880"/>
      <w:bookmarkStart w:id="1100" w:name="_Toc22278"/>
      <w:bookmarkStart w:id="1101" w:name="_Toc12826"/>
      <w:bookmarkStart w:id="1102" w:name="_Toc15207"/>
      <w:bookmarkStart w:id="1103" w:name="_Toc20279"/>
      <w:bookmarkStart w:id="1104" w:name="_Toc19373"/>
      <w:bookmarkStart w:id="1105" w:name="_Toc2878"/>
      <w:bookmarkStart w:id="1106" w:name="_Toc17014"/>
      <w:bookmarkStart w:id="1107" w:name="_Toc206"/>
      <w:bookmarkStart w:id="1108" w:name="_Toc13091"/>
      <w:bookmarkStart w:id="1109" w:name="_Toc15653"/>
      <w:r>
        <w:rPr>
          <w:rFonts w:hint="eastAsia" w:ascii="方正楷体_GBK"/>
        </w:rPr>
        <w:t>加强协调联动</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pPr>
        <w:adjustRightInd w:val="0"/>
        <w:snapToGrid w:val="0"/>
        <w:spacing w:line="594" w:lineRule="exact"/>
        <w:rPr>
          <w:rFonts w:cs="Times New Roman"/>
          <w:szCs w:val="32"/>
        </w:rPr>
      </w:pPr>
    </w:p>
    <w:p>
      <w:pPr>
        <w:adjustRightInd w:val="0"/>
        <w:snapToGrid w:val="0"/>
        <w:spacing w:line="594" w:lineRule="exact"/>
        <w:rPr>
          <w:rFonts w:cs="Times New Roman"/>
          <w:szCs w:val="32"/>
        </w:rPr>
      </w:pPr>
      <w:r>
        <w:rPr>
          <w:rFonts w:hint="eastAsia" w:cs="Times New Roman"/>
          <w:szCs w:val="32"/>
        </w:rPr>
        <w:t>加强生态文明示范县建设的协调联动，形成县委、县政府统一领导，各部门分工协作，各乡镇（街道）分级实施，全社会广泛参与，上下协调，左右联动的推进机制。</w:t>
      </w:r>
      <w:r>
        <w:rPr>
          <w:rFonts w:cs="Times New Roman"/>
          <w:szCs w:val="32"/>
        </w:rPr>
        <w:t>加强各级部门协作配合，制定生态文明建设工作部门联席会议制度，定期研究解决有关重大问题。企业应积极发挥生态文明与环境保护主体作用，自觉履行社会责任。社会组织和公众应充分发挥主动性和创造性，积极参与建设。</w:t>
      </w:r>
    </w:p>
    <w:p>
      <w:pPr>
        <w:pStyle w:val="34"/>
        <w:numPr>
          <w:ilvl w:val="0"/>
          <w:numId w:val="0"/>
        </w:numPr>
        <w:ind w:left="2469"/>
      </w:pPr>
    </w:p>
    <w:p>
      <w:pPr>
        <w:pStyle w:val="5"/>
        <w:numPr>
          <w:ilvl w:val="1"/>
          <w:numId w:val="7"/>
        </w:numPr>
        <w:rPr>
          <w:rFonts w:ascii="方正楷体_GBK"/>
        </w:rPr>
      </w:pPr>
      <w:bookmarkStart w:id="1110" w:name="_Toc13869"/>
      <w:bookmarkStart w:id="1111" w:name="_Toc15888"/>
      <w:bookmarkStart w:id="1112" w:name="_Toc15091"/>
      <w:bookmarkStart w:id="1113" w:name="_Toc4803"/>
      <w:bookmarkStart w:id="1114" w:name="_Toc14702"/>
      <w:bookmarkStart w:id="1115" w:name="_Toc22964"/>
      <w:bookmarkStart w:id="1116" w:name="_Toc10735"/>
      <w:bookmarkStart w:id="1117" w:name="_Toc17191"/>
      <w:bookmarkStart w:id="1118" w:name="_Toc7676"/>
      <w:bookmarkStart w:id="1119" w:name="_Toc20221"/>
      <w:bookmarkStart w:id="1120" w:name="_Toc24791"/>
      <w:bookmarkStart w:id="1121" w:name="_Toc25963"/>
      <w:bookmarkStart w:id="1122" w:name="_Toc25451"/>
      <w:bookmarkStart w:id="1123" w:name="_Toc4337"/>
      <w:bookmarkStart w:id="1124" w:name="_Toc9390"/>
      <w:bookmarkStart w:id="1125" w:name="_Toc12978"/>
      <w:bookmarkStart w:id="1126" w:name="_Toc27378"/>
      <w:bookmarkStart w:id="1127" w:name="_Toc13280"/>
      <w:r>
        <w:rPr>
          <w:rFonts w:ascii="方正楷体_GBK"/>
        </w:rPr>
        <w:t>强化跟踪评估</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pPr>
        <w:pStyle w:val="2"/>
        <w:spacing w:line="594" w:lineRule="exact"/>
        <w:ind w:left="0" w:leftChars="0"/>
        <w:rPr>
          <w:rFonts w:cs="Times New Roman"/>
          <w:szCs w:val="32"/>
        </w:rPr>
      </w:pPr>
    </w:p>
    <w:p>
      <w:pPr>
        <w:pStyle w:val="2"/>
        <w:spacing w:line="594" w:lineRule="exact"/>
        <w:ind w:left="0" w:leftChars="0"/>
        <w:sectPr>
          <w:pgSz w:w="11906" w:h="16838"/>
          <w:pgMar w:top="2098" w:right="1474" w:bottom="1984" w:left="1587" w:header="851" w:footer="1474" w:gutter="0"/>
          <w:cols w:space="720" w:num="1"/>
          <w:docGrid w:type="lines" w:linePitch="312" w:charSpace="0"/>
        </w:sectPr>
      </w:pPr>
      <w:r>
        <w:rPr>
          <w:rFonts w:cs="Times New Roman"/>
          <w:szCs w:val="32"/>
        </w:rPr>
        <w:t>强化对规划实施情况跟踪分析，动态分析本规划的实施进展情况，特别是指标和重点项目完成情况。创新评估方式，做好规划实施总结评估，全面分析检查规划实施效果及各项政策措施落实情况，及时提出评估改进意见，促进规划目标的实现。探索引入第三方评估机构，增强规划评估的客观性、准确性和专业性。进一步完善规划实施的公众参与和民主监督机制，及时公开规划实施相关信息，接受全社会监督。</w:t>
      </w:r>
    </w:p>
    <w:bookmarkEnd w:id="811"/>
    <w:bookmarkEnd w:id="812"/>
    <w:bookmarkEnd w:id="813"/>
    <w:bookmarkEnd w:id="814"/>
    <w:bookmarkEnd w:id="815"/>
    <w:bookmarkEnd w:id="816"/>
    <w:bookmarkEnd w:id="817"/>
    <w:bookmarkEnd w:id="818"/>
    <w:bookmarkEnd w:id="819"/>
    <w:bookmarkEnd w:id="820"/>
    <w:bookmarkEnd w:id="821"/>
    <w:p>
      <w:pPr>
        <w:pStyle w:val="4"/>
        <w:numPr>
          <w:ilvl w:val="0"/>
          <w:numId w:val="0"/>
        </w:numPr>
        <w:tabs>
          <w:tab w:val="left" w:pos="1463"/>
          <w:tab w:val="center" w:pos="4974"/>
        </w:tabs>
        <w:jc w:val="left"/>
      </w:pPr>
      <w:bookmarkStart w:id="1128" w:name="_Toc31874"/>
      <w:bookmarkStart w:id="1129" w:name="_Toc1618"/>
      <w:bookmarkStart w:id="1130" w:name="_Toc11238"/>
      <w:bookmarkStart w:id="1131" w:name="_Toc23076"/>
      <w:bookmarkStart w:id="1132" w:name="_Toc11993"/>
      <w:bookmarkStart w:id="1133" w:name="_Toc18581"/>
      <w:bookmarkStart w:id="1134" w:name="_Toc29755"/>
      <w:bookmarkStart w:id="1135" w:name="_Toc27107"/>
      <w:bookmarkStart w:id="1136" w:name="_Toc12132"/>
      <w:bookmarkStart w:id="1137" w:name="_Toc29113"/>
      <w:bookmarkStart w:id="1138" w:name="_Toc9540"/>
      <w:bookmarkStart w:id="1139" w:name="_Toc25881"/>
      <w:bookmarkStart w:id="1140" w:name="_Toc1793"/>
      <w:bookmarkStart w:id="1141" w:name="_Toc10616"/>
      <w:bookmarkStart w:id="1142" w:name="_Toc22325"/>
      <w:bookmarkStart w:id="1143" w:name="_Toc27479"/>
      <w:bookmarkStart w:id="1144" w:name="_Toc16360"/>
      <w:bookmarkStart w:id="1145" w:name="_Toc8305"/>
      <w:bookmarkStart w:id="1146" w:name="_Toc31511"/>
      <w:bookmarkStart w:id="1147" w:name="_Toc31608"/>
      <w:bookmarkStart w:id="1148" w:name="_Toc12464"/>
      <w:bookmarkStart w:id="1149" w:name="_Toc6123"/>
      <w:bookmarkStart w:id="1150" w:name="_Toc14554"/>
      <w:bookmarkStart w:id="1151" w:name="_Toc9153"/>
      <w:bookmarkStart w:id="1152" w:name="_Toc8362"/>
      <w:bookmarkStart w:id="1153" w:name="_Toc25657"/>
      <w:bookmarkStart w:id="1154" w:name="_Toc2413"/>
      <w:bookmarkStart w:id="1155" w:name="_Toc4455"/>
      <w:bookmarkStart w:id="1156" w:name="_Toc22809"/>
      <w:r>
        <w:rPr>
          <w:rFonts w:hint="eastAsia"/>
        </w:rPr>
        <w:t>附件</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pPr>
        <w:pStyle w:val="5"/>
        <w:numPr>
          <w:ilvl w:val="0"/>
          <w:numId w:val="0"/>
        </w:numPr>
      </w:pPr>
      <w:bookmarkStart w:id="1157" w:name="_Toc26996"/>
      <w:bookmarkStart w:id="1158" w:name="_Toc25739"/>
      <w:bookmarkStart w:id="1159" w:name="_Toc32766"/>
      <w:bookmarkStart w:id="1160" w:name="_Toc14361"/>
      <w:bookmarkStart w:id="1161" w:name="_Toc20249"/>
      <w:bookmarkStart w:id="1162" w:name="_Toc30624"/>
      <w:bookmarkStart w:id="1163" w:name="_Toc9906"/>
      <w:bookmarkStart w:id="1164" w:name="_Toc935"/>
      <w:bookmarkStart w:id="1165" w:name="_Toc6020"/>
      <w:bookmarkStart w:id="1166" w:name="_Toc5456"/>
      <w:bookmarkStart w:id="1167" w:name="_Toc4629"/>
      <w:bookmarkStart w:id="1168" w:name="_Toc25795"/>
      <w:bookmarkStart w:id="1169" w:name="_Toc32111"/>
      <w:bookmarkStart w:id="1170" w:name="_Toc30571"/>
      <w:bookmarkStart w:id="1171" w:name="_Toc5718"/>
      <w:bookmarkStart w:id="1172" w:name="_Toc24043"/>
      <w:bookmarkStart w:id="1173" w:name="_Toc6322"/>
      <w:bookmarkStart w:id="1174" w:name="_Toc22468"/>
      <w:bookmarkStart w:id="1175" w:name="_Toc19943"/>
      <w:bookmarkStart w:id="1176" w:name="_Toc32157"/>
      <w:bookmarkStart w:id="1177" w:name="_Toc30306"/>
      <w:bookmarkStart w:id="1178" w:name="_Toc625"/>
      <w:bookmarkStart w:id="1179" w:name="_Toc54344878"/>
      <w:bookmarkStart w:id="1180" w:name="_Toc96324593"/>
      <w:bookmarkStart w:id="1181" w:name="_Toc31977"/>
      <w:r>
        <w:rPr>
          <w:rFonts w:hint="eastAsia"/>
        </w:rPr>
        <w:t>附表1奉节县生态文明建设示范县建设重点工程项目表</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tbl>
      <w:tblPr>
        <w:tblStyle w:val="27"/>
        <w:tblW w:w="14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266"/>
        <w:gridCol w:w="2057"/>
        <w:gridCol w:w="6518"/>
        <w:gridCol w:w="1177"/>
        <w:gridCol w:w="1241"/>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方正黑体_GBK" w:cs="Times New Roman"/>
                <w:kern w:val="0"/>
                <w:sz w:val="21"/>
                <w:szCs w:val="21"/>
              </w:rPr>
            </w:pPr>
            <w:r>
              <w:rPr>
                <w:rFonts w:eastAsia="方正黑体_GBK" w:cs="Times New Roman"/>
                <w:kern w:val="0"/>
                <w:sz w:val="21"/>
                <w:szCs w:val="21"/>
              </w:rPr>
              <w:t>序号</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方正黑体_GBK" w:cs="Times New Roman"/>
                <w:kern w:val="0"/>
                <w:sz w:val="21"/>
                <w:szCs w:val="21"/>
              </w:rPr>
            </w:pPr>
            <w:r>
              <w:rPr>
                <w:rFonts w:eastAsia="方正黑体_GBK" w:cs="Times New Roman"/>
                <w:kern w:val="0"/>
                <w:sz w:val="21"/>
                <w:szCs w:val="21"/>
              </w:rPr>
              <w:t>项目类别</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方正黑体_GBK" w:cs="Times New Roman"/>
                <w:kern w:val="0"/>
                <w:sz w:val="21"/>
                <w:szCs w:val="21"/>
              </w:rPr>
            </w:pPr>
            <w:r>
              <w:rPr>
                <w:rFonts w:eastAsia="方正黑体_GBK" w:cs="Times New Roman"/>
                <w:kern w:val="0"/>
                <w:sz w:val="21"/>
                <w:szCs w:val="21"/>
              </w:rPr>
              <w:t>项目名称</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方正黑体_GBK" w:cs="Times New Roman"/>
                <w:kern w:val="0"/>
                <w:sz w:val="21"/>
                <w:szCs w:val="21"/>
              </w:rPr>
            </w:pPr>
            <w:r>
              <w:rPr>
                <w:rFonts w:eastAsia="方正黑体_GBK" w:cs="Times New Roman"/>
                <w:kern w:val="0"/>
                <w:sz w:val="21"/>
                <w:szCs w:val="21"/>
              </w:rPr>
              <w:t>建设内容</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方正黑体_GBK" w:cs="Times New Roman"/>
                <w:kern w:val="0"/>
                <w:sz w:val="21"/>
                <w:szCs w:val="21"/>
              </w:rPr>
            </w:pPr>
            <w:r>
              <w:rPr>
                <w:rFonts w:eastAsia="方正黑体_GBK" w:cs="Times New Roman"/>
                <w:kern w:val="0"/>
                <w:sz w:val="21"/>
                <w:szCs w:val="21"/>
              </w:rPr>
              <w:t>牵头单位</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方正黑体_GBK" w:cs="Times New Roman"/>
                <w:kern w:val="0"/>
                <w:sz w:val="21"/>
                <w:szCs w:val="21"/>
              </w:rPr>
            </w:pPr>
            <w:r>
              <w:rPr>
                <w:rFonts w:eastAsia="方正黑体_GBK" w:cs="Times New Roman"/>
                <w:kern w:val="0"/>
                <w:sz w:val="21"/>
                <w:szCs w:val="21"/>
              </w:rPr>
              <w:t>资金估算</w:t>
            </w:r>
          </w:p>
          <w:p>
            <w:pPr>
              <w:widowControl/>
              <w:spacing w:line="0" w:lineRule="atLeast"/>
              <w:ind w:firstLine="0" w:firstLineChars="0"/>
              <w:jc w:val="center"/>
              <w:rPr>
                <w:rFonts w:eastAsia="方正黑体_GBK" w:cs="Times New Roman"/>
                <w:kern w:val="0"/>
                <w:sz w:val="21"/>
                <w:szCs w:val="21"/>
              </w:rPr>
            </w:pPr>
            <w:r>
              <w:rPr>
                <w:rFonts w:eastAsia="方正黑体_GBK" w:cs="Times New Roman"/>
                <w:kern w:val="0"/>
                <w:sz w:val="21"/>
                <w:szCs w:val="21"/>
              </w:rPr>
              <w:t>（万元）</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方正黑体_GBK" w:cs="Times New Roman"/>
                <w:kern w:val="0"/>
                <w:sz w:val="21"/>
                <w:szCs w:val="21"/>
              </w:rPr>
            </w:pPr>
            <w:r>
              <w:rPr>
                <w:rFonts w:eastAsia="方正黑体_GBK" w:cs="Times New Roman"/>
                <w:kern w:val="0"/>
                <w:sz w:val="21"/>
                <w:szCs w:val="21"/>
              </w:rPr>
              <w:t>实施年限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166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cs="Times New Roman"/>
                <w:kern w:val="0"/>
                <w:sz w:val="21"/>
                <w:szCs w:val="21"/>
              </w:rPr>
            </w:pPr>
            <w:r>
              <w:rPr>
                <w:rFonts w:hint="eastAsia" w:ascii="方正楷体_GBK" w:eastAsia="方正楷体_GBK" w:cs="Times New Roman"/>
                <w:kern w:val="0"/>
                <w:sz w:val="21"/>
                <w:szCs w:val="21"/>
              </w:rPr>
              <w:t>一、持续改善生态环境</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54303.64</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1</w:t>
            </w:r>
          </w:p>
        </w:tc>
        <w:tc>
          <w:tcPr>
            <w:tcW w:w="12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水环境质量改善</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长江流域奉节段饮用水源地水环境综合整治工程</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cs="Times New Roman"/>
                <w:kern w:val="0"/>
                <w:sz w:val="21"/>
                <w:szCs w:val="21"/>
              </w:rPr>
            </w:pPr>
            <w:r>
              <w:rPr>
                <w:rFonts w:cs="Times New Roman"/>
                <w:kern w:val="0"/>
                <w:sz w:val="21"/>
                <w:szCs w:val="21"/>
              </w:rPr>
              <w:t>建设隔离防护网4980m，监控设备13套，生态湿地14170m</w:t>
            </w:r>
            <w:r>
              <w:rPr>
                <w:rFonts w:cs="Times New Roman"/>
                <w:kern w:val="0"/>
                <w:sz w:val="21"/>
                <w:szCs w:val="21"/>
                <w:vertAlign w:val="superscript"/>
              </w:rPr>
              <w:t>2</w:t>
            </w:r>
            <w:r>
              <w:rPr>
                <w:rFonts w:cs="Times New Roman"/>
                <w:kern w:val="0"/>
                <w:sz w:val="21"/>
                <w:szCs w:val="21"/>
              </w:rPr>
              <w:t>，标志标牌16组，生态浮岛（9m</w:t>
            </w:r>
            <w:r>
              <w:rPr>
                <w:rFonts w:cs="Times New Roman"/>
                <w:kern w:val="0"/>
                <w:sz w:val="21"/>
                <w:szCs w:val="21"/>
                <w:vertAlign w:val="superscript"/>
              </w:rPr>
              <w:t>2</w:t>
            </w:r>
            <w:r>
              <w:rPr>
                <w:rFonts w:cs="Times New Roman"/>
                <w:kern w:val="0"/>
                <w:sz w:val="21"/>
                <w:szCs w:val="21"/>
              </w:rPr>
              <w:t>）19座，生态涵养林5300m</w:t>
            </w:r>
            <w:r>
              <w:rPr>
                <w:rFonts w:cs="Times New Roman"/>
                <w:kern w:val="0"/>
                <w:sz w:val="21"/>
                <w:szCs w:val="21"/>
                <w:vertAlign w:val="superscript"/>
              </w:rPr>
              <w:t>2</w:t>
            </w:r>
            <w:r>
              <w:rPr>
                <w:rFonts w:cs="Times New Roman"/>
                <w:kern w:val="0"/>
                <w:sz w:val="21"/>
                <w:szCs w:val="21"/>
              </w:rPr>
              <w:t>，配套泵站1座，配套管网300m。</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县生态环境局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eastAsia="等线" w:cs="Times New Roman"/>
                <w:kern w:val="0"/>
                <w:sz w:val="21"/>
                <w:szCs w:val="21"/>
              </w:rPr>
            </w:pPr>
            <w:r>
              <w:rPr>
                <w:rFonts w:eastAsia="Tahoma" w:cs="Times New Roman"/>
                <w:kern w:val="0"/>
                <w:sz w:val="21"/>
                <w:szCs w:val="21"/>
              </w:rPr>
              <w:t>911.77</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崔家河流域饮用水源地水环境综合治理工程</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cs="Times New Roman"/>
                <w:kern w:val="0"/>
                <w:sz w:val="21"/>
                <w:szCs w:val="21"/>
              </w:rPr>
            </w:pPr>
            <w:r>
              <w:rPr>
                <w:rFonts w:cs="Times New Roman"/>
                <w:kern w:val="0"/>
                <w:sz w:val="21"/>
                <w:szCs w:val="21"/>
              </w:rPr>
              <w:t>建设生态湿地16000m</w:t>
            </w:r>
            <w:r>
              <w:rPr>
                <w:rFonts w:cs="Times New Roman"/>
                <w:kern w:val="0"/>
                <w:sz w:val="21"/>
                <w:szCs w:val="21"/>
                <w:vertAlign w:val="superscript"/>
              </w:rPr>
              <w:t>2</w:t>
            </w:r>
            <w:r>
              <w:rPr>
                <w:rFonts w:cs="Times New Roman"/>
                <w:kern w:val="0"/>
                <w:sz w:val="21"/>
                <w:szCs w:val="21"/>
              </w:rPr>
              <w:t>，监控设备4套，标志标牌2组，庭院消纳地（配套化粪池）20座，生态浮岛（9m</w:t>
            </w:r>
            <w:r>
              <w:rPr>
                <w:rFonts w:cs="Times New Roman"/>
                <w:kern w:val="0"/>
                <w:sz w:val="21"/>
                <w:szCs w:val="21"/>
                <w:vertAlign w:val="superscript"/>
              </w:rPr>
              <w:t>2</w:t>
            </w:r>
            <w:r>
              <w:rPr>
                <w:rFonts w:cs="Times New Roman"/>
                <w:kern w:val="0"/>
                <w:sz w:val="21"/>
                <w:szCs w:val="21"/>
              </w:rPr>
              <w:t>）30座，化粪池5座。</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县生态环境局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eastAsia="等线" w:cs="Times New Roman"/>
                <w:kern w:val="0"/>
                <w:sz w:val="21"/>
                <w:szCs w:val="21"/>
              </w:rPr>
            </w:pPr>
            <w:r>
              <w:rPr>
                <w:rFonts w:eastAsia="Tahoma" w:cs="Times New Roman"/>
                <w:kern w:val="0"/>
                <w:sz w:val="21"/>
                <w:szCs w:val="21"/>
              </w:rPr>
              <w:t>474.94</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tcBorders>
              <w:bottom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3</w:t>
            </w:r>
          </w:p>
        </w:tc>
        <w:tc>
          <w:tcPr>
            <w:tcW w:w="1266" w:type="dxa"/>
            <w:vMerge w:val="continue"/>
            <w:tcBorders>
              <w:bottom w:val="single" w:color="auto" w:sz="4" w:space="0"/>
            </w:tcBorders>
            <w:vAlign w:val="center"/>
          </w:tcPr>
          <w:p/>
        </w:tc>
        <w:tc>
          <w:tcPr>
            <w:tcW w:w="2057" w:type="dxa"/>
            <w:tcBorders>
              <w:bottom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梅溪河流域饮用水源地水环境综合治理工程</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cs="Times New Roman"/>
                <w:kern w:val="0"/>
                <w:sz w:val="21"/>
                <w:szCs w:val="21"/>
              </w:rPr>
            </w:pPr>
            <w:r>
              <w:rPr>
                <w:rFonts w:cs="Times New Roman"/>
                <w:kern w:val="0"/>
                <w:sz w:val="21"/>
                <w:szCs w:val="21"/>
              </w:rPr>
              <w:t>建设污水管网1320m，入户支管1290m，人工湿地290m</w:t>
            </w:r>
            <w:r>
              <w:rPr>
                <w:rFonts w:cs="Times New Roman"/>
                <w:kern w:val="0"/>
                <w:sz w:val="21"/>
                <w:szCs w:val="21"/>
                <w:vertAlign w:val="superscript"/>
              </w:rPr>
              <w:t>2</w:t>
            </w:r>
            <w:r>
              <w:rPr>
                <w:rFonts w:cs="Times New Roman"/>
                <w:kern w:val="0"/>
                <w:sz w:val="21"/>
                <w:szCs w:val="21"/>
              </w:rPr>
              <w:t>，监控设备1套，标志标牌8组，庭院消纳地（配套化粪池）70座，隔离防护网1080m，生态浮岛（9m</w:t>
            </w:r>
            <w:r>
              <w:rPr>
                <w:rFonts w:cs="Times New Roman"/>
                <w:kern w:val="0"/>
                <w:sz w:val="21"/>
                <w:szCs w:val="21"/>
                <w:vertAlign w:val="superscript"/>
              </w:rPr>
              <w:t>2</w:t>
            </w:r>
            <w:r>
              <w:rPr>
                <w:rFonts w:cs="Times New Roman"/>
                <w:kern w:val="0"/>
                <w:sz w:val="21"/>
                <w:szCs w:val="21"/>
              </w:rPr>
              <w:t>）30座，生态基质处理46100m</w:t>
            </w:r>
            <w:r>
              <w:rPr>
                <w:rFonts w:cs="Times New Roman"/>
                <w:kern w:val="0"/>
                <w:sz w:val="22"/>
                <w:szCs w:val="22"/>
                <w:vertAlign w:val="superscript"/>
              </w:rPr>
              <w:t>3</w:t>
            </w:r>
            <w:r>
              <w:rPr>
                <w:rFonts w:cs="Times New Roman"/>
                <w:kern w:val="0"/>
                <w:sz w:val="21"/>
                <w:szCs w:val="21"/>
              </w:rPr>
              <w:t>。</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县生态环境局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eastAsia="等线" w:cs="Times New Roman"/>
                <w:kern w:val="0"/>
                <w:sz w:val="21"/>
                <w:szCs w:val="21"/>
              </w:rPr>
            </w:pPr>
            <w:r>
              <w:rPr>
                <w:rFonts w:eastAsia="Tahoma" w:cs="Times New Roman"/>
                <w:kern w:val="0"/>
                <w:sz w:val="21"/>
                <w:szCs w:val="21"/>
              </w:rPr>
              <w:t>1923.81</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4</w:t>
            </w:r>
          </w:p>
        </w:tc>
        <w:tc>
          <w:tcPr>
            <w:tcW w:w="126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提升土壤环境质量</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奉节县高标准农田建设项目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cs="Times New Roman"/>
                <w:kern w:val="0"/>
                <w:sz w:val="21"/>
                <w:szCs w:val="21"/>
              </w:rPr>
            </w:pPr>
            <w:r>
              <w:rPr>
                <w:rFonts w:hint="eastAsia" w:cs="Times New Roman"/>
                <w:kern w:val="0"/>
                <w:sz w:val="21"/>
                <w:szCs w:val="21"/>
              </w:rPr>
              <w:t>至2025年累计完成高标准农田48万亩，改造提升5万亩。通过“四改”即改大、改水、改路、改土等措施，使耕地质量有较大提升，农田逐步达到宜机化目标。</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县农业农村委</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 xml:space="preserve">50793.12 </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649" w:type="dxa"/>
            <w:tcBorders>
              <w:bottom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eastAsia="等线" w:cs="Times New Roman"/>
                <w:kern w:val="0"/>
                <w:sz w:val="21"/>
                <w:szCs w:val="21"/>
              </w:rPr>
              <w:t>5</w:t>
            </w:r>
          </w:p>
        </w:tc>
        <w:tc>
          <w:tcPr>
            <w:tcW w:w="1266" w:type="dxa"/>
            <w:tcBorders>
              <w:bottom w:val="single" w:color="auto" w:sz="4" w:space="0"/>
            </w:tcBorders>
            <w:vAlign w:val="center"/>
          </w:tcPr>
          <w:p>
            <w:pPr>
              <w:widowControl/>
              <w:spacing w:line="0" w:lineRule="atLeast"/>
              <w:ind w:firstLine="0" w:firstLineChars="0"/>
              <w:jc w:val="left"/>
              <w:rPr>
                <w:rFonts w:cs="Times New Roman"/>
                <w:kern w:val="0"/>
                <w:sz w:val="21"/>
                <w:szCs w:val="21"/>
              </w:rPr>
            </w:pPr>
            <w:r>
              <w:rPr>
                <w:rFonts w:cs="Times New Roman"/>
                <w:kern w:val="0"/>
                <w:sz w:val="21"/>
                <w:szCs w:val="21"/>
              </w:rPr>
              <w:t>生态环境监测</w:t>
            </w:r>
            <w:r>
              <w:rPr>
                <w:rFonts w:hint="eastAsia" w:cs="Times New Roman"/>
                <w:kern w:val="0"/>
                <w:sz w:val="21"/>
                <w:szCs w:val="21"/>
              </w:rPr>
              <w:t>能力</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cs="Times New Roman"/>
                <w:kern w:val="0"/>
                <w:sz w:val="21"/>
                <w:szCs w:val="21"/>
              </w:rPr>
            </w:pPr>
            <w:r>
              <w:rPr>
                <w:rFonts w:cs="Times New Roman"/>
                <w:kern w:val="0"/>
                <w:sz w:val="21"/>
                <w:szCs w:val="21"/>
              </w:rPr>
              <w:t>奉节县生态环境应急监测能力建设</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cs="Times New Roman"/>
                <w:kern w:val="0"/>
                <w:sz w:val="21"/>
                <w:szCs w:val="21"/>
              </w:rPr>
            </w:pPr>
            <w:r>
              <w:rPr>
                <w:rFonts w:cs="Times New Roman"/>
                <w:kern w:val="0"/>
                <w:sz w:val="21"/>
                <w:szCs w:val="21"/>
              </w:rPr>
              <w:t>购置水质、大气、土壤等监测设备50台</w:t>
            </w:r>
            <w:r>
              <w:rPr>
                <w:rFonts w:hint="eastAsia" w:cs="Times New Roman"/>
                <w:kern w:val="0"/>
                <w:sz w:val="21"/>
                <w:szCs w:val="21"/>
              </w:rPr>
              <w:t>（套）。</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县生态环境局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200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cs="Times New Roman"/>
                <w:kern w:val="0"/>
                <w:sz w:val="21"/>
                <w:szCs w:val="21"/>
              </w:rPr>
            </w:pPr>
            <w:r>
              <w:rPr>
                <w:rFonts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166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b/>
                <w:bCs/>
                <w:kern w:val="0"/>
                <w:sz w:val="21"/>
                <w:szCs w:val="21"/>
              </w:rPr>
            </w:pPr>
            <w:r>
              <w:rPr>
                <w:rFonts w:hint="eastAsia" w:ascii="方正楷体_GBK" w:eastAsia="方正楷体_GBK" w:cs="Times New Roman"/>
                <w:kern w:val="0"/>
                <w:sz w:val="21"/>
                <w:szCs w:val="21"/>
              </w:rPr>
              <w:t>二</w:t>
            </w:r>
            <w:r>
              <w:rPr>
                <w:rFonts w:ascii="方正楷体_GBK" w:eastAsia="方正楷体_GBK" w:cs="Times New Roman"/>
                <w:kern w:val="0"/>
                <w:sz w:val="21"/>
                <w:szCs w:val="21"/>
              </w:rPr>
              <w:t>、筑牢生态安全屏障</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379686</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6</w:t>
            </w:r>
          </w:p>
        </w:tc>
        <w:tc>
          <w:tcPr>
            <w:tcW w:w="1266" w:type="dxa"/>
            <w:tcBorders>
              <w:bottom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cs="Times New Roman"/>
                <w:kern w:val="0"/>
                <w:sz w:val="21"/>
                <w:szCs w:val="21"/>
              </w:rPr>
              <w:t>构建</w:t>
            </w:r>
            <w:r>
              <w:rPr>
                <w:rFonts w:cs="Times New Roman"/>
                <w:kern w:val="0"/>
                <w:sz w:val="21"/>
                <w:szCs w:val="21"/>
              </w:rPr>
              <w:t>生态安全格局</w:t>
            </w:r>
          </w:p>
        </w:tc>
        <w:tc>
          <w:tcPr>
            <w:tcW w:w="2057" w:type="dxa"/>
            <w:tcBorders>
              <w:bottom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奉节县长江南岸</w:t>
            </w:r>
          </w:p>
          <w:p>
            <w:pPr>
              <w:widowControl/>
              <w:spacing w:line="0" w:lineRule="atLeast"/>
              <w:ind w:firstLine="0" w:firstLineChars="0"/>
              <w:jc w:val="center"/>
              <w:rPr>
                <w:rFonts w:eastAsia="等线" w:cs="Times New Roman"/>
                <w:kern w:val="0"/>
                <w:sz w:val="21"/>
                <w:szCs w:val="21"/>
              </w:rPr>
            </w:pPr>
            <w:r>
              <w:rPr>
                <w:rFonts w:cs="Times New Roman"/>
                <w:kern w:val="0"/>
                <w:sz w:val="21"/>
                <w:szCs w:val="21"/>
              </w:rPr>
              <w:t>岸线综合治理</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cs="Times New Roman"/>
                <w:kern w:val="0"/>
                <w:sz w:val="21"/>
                <w:szCs w:val="21"/>
              </w:rPr>
              <w:t>永乐镇陈家社区至白龙段：库岸整治全长</w:t>
            </w:r>
            <w:r>
              <w:rPr>
                <w:rFonts w:eastAsia="等线" w:cs="Times New Roman"/>
                <w:kern w:val="0"/>
                <w:sz w:val="21"/>
                <w:szCs w:val="21"/>
              </w:rPr>
              <w:t>11.21</w:t>
            </w:r>
            <w:r>
              <w:rPr>
                <w:rFonts w:cs="Times New Roman"/>
                <w:kern w:val="0"/>
                <w:sz w:val="21"/>
                <w:szCs w:val="21"/>
              </w:rPr>
              <w:t>㎞，建设内容主要包括库岸整治、消落区治理、步游道及景观绿化等。其中：全斜坡式护岸段长</w:t>
            </w:r>
            <w:r>
              <w:rPr>
                <w:rFonts w:eastAsia="等线" w:cs="Times New Roman"/>
                <w:kern w:val="0"/>
                <w:sz w:val="21"/>
                <w:szCs w:val="21"/>
              </w:rPr>
              <w:t>1.78.</w:t>
            </w:r>
            <w:r>
              <w:rPr>
                <w:rFonts w:cs="Times New Roman"/>
                <w:kern w:val="0"/>
                <w:sz w:val="21"/>
                <w:szCs w:val="21"/>
              </w:rPr>
              <w:t>㎞，直斜复合式护岸段长</w:t>
            </w:r>
            <w:r>
              <w:rPr>
                <w:rFonts w:eastAsia="等线" w:cs="Times New Roman"/>
                <w:kern w:val="0"/>
                <w:sz w:val="21"/>
                <w:szCs w:val="21"/>
              </w:rPr>
              <w:t>5.62</w:t>
            </w:r>
            <w:r>
              <w:rPr>
                <w:rFonts w:cs="Times New Roman"/>
                <w:kern w:val="0"/>
                <w:sz w:val="21"/>
                <w:szCs w:val="21"/>
              </w:rPr>
              <w:t>㎞，维持天然岸坡长</w:t>
            </w:r>
            <w:r>
              <w:rPr>
                <w:rFonts w:eastAsia="等线" w:cs="Times New Roman"/>
                <w:kern w:val="0"/>
                <w:sz w:val="21"/>
                <w:szCs w:val="21"/>
              </w:rPr>
              <w:t>3.81</w:t>
            </w:r>
            <w:r>
              <w:rPr>
                <w:rFonts w:cs="Times New Roman"/>
                <w:kern w:val="0"/>
                <w:sz w:val="21"/>
                <w:szCs w:val="21"/>
              </w:rPr>
              <w:t>㎞。对高程</w:t>
            </w:r>
            <w:r>
              <w:rPr>
                <w:rFonts w:eastAsia="等线" w:cs="Times New Roman"/>
                <w:kern w:val="0"/>
                <w:sz w:val="21"/>
                <w:szCs w:val="21"/>
              </w:rPr>
              <w:t>160m</w:t>
            </w:r>
            <w:r>
              <w:rPr>
                <w:rFonts w:cs="Times New Roman"/>
                <w:kern w:val="0"/>
                <w:sz w:val="21"/>
                <w:szCs w:val="21"/>
              </w:rPr>
              <w:t>～</w:t>
            </w:r>
            <w:r>
              <w:rPr>
                <w:rFonts w:eastAsia="等线" w:cs="Times New Roman"/>
                <w:kern w:val="0"/>
                <w:sz w:val="21"/>
                <w:szCs w:val="21"/>
              </w:rPr>
              <w:t>150.2m</w:t>
            </w:r>
            <w:r>
              <w:rPr>
                <w:rFonts w:cs="Times New Roman"/>
                <w:kern w:val="0"/>
                <w:sz w:val="21"/>
                <w:szCs w:val="21"/>
              </w:rPr>
              <w:t>库水淹没较长时间岸坡采用抗冲刷能力强的混凝土预制六棱块护坡；对高程</w:t>
            </w:r>
            <w:r>
              <w:rPr>
                <w:rFonts w:eastAsia="等线" w:cs="Times New Roman"/>
                <w:kern w:val="0"/>
                <w:sz w:val="21"/>
                <w:szCs w:val="21"/>
              </w:rPr>
              <w:t>160.00m</w:t>
            </w:r>
            <w:r>
              <w:rPr>
                <w:rFonts w:cs="Times New Roman"/>
                <w:kern w:val="0"/>
                <w:sz w:val="21"/>
                <w:szCs w:val="21"/>
              </w:rPr>
              <w:t>～</w:t>
            </w:r>
            <w:r>
              <w:rPr>
                <w:rFonts w:eastAsia="等线" w:cs="Times New Roman"/>
                <w:kern w:val="0"/>
                <w:sz w:val="21"/>
                <w:szCs w:val="21"/>
              </w:rPr>
              <w:t>175.14m</w:t>
            </w:r>
            <w:r>
              <w:rPr>
                <w:rFonts w:cs="Times New Roman"/>
                <w:kern w:val="0"/>
                <w:sz w:val="21"/>
                <w:szCs w:val="21"/>
              </w:rPr>
              <w:t>之间采用</w:t>
            </w:r>
            <w:r>
              <w:rPr>
                <w:rFonts w:eastAsia="等线" w:cs="Times New Roman"/>
                <w:kern w:val="0"/>
                <w:sz w:val="21"/>
                <w:szCs w:val="21"/>
              </w:rPr>
              <w:t>C25</w:t>
            </w:r>
            <w:r>
              <w:rPr>
                <w:rFonts w:cs="Times New Roman"/>
                <w:kern w:val="0"/>
                <w:sz w:val="21"/>
                <w:szCs w:val="21"/>
              </w:rPr>
              <w:t>砼框格植草护坡型式；步游道</w:t>
            </w:r>
            <w:r>
              <w:rPr>
                <w:rFonts w:eastAsia="等线" w:cs="Times New Roman"/>
                <w:kern w:val="0"/>
                <w:sz w:val="21"/>
                <w:szCs w:val="21"/>
              </w:rPr>
              <w:t>42</w:t>
            </w:r>
            <w:r>
              <w:rPr>
                <w:rFonts w:cs="Times New Roman"/>
                <w:kern w:val="0"/>
                <w:sz w:val="21"/>
                <w:szCs w:val="21"/>
              </w:rPr>
              <w:t>㎞，景观绿化</w:t>
            </w:r>
            <w:r>
              <w:rPr>
                <w:rFonts w:eastAsia="等线" w:cs="Times New Roman"/>
                <w:kern w:val="0"/>
                <w:sz w:val="21"/>
                <w:szCs w:val="21"/>
              </w:rPr>
              <w:t>45</w:t>
            </w:r>
            <w:r>
              <w:rPr>
                <w:rFonts w:cs="Times New Roman"/>
                <w:kern w:val="0"/>
                <w:sz w:val="21"/>
                <w:szCs w:val="21"/>
              </w:rPr>
              <w:t>万</w:t>
            </w:r>
            <w:r>
              <w:rPr>
                <w:rFonts w:eastAsia="等线" w:cs="Times New Roman"/>
                <w:kern w:val="0"/>
                <w:sz w:val="21"/>
                <w:szCs w:val="21"/>
              </w:rPr>
              <w:t>m</w:t>
            </w:r>
            <w:r>
              <w:rPr>
                <w:rFonts w:eastAsia="等线" w:cs="Times New Roman"/>
                <w:kern w:val="0"/>
                <w:sz w:val="21"/>
                <w:szCs w:val="21"/>
                <w:vertAlign w:val="superscript"/>
              </w:rPr>
              <w:t>2</w:t>
            </w:r>
            <w:r>
              <w:rPr>
                <w:rFonts w:cs="Times New Roman"/>
                <w:kern w:val="0"/>
                <w:sz w:val="21"/>
                <w:szCs w:val="21"/>
              </w:rPr>
              <w:t>。</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县水利局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150370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7</w:t>
            </w:r>
          </w:p>
        </w:tc>
        <w:tc>
          <w:tcPr>
            <w:tcW w:w="12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生态系统保护</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奉节县天然林保护修复工程</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天然林保护修复工程：保护修复天然林面积</w:t>
            </w:r>
            <w:r>
              <w:rPr>
                <w:rFonts w:eastAsia="等线" w:cs="Times New Roman"/>
                <w:kern w:val="0"/>
                <w:sz w:val="21"/>
                <w:szCs w:val="21"/>
              </w:rPr>
              <w:t>325.5</w:t>
            </w:r>
            <w:r>
              <w:rPr>
                <w:rFonts w:cs="Times New Roman"/>
                <w:kern w:val="0"/>
                <w:sz w:val="21"/>
                <w:szCs w:val="21"/>
              </w:rPr>
              <w:t>万亩。公益林</w:t>
            </w:r>
          </w:p>
          <w:p>
            <w:pPr>
              <w:widowControl/>
              <w:spacing w:line="0" w:lineRule="atLeast"/>
              <w:ind w:firstLine="0" w:firstLineChars="0"/>
              <w:rPr>
                <w:rFonts w:eastAsia="等线" w:cs="Times New Roman"/>
                <w:kern w:val="0"/>
                <w:sz w:val="21"/>
                <w:szCs w:val="21"/>
              </w:rPr>
            </w:pPr>
            <w:r>
              <w:rPr>
                <w:rFonts w:cs="Times New Roman"/>
                <w:kern w:val="0"/>
                <w:sz w:val="21"/>
                <w:szCs w:val="21"/>
              </w:rPr>
              <w:t>森林保护管护，生态补偿，中幼林抚育，公益林建设等。</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县林业局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50000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49" w:type="dxa"/>
            <w:tcBorders>
              <w:bottom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8</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tc>
        <w:tc>
          <w:tcPr>
            <w:tcW w:w="2057" w:type="dxa"/>
            <w:tcBorders>
              <w:bottom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w:t>
            </w:r>
            <w:r>
              <w:rPr>
                <w:rFonts w:hint="eastAsia" w:ascii="方正仿宋_GBK" w:cs="方正仿宋_GBK"/>
                <w:kern w:val="0"/>
                <w:sz w:val="21"/>
                <w:szCs w:val="21"/>
              </w:rPr>
              <w:t>“两岸青山·千里林带”</w:t>
            </w:r>
            <w:r>
              <w:rPr>
                <w:rFonts w:cs="Times New Roman"/>
                <w:kern w:val="0"/>
                <w:sz w:val="21"/>
                <w:szCs w:val="21"/>
              </w:rPr>
              <w:t>建设项目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cs="Times New Roman"/>
                <w:kern w:val="0"/>
                <w:sz w:val="21"/>
                <w:szCs w:val="21"/>
              </w:rPr>
              <w:t>奉节县</w:t>
            </w:r>
            <w:r>
              <w:rPr>
                <w:rFonts w:hint="eastAsia" w:ascii="方正仿宋_GBK" w:cs="方正仿宋_GBK"/>
                <w:kern w:val="0"/>
                <w:sz w:val="21"/>
                <w:szCs w:val="21"/>
              </w:rPr>
              <w:t>“两岸青山·千里林带”建</w:t>
            </w:r>
            <w:r>
              <w:rPr>
                <w:rFonts w:cs="Times New Roman"/>
                <w:kern w:val="0"/>
                <w:sz w:val="21"/>
                <w:szCs w:val="21"/>
              </w:rPr>
              <w:t>设项目：营造林面积</w:t>
            </w:r>
            <w:r>
              <w:rPr>
                <w:rFonts w:eastAsia="等线" w:cs="Times New Roman"/>
                <w:kern w:val="0"/>
                <w:sz w:val="21"/>
                <w:szCs w:val="21"/>
              </w:rPr>
              <w:t>29.25</w:t>
            </w:r>
            <w:r>
              <w:rPr>
                <w:rFonts w:cs="Times New Roman"/>
                <w:kern w:val="0"/>
                <w:sz w:val="21"/>
                <w:szCs w:val="21"/>
              </w:rPr>
              <w:t>万亩。宜林地和灌木林地培育，国家特别灌木林地培育，景观林，低效林改造，园区和城镇绿化等。</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县林业局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80475</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w:t>
            </w:r>
            <w:r>
              <w:rPr>
                <w:rFonts w:hint="eastAsia" w:eastAsia="等线" w:cs="Times New Roman"/>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49" w:type="dxa"/>
            <w:tcBorders>
              <w:top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9</w:t>
            </w:r>
          </w:p>
        </w:tc>
        <w:tc>
          <w:tcPr>
            <w:tcW w:w="12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2057" w:type="dxa"/>
            <w:tcBorders>
              <w:top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重庆市奉节县渝东北岭谷区生态保护修复项目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cs="Times New Roman"/>
                <w:kern w:val="0"/>
                <w:sz w:val="21"/>
                <w:szCs w:val="21"/>
              </w:rPr>
            </w:pPr>
            <w:r>
              <w:rPr>
                <w:rFonts w:cs="Times New Roman"/>
                <w:kern w:val="0"/>
                <w:sz w:val="21"/>
                <w:szCs w:val="21"/>
              </w:rPr>
              <w:t>在康乐、康坪、朱衣、永乐、白帝等乡镇实施人工造林</w:t>
            </w:r>
            <w:r>
              <w:rPr>
                <w:rFonts w:hint="eastAsia" w:cs="Times New Roman"/>
                <w:kern w:val="0"/>
                <w:sz w:val="21"/>
                <w:szCs w:val="21"/>
              </w:rPr>
              <w:t>4万亩，封山育林3万亩，退化 林修复15万亩。</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县林业局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14453</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2022-2024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10</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奉节县松材线虫病等有害生物防控工程</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cs="Times New Roman"/>
                <w:kern w:val="0"/>
                <w:sz w:val="21"/>
                <w:szCs w:val="21"/>
              </w:rPr>
              <w:t>奉节县松材线虫病等有害生物防控工程：构建一体化监测体系。林业有害生物检测站。</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县林业局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2500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11</w:t>
            </w:r>
          </w:p>
        </w:tc>
        <w:tc>
          <w:tcPr>
            <w:tcW w:w="12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cs="Times New Roman"/>
                <w:kern w:val="0"/>
                <w:sz w:val="21"/>
                <w:szCs w:val="21"/>
              </w:rPr>
              <w:t>生态脆弱区域生态修复</w:t>
            </w:r>
          </w:p>
          <w:p>
            <w:pPr>
              <w:widowControl/>
              <w:spacing w:line="0" w:lineRule="atLeast"/>
              <w:ind w:firstLine="0" w:firstLineChars="0"/>
              <w:jc w:val="center"/>
              <w:rPr>
                <w:rFonts w:eastAsia="等线" w:cs="Times New Roman"/>
                <w:kern w:val="0"/>
                <w:sz w:val="21"/>
                <w:szCs w:val="21"/>
              </w:rPr>
            </w:p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消落带专项治理</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cs="Times New Roman"/>
                <w:kern w:val="0"/>
                <w:sz w:val="21"/>
                <w:szCs w:val="21"/>
              </w:rPr>
              <w:t>奉节县草堂湖岸线及消落区综合治理工程：岸线治理总长为</w:t>
            </w:r>
            <w:r>
              <w:rPr>
                <w:rFonts w:eastAsia="等线" w:cs="Times New Roman"/>
                <w:kern w:val="0"/>
                <w:sz w:val="21"/>
                <w:szCs w:val="21"/>
              </w:rPr>
              <w:t>23.0km</w:t>
            </w:r>
            <w:r>
              <w:rPr>
                <w:rFonts w:cs="Times New Roman"/>
                <w:kern w:val="0"/>
                <w:sz w:val="21"/>
                <w:szCs w:val="21"/>
              </w:rPr>
              <w:t>。草堂湖左岸岸线长</w:t>
            </w:r>
            <w:r>
              <w:rPr>
                <w:rFonts w:eastAsia="等线" w:cs="Times New Roman"/>
                <w:kern w:val="0"/>
                <w:sz w:val="21"/>
                <w:szCs w:val="21"/>
              </w:rPr>
              <w:t xml:space="preserve"> 7.0km</w:t>
            </w:r>
            <w:r>
              <w:rPr>
                <w:rFonts w:cs="Times New Roman"/>
                <w:kern w:val="0"/>
                <w:sz w:val="21"/>
                <w:szCs w:val="21"/>
              </w:rPr>
              <w:t>，右岸岸线长</w:t>
            </w:r>
            <w:r>
              <w:rPr>
                <w:rFonts w:eastAsia="等线" w:cs="Times New Roman"/>
                <w:kern w:val="0"/>
                <w:sz w:val="21"/>
                <w:szCs w:val="21"/>
              </w:rPr>
              <w:t xml:space="preserve"> 9.0km</w:t>
            </w:r>
            <w:r>
              <w:rPr>
                <w:rFonts w:cs="Times New Roman"/>
                <w:kern w:val="0"/>
                <w:sz w:val="21"/>
                <w:szCs w:val="21"/>
              </w:rPr>
              <w:t>；石马河左岸岸线长</w:t>
            </w:r>
            <w:r>
              <w:rPr>
                <w:rFonts w:eastAsia="等线" w:cs="Times New Roman"/>
                <w:kern w:val="0"/>
                <w:sz w:val="21"/>
                <w:szCs w:val="21"/>
              </w:rPr>
              <w:t xml:space="preserve"> 4.0km</w:t>
            </w:r>
            <w:r>
              <w:rPr>
                <w:rFonts w:cs="Times New Roman"/>
                <w:kern w:val="0"/>
                <w:sz w:val="21"/>
                <w:szCs w:val="21"/>
              </w:rPr>
              <w:t>，右岸岸线长</w:t>
            </w:r>
            <w:r>
              <w:rPr>
                <w:rFonts w:eastAsia="等线" w:cs="Times New Roman"/>
                <w:kern w:val="0"/>
                <w:sz w:val="21"/>
                <w:szCs w:val="21"/>
              </w:rPr>
              <w:t xml:space="preserve"> 3.0km</w:t>
            </w:r>
            <w:r>
              <w:rPr>
                <w:rFonts w:cs="Times New Roman"/>
                <w:kern w:val="0"/>
                <w:sz w:val="21"/>
                <w:szCs w:val="21"/>
              </w:rPr>
              <w:t>。生态修复工程包括八阵村滨水生态修复区、坪上村滨水生态修复区、白帝镇滨水生态修复区和瞿塘村滨水生态修复区等四处。主要内容包括</w:t>
            </w:r>
            <w:r>
              <w:rPr>
                <w:rFonts w:hint="eastAsia" w:eastAsia="等线" w:cs="Times New Roman"/>
                <w:kern w:val="0"/>
                <w:sz w:val="21"/>
                <w:szCs w:val="21"/>
              </w:rPr>
              <w:t>：</w:t>
            </w:r>
            <w:r>
              <w:rPr>
                <w:rFonts w:cs="Times New Roman"/>
                <w:kern w:val="0"/>
                <w:sz w:val="21"/>
                <w:szCs w:val="21"/>
              </w:rPr>
              <w:t>岸线整治、消落区治理、滑坡治理、桥涵及附属工程等。</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县水利局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72388</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12</w:t>
            </w:r>
          </w:p>
        </w:tc>
        <w:tc>
          <w:tcPr>
            <w:tcW w:w="12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w:t>
            </w:r>
            <w:r>
              <w:rPr>
                <w:rFonts w:eastAsia="等线" w:cs="Times New Roman"/>
                <w:kern w:val="0"/>
                <w:sz w:val="21"/>
                <w:szCs w:val="21"/>
              </w:rPr>
              <w:t>2022</w:t>
            </w:r>
            <w:r>
              <w:rPr>
                <w:rFonts w:cs="Times New Roman"/>
                <w:kern w:val="0"/>
                <w:sz w:val="21"/>
                <w:szCs w:val="21"/>
              </w:rPr>
              <w:t>年水土流失综合治理白帝石庙、坪上项目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cs="Times New Roman"/>
                <w:kern w:val="0"/>
                <w:sz w:val="21"/>
                <w:szCs w:val="21"/>
              </w:rPr>
              <w:t>小流域治理水土流失面积</w:t>
            </w:r>
            <w:r>
              <w:rPr>
                <w:rFonts w:eastAsia="等线" w:cs="Times New Roman"/>
                <w:kern w:val="0"/>
                <w:sz w:val="21"/>
                <w:szCs w:val="21"/>
              </w:rPr>
              <w:t>2</w:t>
            </w:r>
            <w:r>
              <w:rPr>
                <w:rFonts w:hint="eastAsia" w:eastAsia="等线" w:cs="Times New Roman"/>
                <w:kern w:val="0"/>
                <w:sz w:val="21"/>
                <w:szCs w:val="21"/>
              </w:rPr>
              <w:t>0</w:t>
            </w:r>
            <w:r>
              <w:rPr>
                <w:rFonts w:eastAsia="等线" w:cs="Times New Roman"/>
                <w:kern w:val="0"/>
                <w:sz w:val="21"/>
                <w:szCs w:val="21"/>
              </w:rPr>
              <w:t>.00km</w:t>
            </w:r>
            <w:r>
              <w:rPr>
                <w:rFonts w:eastAsia="等线" w:cs="Times New Roman"/>
                <w:kern w:val="0"/>
                <w:sz w:val="21"/>
                <w:szCs w:val="21"/>
                <w:vertAlign w:val="superscript"/>
              </w:rPr>
              <w:t>2</w:t>
            </w:r>
            <w:r>
              <w:rPr>
                <w:rFonts w:cs="Times New Roman"/>
                <w:kern w:val="0"/>
                <w:sz w:val="21"/>
                <w:szCs w:val="21"/>
              </w:rPr>
              <w:t>，结合乡村振兴战略，本次各项治理措施包含建设坡改梯，保土耕作，封禁治理，蓄水池，作业道路，截排水沟，沉砂池，小流域碑等。</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县水利局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1</w:t>
            </w:r>
            <w:r>
              <w:rPr>
                <w:rFonts w:eastAsia="等线" w:cs="Times New Roman"/>
                <w:kern w:val="0"/>
                <w:sz w:val="21"/>
                <w:szCs w:val="21"/>
              </w:rPr>
              <w:t xml:space="preserve">000 </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13</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奉节县水土保持综合治理工程鹤峰</w:t>
            </w:r>
            <w:r>
              <w:rPr>
                <w:rFonts w:hint="eastAsia" w:cs="Times New Roman"/>
                <w:kern w:val="0"/>
                <w:sz w:val="21"/>
                <w:szCs w:val="21"/>
              </w:rPr>
              <w:t>柳池</w:t>
            </w:r>
            <w:r>
              <w:rPr>
                <w:rFonts w:cs="Times New Roman"/>
                <w:kern w:val="0"/>
                <w:sz w:val="21"/>
                <w:szCs w:val="21"/>
              </w:rPr>
              <w:t>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cs="Times New Roman"/>
                <w:kern w:val="0"/>
                <w:sz w:val="21"/>
                <w:szCs w:val="21"/>
              </w:rPr>
              <w:t>小流域治理水土流失面积</w:t>
            </w:r>
            <w:r>
              <w:rPr>
                <w:rFonts w:eastAsia="等线" w:cs="Times New Roman"/>
                <w:kern w:val="0"/>
                <w:sz w:val="21"/>
                <w:szCs w:val="21"/>
              </w:rPr>
              <w:t>20.00km</w:t>
            </w:r>
            <w:r>
              <w:rPr>
                <w:rFonts w:eastAsia="等线" w:cs="Times New Roman"/>
                <w:kern w:val="0"/>
                <w:sz w:val="21"/>
                <w:szCs w:val="21"/>
                <w:vertAlign w:val="superscript"/>
              </w:rPr>
              <w:t>2</w:t>
            </w:r>
            <w:r>
              <w:rPr>
                <w:rFonts w:cs="Times New Roman"/>
                <w:kern w:val="0"/>
                <w:sz w:val="21"/>
                <w:szCs w:val="21"/>
              </w:rPr>
              <w:t>，结合乡村振兴战略，本次各项治理措施包含建设坡改梯，保土耕作，封禁治理，蓄水池，作业道路，截排水沟，沉砂池，小流域碑等。</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县水利局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1000</w:t>
            </w:r>
            <w:r>
              <w:rPr>
                <w:rFonts w:eastAsia="等线" w:cs="Times New Roman"/>
                <w:kern w:val="0"/>
                <w:sz w:val="21"/>
                <w:szCs w:val="21"/>
              </w:rPr>
              <w:t xml:space="preserve"> </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14</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奉节县水土保持综合治理工程</w:t>
            </w:r>
            <w:r>
              <w:rPr>
                <w:rFonts w:hint="eastAsia" w:cs="Times New Roman"/>
                <w:kern w:val="0"/>
                <w:sz w:val="21"/>
                <w:szCs w:val="21"/>
              </w:rPr>
              <w:t>白帝</w:t>
            </w:r>
            <w:r>
              <w:rPr>
                <w:rFonts w:cs="Times New Roman"/>
                <w:kern w:val="0"/>
                <w:sz w:val="21"/>
                <w:szCs w:val="21"/>
              </w:rPr>
              <w:t>镇</w:t>
            </w:r>
            <w:r>
              <w:rPr>
                <w:rFonts w:hint="eastAsia" w:cs="Times New Roman"/>
                <w:kern w:val="0"/>
                <w:sz w:val="21"/>
                <w:szCs w:val="21"/>
              </w:rPr>
              <w:t>铁佛、庙垭</w:t>
            </w:r>
            <w:r>
              <w:rPr>
                <w:rFonts w:cs="Times New Roman"/>
                <w:kern w:val="0"/>
                <w:sz w:val="21"/>
                <w:szCs w:val="21"/>
              </w:rPr>
              <w:t>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cs="Times New Roman"/>
                <w:kern w:val="0"/>
                <w:sz w:val="21"/>
                <w:szCs w:val="21"/>
              </w:rPr>
              <w:t>小流域治理水土流失面积</w:t>
            </w:r>
            <w:r>
              <w:rPr>
                <w:rFonts w:eastAsia="等线" w:cs="Times New Roman"/>
                <w:kern w:val="0"/>
                <w:sz w:val="21"/>
                <w:szCs w:val="21"/>
              </w:rPr>
              <w:t>20.00km</w:t>
            </w:r>
            <w:r>
              <w:rPr>
                <w:rFonts w:eastAsia="等线" w:cs="Times New Roman"/>
                <w:kern w:val="0"/>
                <w:sz w:val="21"/>
                <w:szCs w:val="21"/>
                <w:vertAlign w:val="superscript"/>
              </w:rPr>
              <w:t>2</w:t>
            </w:r>
            <w:r>
              <w:rPr>
                <w:rFonts w:cs="Times New Roman"/>
                <w:kern w:val="0"/>
                <w:sz w:val="21"/>
                <w:szCs w:val="21"/>
              </w:rPr>
              <w:t>，结合乡村振兴战略，本次各项治理措施包含建设坡改梯，经果林，保土耕作，封禁治理，蓄水池，作业道路，截排水沟，沉砂池，小流域碑等。</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县水利局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1000</w:t>
            </w:r>
            <w:r>
              <w:rPr>
                <w:rFonts w:eastAsia="等线" w:cs="Times New Roman"/>
                <w:kern w:val="0"/>
                <w:sz w:val="21"/>
                <w:szCs w:val="21"/>
              </w:rPr>
              <w:t xml:space="preserve"> </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 xml:space="preserve">2024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15</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奉节县水土保持综合治理工程鹤峰乡</w:t>
            </w:r>
            <w:r>
              <w:rPr>
                <w:rFonts w:hint="eastAsia" w:cs="Times New Roman"/>
                <w:kern w:val="0"/>
                <w:sz w:val="21"/>
                <w:szCs w:val="21"/>
              </w:rPr>
              <w:t>观斗</w:t>
            </w:r>
            <w:r>
              <w:rPr>
                <w:rFonts w:cs="Times New Roman"/>
                <w:kern w:val="0"/>
                <w:sz w:val="21"/>
                <w:szCs w:val="21"/>
              </w:rPr>
              <w:t>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cs="Times New Roman"/>
                <w:kern w:val="0"/>
                <w:sz w:val="21"/>
                <w:szCs w:val="21"/>
              </w:rPr>
              <w:t>小流域治理水土流失面积</w:t>
            </w:r>
            <w:r>
              <w:rPr>
                <w:rFonts w:eastAsia="等线" w:cs="Times New Roman"/>
                <w:kern w:val="0"/>
                <w:sz w:val="21"/>
                <w:szCs w:val="21"/>
              </w:rPr>
              <w:t>20.00km</w:t>
            </w:r>
            <w:r>
              <w:rPr>
                <w:rFonts w:hint="eastAsia" w:eastAsia="等线" w:cs="Times New Roman"/>
                <w:kern w:val="0"/>
                <w:sz w:val="21"/>
                <w:szCs w:val="21"/>
                <w:vertAlign w:val="superscript"/>
              </w:rPr>
              <w:t>2</w:t>
            </w:r>
            <w:r>
              <w:rPr>
                <w:rFonts w:cs="Times New Roman"/>
                <w:kern w:val="0"/>
                <w:sz w:val="21"/>
                <w:szCs w:val="21"/>
              </w:rPr>
              <w:t>，结合乡村振兴战略，本次各项治理措施包含建设坡改梯，经果林，保土耕作，封禁治理，蓄水池，作业道路，截排水沟，沉砂池，小流域碑等。</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县水利局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1000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 xml:space="preserve">2025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16</w:t>
            </w:r>
          </w:p>
        </w:tc>
        <w:tc>
          <w:tcPr>
            <w:tcW w:w="12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cs="Times New Roman"/>
                <w:kern w:val="0"/>
                <w:sz w:val="21"/>
                <w:szCs w:val="21"/>
              </w:rPr>
              <w:t>历史遗留和关闭矿山地质环境治理恢复与土地复垦项目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hint="eastAsia" w:cs="Times New Roman"/>
                <w:kern w:val="0"/>
                <w:sz w:val="21"/>
                <w:szCs w:val="21"/>
              </w:rPr>
              <w:t>完成历史遗留和关闭矿山地质环境治理恢复与土地复垦1650亩，按年度计划每年需完成约330亩，主要建设内容：建构筑物拆除，场地平整，表土覆盖，植被重构，保土排水等工程。</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cs="Times New Roman"/>
                <w:kern w:val="0"/>
                <w:sz w:val="21"/>
                <w:szCs w:val="21"/>
              </w:rPr>
              <w:t>县规划自然资源局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 xml:space="preserve">5000 </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17</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生态环境风险防范</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奉节县危险废物综合收集贮存项目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rPr>
                <w:rFonts w:eastAsia="等线" w:cs="Times New Roman"/>
                <w:kern w:val="0"/>
                <w:sz w:val="21"/>
                <w:szCs w:val="21"/>
              </w:rPr>
            </w:pPr>
            <w:r>
              <w:rPr>
                <w:rFonts w:cs="Times New Roman"/>
                <w:kern w:val="0"/>
                <w:sz w:val="21"/>
                <w:szCs w:val="21"/>
              </w:rPr>
              <w:t>建设厂房</w:t>
            </w:r>
            <w:r>
              <w:rPr>
                <w:rFonts w:eastAsia="等线" w:cs="Times New Roman"/>
                <w:kern w:val="0"/>
                <w:sz w:val="21"/>
                <w:szCs w:val="21"/>
              </w:rPr>
              <w:t>2000m</w:t>
            </w:r>
            <w:r>
              <w:rPr>
                <w:rFonts w:eastAsia="等线" w:cs="Times New Roman"/>
                <w:kern w:val="0"/>
                <w:sz w:val="21"/>
                <w:szCs w:val="21"/>
                <w:vertAlign w:val="superscript"/>
              </w:rPr>
              <w:t>2</w:t>
            </w:r>
            <w:r>
              <w:rPr>
                <w:rFonts w:cs="Times New Roman"/>
                <w:kern w:val="0"/>
                <w:sz w:val="21"/>
                <w:szCs w:val="21"/>
              </w:rPr>
              <w:t>及相关配套设施</w:t>
            </w:r>
            <w:r>
              <w:rPr>
                <w:rFonts w:hint="eastAsia" w:cs="Times New Roman"/>
                <w:kern w:val="0"/>
                <w:sz w:val="21"/>
                <w:szCs w:val="21"/>
              </w:rPr>
              <w:t>。</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县生态环境局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500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66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ascii="方正楷体_GBK" w:eastAsia="方正楷体_GBK" w:cs="Times New Roman"/>
                <w:kern w:val="0"/>
                <w:sz w:val="21"/>
                <w:szCs w:val="21"/>
              </w:rPr>
            </w:pPr>
            <w:r>
              <w:rPr>
                <w:rFonts w:hint="eastAsia" w:ascii="方正楷体_GBK" w:eastAsia="方正楷体_GBK" w:cs="Times New Roman"/>
                <w:kern w:val="0"/>
                <w:sz w:val="21"/>
                <w:szCs w:val="21"/>
              </w:rPr>
              <w:t>三、加快发展生态经济</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宋体" w:eastAsia="宋体" w:cs="宋体"/>
                <w:sz w:val="22"/>
                <w:szCs w:val="22"/>
              </w:rPr>
            </w:pPr>
            <w:r>
              <w:rPr>
                <w:rFonts w:hint="eastAsia" w:eastAsia="等线" w:cs="Times New Roman"/>
                <w:kern w:val="0"/>
                <w:sz w:val="21"/>
                <w:szCs w:val="21"/>
              </w:rPr>
              <w:t>83710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ascii="方正楷体_GBK" w:eastAsia="方正楷体_GBK"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18</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发展清洁能源</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2022年电网升级改造</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rPr>
                <w:rFonts w:eastAsia="等线" w:cs="Times New Roman"/>
                <w:kern w:val="0"/>
                <w:sz w:val="21"/>
                <w:szCs w:val="21"/>
              </w:rPr>
            </w:pPr>
            <w:r>
              <w:rPr>
                <w:rFonts w:hint="eastAsia" w:cs="Times New Roman"/>
                <w:kern w:val="0"/>
                <w:sz w:val="21"/>
                <w:szCs w:val="21"/>
              </w:rPr>
              <w:t>改造10kV及以下线路45km，增加变压器12500kVA。</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县经济信息委</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11000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19</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绿色低碳发展</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华电奉节发电厂工业节能低碳项目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0" w:lineRule="atLeast"/>
              <w:ind w:firstLine="0" w:firstLineChars="0"/>
              <w:rPr>
                <w:rFonts w:eastAsia="等线" w:cs="Times New Roman"/>
                <w:kern w:val="0"/>
                <w:sz w:val="21"/>
                <w:szCs w:val="21"/>
              </w:rPr>
            </w:pPr>
            <w:r>
              <w:rPr>
                <w:rFonts w:eastAsia="等线" w:cs="Times New Roman"/>
                <w:kern w:val="0"/>
                <w:sz w:val="21"/>
                <w:szCs w:val="21"/>
              </w:rPr>
              <w:t>#1</w:t>
            </w:r>
            <w:r>
              <w:rPr>
                <w:rFonts w:cs="Times New Roman"/>
                <w:kern w:val="0"/>
                <w:sz w:val="21"/>
                <w:szCs w:val="21"/>
              </w:rPr>
              <w:t>机组空预器蓄热元件改造；</w:t>
            </w:r>
            <w:r>
              <w:rPr>
                <w:rFonts w:eastAsia="等线" w:cs="Times New Roman"/>
                <w:kern w:val="0"/>
                <w:sz w:val="21"/>
                <w:szCs w:val="21"/>
              </w:rPr>
              <w:t>#2</w:t>
            </w:r>
            <w:r>
              <w:rPr>
                <w:rFonts w:cs="Times New Roman"/>
                <w:kern w:val="0"/>
                <w:sz w:val="21"/>
                <w:szCs w:val="21"/>
              </w:rPr>
              <w:t>机组空预器蓄热元件改造；</w:t>
            </w:r>
            <w:r>
              <w:rPr>
                <w:rFonts w:eastAsia="等线" w:cs="Times New Roman"/>
                <w:kern w:val="0"/>
                <w:sz w:val="21"/>
                <w:szCs w:val="21"/>
              </w:rPr>
              <w:t>#1</w:t>
            </w:r>
            <w:r>
              <w:rPr>
                <w:rFonts w:cs="Times New Roman"/>
                <w:kern w:val="0"/>
                <w:sz w:val="21"/>
                <w:szCs w:val="21"/>
              </w:rPr>
              <w:t>炉烟气余热利用改造；</w:t>
            </w:r>
            <w:r>
              <w:rPr>
                <w:rFonts w:eastAsia="等线" w:cs="Times New Roman"/>
                <w:kern w:val="0"/>
                <w:sz w:val="21"/>
                <w:szCs w:val="21"/>
              </w:rPr>
              <w:t>#2</w:t>
            </w:r>
            <w:r>
              <w:rPr>
                <w:rFonts w:cs="Times New Roman"/>
                <w:kern w:val="0"/>
                <w:sz w:val="21"/>
                <w:szCs w:val="21"/>
              </w:rPr>
              <w:t>炉烟气余热利用改造；锅炉灵活性改造；燃料智能化建设</w:t>
            </w:r>
            <w:r>
              <w:rPr>
                <w:rFonts w:hint="eastAsia" w:cs="Times New Roman"/>
                <w:kern w:val="0"/>
                <w:sz w:val="21"/>
                <w:szCs w:val="21"/>
              </w:rPr>
              <w:t>。</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0" w:lineRule="atLeast"/>
              <w:ind w:firstLine="0" w:firstLineChars="0"/>
              <w:jc w:val="center"/>
              <w:rPr>
                <w:rFonts w:eastAsia="等线" w:cs="Times New Roman"/>
                <w:kern w:val="0"/>
                <w:sz w:val="21"/>
                <w:szCs w:val="21"/>
              </w:rPr>
            </w:pPr>
            <w:r>
              <w:rPr>
                <w:rFonts w:cs="Times New Roman"/>
                <w:kern w:val="0"/>
                <w:sz w:val="21"/>
                <w:szCs w:val="21"/>
              </w:rPr>
              <w:t>县发展改革委</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0" w:lineRule="atLeast"/>
              <w:ind w:firstLine="0" w:firstLineChars="0"/>
              <w:jc w:val="center"/>
              <w:rPr>
                <w:rFonts w:eastAsia="等线" w:cs="Times New Roman"/>
                <w:kern w:val="0"/>
                <w:sz w:val="21"/>
                <w:szCs w:val="21"/>
              </w:rPr>
            </w:pPr>
            <w:r>
              <w:rPr>
                <w:rFonts w:eastAsia="等线" w:cs="Times New Roman"/>
                <w:kern w:val="0"/>
                <w:sz w:val="21"/>
                <w:szCs w:val="21"/>
              </w:rPr>
              <w:t>6710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0" w:lineRule="atLeast"/>
              <w:ind w:firstLine="0" w:firstLineChars="0"/>
              <w:jc w:val="center"/>
              <w:rPr>
                <w:rFonts w:eastAsia="等线" w:cs="Times New Roman"/>
                <w:kern w:val="0"/>
                <w:sz w:val="21"/>
                <w:szCs w:val="21"/>
              </w:rPr>
            </w:pPr>
            <w:r>
              <w:rPr>
                <w:rFonts w:eastAsia="等线" w:cs="Times New Roman"/>
                <w:kern w:val="0"/>
                <w:sz w:val="21"/>
                <w:szCs w:val="21"/>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w:t>
            </w:r>
          </w:p>
        </w:tc>
        <w:tc>
          <w:tcPr>
            <w:tcW w:w="12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产业生态发展</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奉节县</w:t>
            </w:r>
            <w:r>
              <w:rPr>
                <w:rFonts w:hint="eastAsia" w:cs="Times New Roman"/>
                <w:kern w:val="0"/>
                <w:sz w:val="21"/>
                <w:szCs w:val="21"/>
              </w:rPr>
              <w:t>生态工业</w:t>
            </w:r>
          </w:p>
          <w:p>
            <w:pPr>
              <w:widowControl/>
              <w:spacing w:line="0" w:lineRule="atLeast"/>
              <w:ind w:firstLine="0" w:firstLineChars="0"/>
              <w:jc w:val="center"/>
              <w:rPr>
                <w:rFonts w:eastAsia="等线" w:cs="Times New Roman"/>
                <w:kern w:val="0"/>
                <w:sz w:val="21"/>
                <w:szCs w:val="21"/>
              </w:rPr>
            </w:pPr>
            <w:r>
              <w:rPr>
                <w:rFonts w:cs="Times New Roman"/>
                <w:kern w:val="0"/>
                <w:sz w:val="21"/>
                <w:szCs w:val="21"/>
              </w:rPr>
              <w:t>小镇建设工程</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rPr>
                <w:rFonts w:eastAsia="等线" w:cs="Times New Roman"/>
                <w:kern w:val="0"/>
                <w:sz w:val="21"/>
                <w:szCs w:val="21"/>
              </w:rPr>
            </w:pPr>
            <w:r>
              <w:rPr>
                <w:rFonts w:cs="Times New Roman"/>
                <w:kern w:val="0"/>
                <w:sz w:val="21"/>
                <w:szCs w:val="21"/>
              </w:rPr>
              <w:t>规划建设生态工业小镇。</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ascii="Times New Roman" w:hAnsi="Times New Roman" w:eastAsia="方正仿宋_GBK"/>
                <w:sz w:val="24"/>
                <w:lang w:eastAsia="zh-CN"/>
              </w:rPr>
              <w:t>县工业公司</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31000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w:t>
            </w:r>
            <w:r>
              <w:rPr>
                <w:rFonts w:hint="eastAsia" w:eastAsia="等线" w:cs="Times New Roman"/>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21</w:t>
            </w:r>
          </w:p>
        </w:tc>
        <w:tc>
          <w:tcPr>
            <w:tcW w:w="12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2057" w:type="dxa"/>
            <w:tcBorders>
              <w:top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奉节县长江经济带化肥减量行动</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rPr>
                <w:rFonts w:eastAsia="等线" w:cs="Times New Roman"/>
                <w:kern w:val="0"/>
                <w:sz w:val="21"/>
                <w:szCs w:val="21"/>
              </w:rPr>
            </w:pPr>
            <w:r>
              <w:rPr>
                <w:rFonts w:cs="Times New Roman"/>
                <w:kern w:val="0"/>
                <w:sz w:val="21"/>
                <w:szCs w:val="21"/>
              </w:rPr>
              <w:t>实施测土配方施肥累计面积</w:t>
            </w:r>
            <w:r>
              <w:rPr>
                <w:rFonts w:eastAsia="等线" w:cs="Times New Roman"/>
                <w:kern w:val="0"/>
                <w:sz w:val="21"/>
                <w:szCs w:val="21"/>
              </w:rPr>
              <w:t>800</w:t>
            </w:r>
            <w:r>
              <w:rPr>
                <w:rFonts w:cs="Times New Roman"/>
                <w:kern w:val="0"/>
                <w:sz w:val="21"/>
                <w:szCs w:val="21"/>
              </w:rPr>
              <w:t>万亩。农作物种植区推广测土配方施肥，技术培训及宣传，脐橙、水稻、玉米、蔬菜等测土配方施肥</w:t>
            </w:r>
            <w:r>
              <w:rPr>
                <w:rFonts w:eastAsia="等线" w:cs="Times New Roman"/>
                <w:kern w:val="0"/>
                <w:sz w:val="21"/>
                <w:szCs w:val="21"/>
              </w:rPr>
              <w:t>10</w:t>
            </w:r>
            <w:r>
              <w:rPr>
                <w:rFonts w:cs="Times New Roman"/>
                <w:kern w:val="0"/>
                <w:sz w:val="21"/>
                <w:szCs w:val="21"/>
              </w:rPr>
              <w:t>个示范片建设</w:t>
            </w:r>
            <w:r>
              <w:rPr>
                <w:rFonts w:hint="eastAsia" w:cs="Times New Roman"/>
                <w:kern w:val="0"/>
                <w:sz w:val="21"/>
                <w:szCs w:val="21"/>
              </w:rPr>
              <w:t>。</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县农业农村委</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20000</w:t>
            </w:r>
          </w:p>
        </w:tc>
        <w:tc>
          <w:tcPr>
            <w:tcW w:w="1264" w:type="dxa"/>
            <w:tcBorders>
              <w:top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22</w:t>
            </w:r>
          </w:p>
        </w:tc>
        <w:tc>
          <w:tcPr>
            <w:tcW w:w="1266" w:type="dxa"/>
            <w:vMerge w:val="continue"/>
            <w:tcBorders>
              <w:bottom w:val="single" w:color="auto" w:sz="4" w:space="0"/>
            </w:tcBorders>
            <w:vAlign w:val="center"/>
          </w:tcPr>
          <w:p/>
        </w:tc>
        <w:tc>
          <w:tcPr>
            <w:tcW w:w="2057" w:type="dxa"/>
            <w:tcBorders>
              <w:bottom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奉节县果菜茶有机肥替代化肥项目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rPr>
                <w:rFonts w:eastAsia="等线" w:cs="Times New Roman"/>
                <w:kern w:val="0"/>
                <w:sz w:val="21"/>
                <w:szCs w:val="21"/>
              </w:rPr>
            </w:pPr>
            <w:r>
              <w:rPr>
                <w:rFonts w:cs="Times New Roman"/>
                <w:kern w:val="0"/>
                <w:sz w:val="21"/>
                <w:szCs w:val="21"/>
              </w:rPr>
              <w:t>实施面积累计</w:t>
            </w:r>
            <w:r>
              <w:rPr>
                <w:rFonts w:eastAsia="等线" w:cs="Times New Roman"/>
                <w:kern w:val="0"/>
                <w:sz w:val="21"/>
                <w:szCs w:val="21"/>
              </w:rPr>
              <w:t>12</w:t>
            </w:r>
            <w:r>
              <w:rPr>
                <w:rFonts w:cs="Times New Roman"/>
                <w:kern w:val="0"/>
                <w:sz w:val="21"/>
                <w:szCs w:val="21"/>
              </w:rPr>
              <w:t>万亩。蔬菜、脐橙及小水果种植区增施有机肥</w:t>
            </w:r>
            <w:r>
              <w:rPr>
                <w:rFonts w:hint="eastAsia" w:cs="Times New Roman"/>
                <w:kern w:val="0"/>
                <w:sz w:val="21"/>
                <w:szCs w:val="21"/>
              </w:rPr>
              <w:t>。</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县农业农村委</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15000</w:t>
            </w:r>
          </w:p>
        </w:tc>
        <w:tc>
          <w:tcPr>
            <w:tcW w:w="1264" w:type="dxa"/>
            <w:tcBorders>
              <w:bottom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66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hint="eastAsia" w:ascii="方正楷体_GBK" w:eastAsia="方正楷体_GBK" w:cs="Times New Roman"/>
                <w:kern w:val="0"/>
                <w:sz w:val="21"/>
                <w:szCs w:val="21"/>
              </w:rPr>
              <w:t>四</w:t>
            </w:r>
            <w:r>
              <w:rPr>
                <w:rFonts w:ascii="方正楷体_GBK" w:eastAsia="方正楷体_GBK" w:cs="Times New Roman"/>
                <w:kern w:val="0"/>
                <w:sz w:val="21"/>
                <w:szCs w:val="21"/>
              </w:rPr>
              <w:t>、优化生态人居环境</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151204.96</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23</w:t>
            </w:r>
          </w:p>
        </w:tc>
        <w:tc>
          <w:tcPr>
            <w:tcW w:w="126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0" w:lineRule="atLeast"/>
              <w:ind w:firstLine="0" w:firstLineChars="0"/>
              <w:jc w:val="center"/>
              <w:rPr>
                <w:rFonts w:eastAsia="等线" w:cs="Times New Roman"/>
                <w:kern w:val="0"/>
                <w:sz w:val="21"/>
                <w:szCs w:val="21"/>
              </w:rPr>
            </w:pPr>
            <w:r>
              <w:rPr>
                <w:rFonts w:hint="eastAsia" w:cs="Times New Roman"/>
                <w:kern w:val="0"/>
                <w:sz w:val="21"/>
                <w:szCs w:val="21"/>
              </w:rPr>
              <w:t>环境基础设施建设</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cs="Times New Roman"/>
                <w:kern w:val="0"/>
                <w:sz w:val="21"/>
                <w:szCs w:val="21"/>
              </w:rPr>
              <w:t>乡镇污水管网建设</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hint="eastAsia" w:cs="Times New Roman"/>
                <w:kern w:val="0"/>
                <w:sz w:val="21"/>
                <w:szCs w:val="21"/>
              </w:rPr>
              <w:t>新建乡镇污水管网31公里及其附属设施。</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县住房城乡建委</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13379.76</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24</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西部新城污水处理厂改造项目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cs="Times New Roman"/>
                <w:kern w:val="0"/>
                <w:sz w:val="21"/>
                <w:szCs w:val="21"/>
              </w:rPr>
            </w:pPr>
            <w:r>
              <w:rPr>
                <w:rFonts w:hint="eastAsia" w:cs="Times New Roman"/>
                <w:kern w:val="0"/>
                <w:sz w:val="21"/>
                <w:szCs w:val="21"/>
              </w:rPr>
              <w:t>对原西部新城污水处理厂（设计规模15000 m</w:t>
            </w:r>
            <w:r>
              <w:rPr>
                <w:rFonts w:hint="eastAsia" w:cs="Times New Roman"/>
                <w:kern w:val="0"/>
                <w:sz w:val="21"/>
                <w:szCs w:val="21"/>
                <w:vertAlign w:val="superscript"/>
              </w:rPr>
              <w:t>3</w:t>
            </w:r>
            <w:r>
              <w:rPr>
                <w:rFonts w:hint="eastAsia" w:cs="Times New Roman"/>
                <w:kern w:val="0"/>
                <w:sz w:val="21"/>
                <w:szCs w:val="21"/>
              </w:rPr>
              <w:t>/d）进行改造，提升出水水质达一级A标准，主要建设内容包括精细格栅渠及配水井、AAO-MBR生物池改造、紫外消毒渠改造、机修间改造等。</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县住房城乡建委</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3177.66</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25</w:t>
            </w:r>
          </w:p>
        </w:tc>
        <w:tc>
          <w:tcPr>
            <w:tcW w:w="12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固体废物无害化处理设施</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奉节县建筑垃圾消纳场建设项目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cs="Times New Roman"/>
                <w:kern w:val="0"/>
                <w:sz w:val="21"/>
                <w:szCs w:val="21"/>
              </w:rPr>
              <w:t>奉节县建筑垃圾消纳场建设项目：建设建筑垃圾消纳场</w:t>
            </w:r>
            <w:r>
              <w:rPr>
                <w:rFonts w:eastAsia="等线" w:cs="Times New Roman"/>
                <w:kern w:val="0"/>
                <w:sz w:val="21"/>
                <w:szCs w:val="21"/>
              </w:rPr>
              <w:t>1</w:t>
            </w:r>
            <w:r>
              <w:rPr>
                <w:rFonts w:cs="Times New Roman"/>
                <w:kern w:val="0"/>
                <w:sz w:val="21"/>
                <w:szCs w:val="21"/>
              </w:rPr>
              <w:t>座，年处理能力为</w:t>
            </w:r>
            <w:r>
              <w:rPr>
                <w:rFonts w:eastAsia="等线" w:cs="Times New Roman"/>
                <w:kern w:val="0"/>
                <w:sz w:val="21"/>
                <w:szCs w:val="21"/>
              </w:rPr>
              <w:t>10</w:t>
            </w:r>
            <w:r>
              <w:rPr>
                <w:rFonts w:cs="Times New Roman"/>
                <w:kern w:val="0"/>
                <w:sz w:val="21"/>
                <w:szCs w:val="21"/>
              </w:rPr>
              <w:t>万吨，日处理规模</w:t>
            </w:r>
            <w:r>
              <w:rPr>
                <w:rFonts w:eastAsia="等线" w:cs="Times New Roman"/>
                <w:kern w:val="0"/>
                <w:sz w:val="21"/>
                <w:szCs w:val="21"/>
              </w:rPr>
              <w:t>400t/d</w:t>
            </w:r>
            <w:r>
              <w:rPr>
                <w:rFonts w:cs="Times New Roman"/>
                <w:kern w:val="0"/>
                <w:sz w:val="21"/>
                <w:szCs w:val="21"/>
              </w:rPr>
              <w:t>。建设内容主要包括：预处理车间、制砖车间、管理楼、门卫及计量间、地磅、消防水池、原料堆场、骨料堆场。</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县城管局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7</w:t>
            </w:r>
            <w:r>
              <w:rPr>
                <w:rFonts w:hint="eastAsia" w:eastAsia="等线" w:cs="Times New Roman"/>
                <w:kern w:val="0"/>
                <w:sz w:val="21"/>
                <w:szCs w:val="21"/>
              </w:rPr>
              <w:t>2</w:t>
            </w:r>
            <w:r>
              <w:rPr>
                <w:rFonts w:eastAsia="等线" w:cs="Times New Roman"/>
                <w:kern w:val="0"/>
                <w:sz w:val="21"/>
                <w:szCs w:val="21"/>
              </w:rPr>
              <w:t>00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w:t>
            </w:r>
            <w:r>
              <w:rPr>
                <w:rFonts w:hint="eastAsia" w:eastAsia="等线" w:cs="Times New Roman"/>
                <w:kern w:val="0"/>
                <w:sz w:val="21"/>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26</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rPr>
                <w:rFonts w:cs="Times New Roman"/>
                <w:kern w:val="0"/>
                <w:sz w:val="21"/>
                <w:szCs w:val="21"/>
              </w:rPr>
            </w:pPr>
            <w:r>
              <w:rPr>
                <w:rFonts w:hint="eastAsia" w:cs="Times New Roman"/>
                <w:kern w:val="0"/>
                <w:sz w:val="21"/>
                <w:szCs w:val="21"/>
              </w:rPr>
              <w:t>奉节县规模化生物天然气试点项目（餐厨垃圾处置项目）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cs="Times New Roman"/>
                <w:kern w:val="0"/>
                <w:sz w:val="21"/>
                <w:szCs w:val="21"/>
              </w:rPr>
            </w:pPr>
            <w:r>
              <w:rPr>
                <w:rFonts w:hint="eastAsia" w:cs="Times New Roman"/>
                <w:kern w:val="0"/>
                <w:sz w:val="21"/>
                <w:szCs w:val="21"/>
              </w:rPr>
              <w:t>1.餐厨垃圾及厨余垃圾收运系统。包括收运范围内收的收集容器、收集车辆及辅助设施建设等。</w:t>
            </w:r>
          </w:p>
          <w:p>
            <w:pPr>
              <w:widowControl/>
              <w:spacing w:line="0" w:lineRule="atLeast"/>
              <w:ind w:firstLine="0" w:firstLineChars="0"/>
              <w:jc w:val="left"/>
              <w:rPr>
                <w:rFonts w:cs="Times New Roman"/>
                <w:kern w:val="0"/>
                <w:sz w:val="21"/>
                <w:szCs w:val="21"/>
              </w:rPr>
            </w:pPr>
            <w:r>
              <w:rPr>
                <w:rFonts w:hint="eastAsia" w:cs="Times New Roman"/>
                <w:kern w:val="0"/>
                <w:sz w:val="21"/>
                <w:szCs w:val="21"/>
              </w:rPr>
              <w:t>2.餐厨垃圾处理系统：包括从进料到产品产出之间的主体工程、配套工程等，具体包括预处理系统（餐厨垃圾/厨余垃圾）、湿式厌氧系统、沼渣脱水系统、污水预处理系统、沼气净化利用系统及除臭系统。</w:t>
            </w:r>
          </w:p>
          <w:p>
            <w:pPr>
              <w:widowControl/>
              <w:spacing w:line="0" w:lineRule="atLeast"/>
              <w:ind w:firstLine="0" w:firstLineChars="0"/>
              <w:jc w:val="left"/>
              <w:rPr>
                <w:rFonts w:cs="Times New Roman"/>
                <w:kern w:val="0"/>
                <w:sz w:val="21"/>
                <w:szCs w:val="21"/>
              </w:rPr>
            </w:pPr>
            <w:r>
              <w:rPr>
                <w:rFonts w:hint="eastAsia" w:cs="Times New Roman"/>
                <w:kern w:val="0"/>
                <w:sz w:val="21"/>
                <w:szCs w:val="21"/>
              </w:rPr>
              <w:t>其中主要建构筑物包括：预处理车间、门卫等建筑物及厌氧罐、进水罐、出水罐、封闭式火炬、晾水塔等室外构筑物。</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县城管局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14457.54</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cs="Times New Roman"/>
                <w:kern w:val="0"/>
                <w:sz w:val="21"/>
                <w:szCs w:val="21"/>
              </w:rPr>
              <w:t>2022</w:t>
            </w:r>
            <w:r>
              <w:rPr>
                <w:rFonts w:cs="Times New Roman"/>
                <w:kern w:val="0"/>
                <w:sz w:val="21"/>
                <w:szCs w:val="21"/>
              </w:rPr>
              <w:t>-</w:t>
            </w:r>
            <w:r>
              <w:rPr>
                <w:rFonts w:hint="eastAsia" w:cs="Times New Roman"/>
                <w:kern w:val="0"/>
                <w:sz w:val="21"/>
                <w:szCs w:val="21"/>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27</w:t>
            </w:r>
          </w:p>
        </w:tc>
        <w:tc>
          <w:tcPr>
            <w:tcW w:w="12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pPr>
            <w:r>
              <w:rPr>
                <w:rFonts w:cs="Times New Roman"/>
                <w:kern w:val="0"/>
                <w:sz w:val="21"/>
                <w:szCs w:val="21"/>
              </w:rPr>
              <w:t>城区人居环境整治</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奉节县滨河公园</w:t>
            </w:r>
          </w:p>
          <w:p>
            <w:pPr>
              <w:widowControl/>
              <w:spacing w:line="0" w:lineRule="atLeast"/>
              <w:ind w:firstLine="0" w:firstLineChars="0"/>
              <w:jc w:val="center"/>
              <w:rPr>
                <w:rFonts w:cs="Times New Roman"/>
                <w:kern w:val="0"/>
                <w:sz w:val="21"/>
                <w:szCs w:val="21"/>
              </w:rPr>
            </w:pPr>
            <w:r>
              <w:rPr>
                <w:rFonts w:hint="eastAsia" w:cs="Times New Roman"/>
                <w:kern w:val="0"/>
                <w:sz w:val="21"/>
                <w:szCs w:val="21"/>
              </w:rPr>
              <w:t>修复项目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cs="Times New Roman"/>
                <w:kern w:val="0"/>
                <w:sz w:val="21"/>
                <w:szCs w:val="21"/>
              </w:rPr>
            </w:pPr>
            <w:r>
              <w:rPr>
                <w:rFonts w:hint="eastAsia" w:cs="Times New Roman"/>
                <w:kern w:val="0"/>
                <w:sz w:val="21"/>
                <w:szCs w:val="21"/>
              </w:rPr>
              <w:t>奉节县朱衣河北祥街段库岸综合治理：包括重要景观节点调整和品质提升，设计总长度约3.6km，总面积约12.6万m</w:t>
            </w:r>
            <w:r>
              <w:rPr>
                <w:rFonts w:hint="eastAsia" w:cs="Times New Roman"/>
                <w:kern w:val="0"/>
                <w:sz w:val="21"/>
                <w:szCs w:val="21"/>
                <w:vertAlign w:val="superscript"/>
              </w:rPr>
              <w:t>2</w:t>
            </w:r>
            <w:r>
              <w:rPr>
                <w:rFonts w:hint="eastAsia" w:cs="Times New Roman"/>
                <w:kern w:val="0"/>
                <w:sz w:val="21"/>
                <w:szCs w:val="21"/>
              </w:rPr>
              <w:t>；提升老旧公园品质，配套公园管理设施，重要节点打造。对滨河公园3.6km步道改造提升，铺装塑胶步道、玻璃栈道等，安装健身器材，改建增设运动场所。</w:t>
            </w:r>
          </w:p>
          <w:p>
            <w:pPr>
              <w:widowControl/>
              <w:spacing w:line="0" w:lineRule="atLeast"/>
              <w:ind w:firstLine="0" w:firstLineChars="0"/>
              <w:jc w:val="left"/>
              <w:rPr>
                <w:rFonts w:cs="Times New Roman"/>
                <w:kern w:val="0"/>
                <w:sz w:val="21"/>
                <w:szCs w:val="21"/>
              </w:rPr>
            </w:pPr>
            <w:r>
              <w:rPr>
                <w:rFonts w:hint="eastAsia" w:cs="Times New Roman"/>
                <w:kern w:val="0"/>
                <w:sz w:val="21"/>
                <w:szCs w:val="21"/>
              </w:rPr>
              <w:t>奉节县朱衣河书香街段库岸综合治理：包括重要景观节点调整和品质提升，设计总长度约3.8km，总面积约30万m</w:t>
            </w:r>
            <w:r>
              <w:rPr>
                <w:rFonts w:hint="eastAsia" w:cs="Times New Roman"/>
                <w:kern w:val="0"/>
                <w:sz w:val="21"/>
                <w:szCs w:val="21"/>
                <w:vertAlign w:val="superscript"/>
              </w:rPr>
              <w:t>2</w:t>
            </w:r>
            <w:r>
              <w:rPr>
                <w:rFonts w:hint="eastAsia" w:cs="Times New Roman"/>
                <w:kern w:val="0"/>
                <w:sz w:val="21"/>
                <w:szCs w:val="21"/>
              </w:rPr>
              <w:t>；提升老旧公园品质，配套公园管理设施，完善人行进入系统，修复库岸生态，提升公园的整体智能智慧化管理系统。对滨河公园3.8km步道改造提升，铺装塑胶步道、玻璃栈道等，安装健身器材，改建增设运动场所。</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县城管局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12000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28</w:t>
            </w:r>
          </w:p>
        </w:tc>
        <w:tc>
          <w:tcPr>
            <w:tcW w:w="12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奉节县永安街道头道河片区人居环境改造项目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cs="Times New Roman"/>
                <w:kern w:val="0"/>
                <w:sz w:val="21"/>
                <w:szCs w:val="21"/>
              </w:rPr>
            </w:pPr>
            <w:r>
              <w:rPr>
                <w:rFonts w:hint="eastAsia" w:cs="Times New Roman"/>
                <w:kern w:val="0"/>
                <w:sz w:val="21"/>
                <w:szCs w:val="21"/>
              </w:rPr>
              <w:t>项目共涉及14个坡坎崖地块，总复绿面积130802m</w:t>
            </w:r>
            <w:r>
              <w:rPr>
                <w:rFonts w:hint="eastAsia" w:cs="Times New Roman"/>
                <w:kern w:val="0"/>
                <w:sz w:val="21"/>
                <w:szCs w:val="21"/>
                <w:vertAlign w:val="superscript"/>
              </w:rPr>
              <w:t>2</w:t>
            </w:r>
            <w:r>
              <w:rPr>
                <w:rFonts w:hint="eastAsia" w:cs="Times New Roman"/>
                <w:kern w:val="0"/>
                <w:sz w:val="21"/>
                <w:szCs w:val="21"/>
              </w:rPr>
              <w:t>，建设内容主要为：场地整理GRC拆除、场地铺装、城市家具、新增灯具、新增廊架、景观打造、人行步道等。</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hint="eastAsia" w:cs="Times New Roman"/>
                <w:kern w:val="0"/>
                <w:sz w:val="21"/>
                <w:szCs w:val="21"/>
              </w:rPr>
              <w:t>县城管局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3509</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29</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农村人居环境整治</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奉节县农村人居环境整治工程</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rPr>
                <w:rFonts w:eastAsia="等线" w:cs="Times New Roman"/>
                <w:kern w:val="0"/>
                <w:sz w:val="21"/>
                <w:szCs w:val="21"/>
              </w:rPr>
            </w:pPr>
            <w:r>
              <w:rPr>
                <w:rFonts w:eastAsia="等线" w:cs="Times New Roman"/>
                <w:kern w:val="0"/>
                <w:sz w:val="21"/>
                <w:szCs w:val="21"/>
              </w:rPr>
              <w:t>30</w:t>
            </w:r>
            <w:r>
              <w:rPr>
                <w:rFonts w:cs="Times New Roman"/>
                <w:kern w:val="0"/>
                <w:sz w:val="21"/>
                <w:szCs w:val="21"/>
              </w:rPr>
              <w:t>个乡镇的</w:t>
            </w:r>
            <w:r>
              <w:rPr>
                <w:rFonts w:eastAsia="等线" w:cs="Times New Roman"/>
                <w:kern w:val="0"/>
                <w:sz w:val="21"/>
                <w:szCs w:val="21"/>
              </w:rPr>
              <w:t>185</w:t>
            </w:r>
            <w:r>
              <w:rPr>
                <w:rFonts w:cs="Times New Roman"/>
                <w:kern w:val="0"/>
                <w:sz w:val="21"/>
                <w:szCs w:val="21"/>
              </w:rPr>
              <w:t>个行政村。农村垃圾治理、厕所粪污治理、生活污水治理、村容村貌治理，公厕，道路，管网，购置垃圾箱，路灯，太阳能杀灯等相关配套项目。</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kern w:val="0"/>
                <w:sz w:val="21"/>
                <w:szCs w:val="21"/>
              </w:rPr>
            </w:pPr>
            <w:r>
              <w:rPr>
                <w:rFonts w:cs="Times New Roman"/>
                <w:kern w:val="0"/>
                <w:sz w:val="21"/>
                <w:szCs w:val="21"/>
              </w:rPr>
              <w:t>县</w:t>
            </w:r>
            <w:r>
              <w:rPr>
                <w:rFonts w:hint="eastAsia" w:cs="Times New Roman"/>
                <w:kern w:val="0"/>
                <w:sz w:val="21"/>
                <w:szCs w:val="21"/>
              </w:rPr>
              <w:t>乡村振兴局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76000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30</w:t>
            </w:r>
          </w:p>
        </w:tc>
        <w:tc>
          <w:tcPr>
            <w:tcW w:w="12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农饮水供水工程</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村级供</w:t>
            </w:r>
            <w:r>
              <w:rPr>
                <w:rFonts w:hint="eastAsia" w:ascii="方正仿宋_GBK" w:cs="方正仿宋_GBK"/>
                <w:kern w:val="0"/>
                <w:sz w:val="21"/>
                <w:szCs w:val="21"/>
              </w:rPr>
              <w:t>水“一改三提”工程</w:t>
            </w:r>
            <w:r>
              <w:rPr>
                <w:rFonts w:eastAsia="等线" w:cs="Times New Roman"/>
                <w:kern w:val="0"/>
                <w:sz w:val="21"/>
                <w:szCs w:val="21"/>
              </w:rPr>
              <w:t>50</w:t>
            </w:r>
            <w:r>
              <w:rPr>
                <w:rFonts w:cs="Times New Roman"/>
                <w:kern w:val="0"/>
                <w:sz w:val="21"/>
                <w:szCs w:val="21"/>
              </w:rPr>
              <w:t>处</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rPr>
                <w:rFonts w:eastAsia="等线" w:cs="Times New Roman"/>
                <w:kern w:val="0"/>
                <w:sz w:val="21"/>
                <w:szCs w:val="21"/>
              </w:rPr>
            </w:pPr>
            <w:r>
              <w:rPr>
                <w:rFonts w:cs="Times New Roman"/>
                <w:kern w:val="0"/>
                <w:sz w:val="21"/>
                <w:szCs w:val="21"/>
              </w:rPr>
              <w:t>改造</w:t>
            </w:r>
            <w:r>
              <w:rPr>
                <w:rFonts w:eastAsia="等线" w:cs="Times New Roman"/>
                <w:kern w:val="0"/>
                <w:sz w:val="21"/>
                <w:szCs w:val="21"/>
              </w:rPr>
              <w:t>50</w:t>
            </w:r>
            <w:r>
              <w:rPr>
                <w:rFonts w:cs="Times New Roman"/>
                <w:kern w:val="0"/>
                <w:sz w:val="21"/>
                <w:szCs w:val="21"/>
              </w:rPr>
              <w:t>处。村级集中供水配备净化消毒设施，输配水管网优化改造</w:t>
            </w:r>
            <w:r>
              <w:rPr>
                <w:rFonts w:hint="eastAsia" w:cs="Times New Roman"/>
                <w:kern w:val="0"/>
                <w:sz w:val="21"/>
                <w:szCs w:val="21"/>
              </w:rPr>
              <w:t>。</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县水利局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 xml:space="preserve">15000 </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31</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奉节县安坪镇集镇水厂安全巩固提升工程</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rPr>
                <w:rFonts w:eastAsia="等线" w:cs="Times New Roman"/>
                <w:kern w:val="0"/>
                <w:sz w:val="21"/>
                <w:szCs w:val="21"/>
              </w:rPr>
            </w:pPr>
            <w:r>
              <w:rPr>
                <w:rFonts w:cs="Times New Roman"/>
                <w:kern w:val="0"/>
                <w:sz w:val="21"/>
                <w:szCs w:val="21"/>
              </w:rPr>
              <w:t>技改水厂</w:t>
            </w:r>
            <w:r>
              <w:rPr>
                <w:rFonts w:eastAsia="等线" w:cs="Times New Roman"/>
                <w:kern w:val="0"/>
                <w:sz w:val="21"/>
                <w:szCs w:val="21"/>
              </w:rPr>
              <w:t>1</w:t>
            </w:r>
            <w:r>
              <w:rPr>
                <w:rFonts w:cs="Times New Roman"/>
                <w:kern w:val="0"/>
                <w:sz w:val="21"/>
                <w:szCs w:val="21"/>
              </w:rPr>
              <w:t>座，配套输水管网</w:t>
            </w:r>
            <w:r>
              <w:rPr>
                <w:rFonts w:eastAsia="等线" w:cs="Times New Roman"/>
                <w:kern w:val="0"/>
                <w:sz w:val="21"/>
                <w:szCs w:val="21"/>
              </w:rPr>
              <w:t>1956m</w:t>
            </w:r>
            <w:r>
              <w:rPr>
                <w:rFonts w:hint="eastAsia" w:eastAsia="等线" w:cs="Times New Roman"/>
                <w:kern w:val="0"/>
                <w:sz w:val="21"/>
                <w:szCs w:val="21"/>
              </w:rPr>
              <w:t>，</w:t>
            </w:r>
            <w:r>
              <w:rPr>
                <w:rFonts w:cs="Times New Roman"/>
                <w:kern w:val="0"/>
                <w:sz w:val="21"/>
                <w:szCs w:val="21"/>
              </w:rPr>
              <w:t>更换集镇管道</w:t>
            </w:r>
            <w:r>
              <w:rPr>
                <w:rFonts w:eastAsia="等线" w:cs="Times New Roman"/>
                <w:kern w:val="0"/>
                <w:sz w:val="21"/>
                <w:szCs w:val="21"/>
              </w:rPr>
              <w:t>10033m</w:t>
            </w:r>
            <w:r>
              <w:rPr>
                <w:rFonts w:cs="Times New Roman"/>
                <w:kern w:val="0"/>
                <w:sz w:val="21"/>
                <w:szCs w:val="21"/>
              </w:rPr>
              <w:t>，增加净水设施</w:t>
            </w:r>
            <w:r>
              <w:rPr>
                <w:rFonts w:eastAsia="等线" w:cs="Times New Roman"/>
                <w:kern w:val="0"/>
                <w:sz w:val="21"/>
                <w:szCs w:val="21"/>
              </w:rPr>
              <w:t>1</w:t>
            </w:r>
            <w:r>
              <w:rPr>
                <w:rFonts w:cs="Times New Roman"/>
                <w:kern w:val="0"/>
                <w:sz w:val="21"/>
                <w:szCs w:val="21"/>
              </w:rPr>
              <w:t>套，配水管</w:t>
            </w:r>
            <w:r>
              <w:rPr>
                <w:rFonts w:eastAsia="等线" w:cs="Times New Roman"/>
                <w:kern w:val="0"/>
                <w:sz w:val="21"/>
                <w:szCs w:val="21"/>
              </w:rPr>
              <w:t>4100m</w:t>
            </w:r>
            <w:r>
              <w:rPr>
                <w:rFonts w:cs="Times New Roman"/>
                <w:kern w:val="0"/>
                <w:sz w:val="21"/>
                <w:szCs w:val="21"/>
              </w:rPr>
              <w:t>。</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县水利局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 xml:space="preserve">784 </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32</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奉节县康乐镇平皋</w:t>
            </w:r>
            <w:r>
              <w:rPr>
                <w:rFonts w:eastAsia="等线" w:cs="Times New Roman"/>
                <w:kern w:val="0"/>
                <w:sz w:val="21"/>
                <w:szCs w:val="21"/>
              </w:rPr>
              <w:t>—</w:t>
            </w:r>
            <w:r>
              <w:rPr>
                <w:rFonts w:cs="Times New Roman"/>
                <w:kern w:val="0"/>
                <w:sz w:val="21"/>
                <w:szCs w:val="21"/>
              </w:rPr>
              <w:t>长沙片农村供水保障工程</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rPr>
                <w:rFonts w:eastAsia="等线" w:cs="Times New Roman"/>
                <w:kern w:val="0"/>
                <w:sz w:val="21"/>
                <w:szCs w:val="21"/>
              </w:rPr>
            </w:pPr>
            <w:r>
              <w:rPr>
                <w:rFonts w:cs="Times New Roman"/>
                <w:kern w:val="0"/>
                <w:sz w:val="21"/>
                <w:szCs w:val="21"/>
              </w:rPr>
              <w:t>水源工程坝体培厚加固及防渗，</w:t>
            </w:r>
            <w:r>
              <w:rPr>
                <w:rFonts w:eastAsia="等线" w:cs="Times New Roman"/>
                <w:kern w:val="0"/>
                <w:sz w:val="21"/>
                <w:szCs w:val="21"/>
              </w:rPr>
              <w:t xml:space="preserve"> </w:t>
            </w:r>
            <w:r>
              <w:rPr>
                <w:rFonts w:cs="Times New Roman"/>
                <w:kern w:val="0"/>
                <w:sz w:val="21"/>
                <w:szCs w:val="21"/>
              </w:rPr>
              <w:t>扩建溢洪道</w:t>
            </w:r>
            <w:r>
              <w:rPr>
                <w:rFonts w:eastAsia="等线" w:cs="Times New Roman"/>
                <w:kern w:val="0"/>
                <w:sz w:val="21"/>
                <w:szCs w:val="21"/>
              </w:rPr>
              <w:t>113m</w:t>
            </w:r>
            <w:r>
              <w:rPr>
                <w:rFonts w:cs="Times New Roman"/>
                <w:kern w:val="0"/>
                <w:sz w:val="21"/>
                <w:szCs w:val="21"/>
              </w:rPr>
              <w:t>，新建</w:t>
            </w:r>
            <w:r>
              <w:rPr>
                <w:rFonts w:eastAsia="等线" w:cs="Times New Roman"/>
                <w:kern w:val="0"/>
                <w:sz w:val="21"/>
                <w:szCs w:val="21"/>
              </w:rPr>
              <w:t>C25</w:t>
            </w:r>
            <w:r>
              <w:rPr>
                <w:rFonts w:cs="Times New Roman"/>
                <w:kern w:val="0"/>
                <w:sz w:val="21"/>
                <w:szCs w:val="21"/>
              </w:rPr>
              <w:t>混凝土防渗面板</w:t>
            </w:r>
            <w:r>
              <w:rPr>
                <w:rFonts w:eastAsia="等线" w:cs="Times New Roman"/>
                <w:kern w:val="0"/>
                <w:sz w:val="21"/>
                <w:szCs w:val="21"/>
              </w:rPr>
              <w:t>8696m</w:t>
            </w:r>
            <w:r>
              <w:rPr>
                <w:rFonts w:eastAsia="等线" w:cs="Times New Roman"/>
                <w:kern w:val="0"/>
                <w:sz w:val="21"/>
                <w:szCs w:val="21"/>
                <w:vertAlign w:val="superscript"/>
              </w:rPr>
              <w:t>2</w:t>
            </w:r>
            <w:r>
              <w:rPr>
                <w:rFonts w:cs="Times New Roman"/>
                <w:kern w:val="0"/>
                <w:sz w:val="21"/>
                <w:szCs w:val="21"/>
              </w:rPr>
              <w:t>，帷幕灌浆</w:t>
            </w:r>
            <w:r>
              <w:rPr>
                <w:rFonts w:eastAsia="等线" w:cs="Times New Roman"/>
                <w:kern w:val="0"/>
                <w:sz w:val="21"/>
                <w:szCs w:val="21"/>
              </w:rPr>
              <w:t>4441m</w:t>
            </w:r>
            <w:r>
              <w:rPr>
                <w:rFonts w:cs="Times New Roman"/>
                <w:kern w:val="0"/>
                <w:sz w:val="21"/>
                <w:szCs w:val="21"/>
              </w:rPr>
              <w:t>，安装输水管道</w:t>
            </w:r>
            <w:r>
              <w:rPr>
                <w:rFonts w:eastAsia="等线" w:cs="Times New Roman"/>
                <w:kern w:val="0"/>
                <w:sz w:val="21"/>
                <w:szCs w:val="21"/>
              </w:rPr>
              <w:t>18.68km</w:t>
            </w:r>
            <w:r>
              <w:rPr>
                <w:rFonts w:cs="Times New Roman"/>
                <w:kern w:val="0"/>
                <w:sz w:val="21"/>
                <w:szCs w:val="21"/>
              </w:rPr>
              <w:t>，整治防治公路</w:t>
            </w:r>
            <w:r>
              <w:rPr>
                <w:rFonts w:eastAsia="等线" w:cs="Times New Roman"/>
                <w:kern w:val="0"/>
                <w:sz w:val="21"/>
                <w:szCs w:val="21"/>
              </w:rPr>
              <w:t>176m</w:t>
            </w:r>
            <w:r>
              <w:rPr>
                <w:rFonts w:cs="Times New Roman"/>
                <w:kern w:val="0"/>
                <w:sz w:val="21"/>
                <w:szCs w:val="21"/>
              </w:rPr>
              <w:t>，配套相关附属设施。</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县水利局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 xml:space="preserve">3498 </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33</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奉节县鹤峰乡观斗莲花片区农村供水</w:t>
            </w:r>
            <w:r>
              <w:rPr>
                <w:rFonts w:hint="eastAsia" w:ascii="方正仿宋_GBK" w:cs="方正仿宋_GBK"/>
                <w:kern w:val="0"/>
                <w:sz w:val="21"/>
                <w:szCs w:val="21"/>
              </w:rPr>
              <w:t>“一改三提”</w:t>
            </w:r>
            <w:r>
              <w:rPr>
                <w:rFonts w:cs="Times New Roman"/>
                <w:kern w:val="0"/>
                <w:sz w:val="21"/>
                <w:szCs w:val="21"/>
              </w:rPr>
              <w:t>工程</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rPr>
                <w:rFonts w:eastAsia="等线" w:cs="Times New Roman"/>
                <w:kern w:val="0"/>
                <w:sz w:val="21"/>
                <w:szCs w:val="21"/>
              </w:rPr>
            </w:pPr>
            <w:r>
              <w:rPr>
                <w:rFonts w:cs="Times New Roman"/>
                <w:kern w:val="0"/>
                <w:sz w:val="21"/>
                <w:szCs w:val="21"/>
              </w:rPr>
              <w:t>新建</w:t>
            </w:r>
            <w:r>
              <w:rPr>
                <w:rFonts w:eastAsia="等线" w:cs="Times New Roman"/>
                <w:kern w:val="0"/>
                <w:sz w:val="21"/>
                <w:szCs w:val="21"/>
              </w:rPr>
              <w:t>1</w:t>
            </w:r>
            <w:r>
              <w:rPr>
                <w:rFonts w:cs="Times New Roman"/>
                <w:kern w:val="0"/>
                <w:sz w:val="21"/>
                <w:szCs w:val="21"/>
              </w:rPr>
              <w:t>处水源工程库区防渗体系、新建</w:t>
            </w:r>
            <w:r>
              <w:rPr>
                <w:rFonts w:eastAsia="等线" w:cs="Times New Roman"/>
                <w:kern w:val="0"/>
                <w:sz w:val="21"/>
                <w:szCs w:val="21"/>
              </w:rPr>
              <w:t>DN1200</w:t>
            </w:r>
            <w:r>
              <w:rPr>
                <w:rFonts w:cs="Times New Roman"/>
                <w:kern w:val="0"/>
                <w:sz w:val="21"/>
                <w:szCs w:val="21"/>
              </w:rPr>
              <w:t>泄洪管道</w:t>
            </w:r>
            <w:r>
              <w:rPr>
                <w:rFonts w:eastAsia="等线" w:cs="Times New Roman"/>
                <w:kern w:val="0"/>
                <w:sz w:val="21"/>
                <w:szCs w:val="21"/>
              </w:rPr>
              <w:t>456.7m</w:t>
            </w:r>
            <w:r>
              <w:rPr>
                <w:rFonts w:cs="Times New Roman"/>
                <w:kern w:val="0"/>
                <w:sz w:val="21"/>
                <w:szCs w:val="21"/>
              </w:rPr>
              <w:t>、整治</w:t>
            </w:r>
            <w:r>
              <w:rPr>
                <w:rFonts w:eastAsia="等线" w:cs="Times New Roman"/>
                <w:kern w:val="0"/>
                <w:sz w:val="21"/>
                <w:szCs w:val="21"/>
              </w:rPr>
              <w:t>1</w:t>
            </w:r>
            <w:r>
              <w:rPr>
                <w:rFonts w:cs="Times New Roman"/>
                <w:kern w:val="0"/>
                <w:sz w:val="21"/>
                <w:szCs w:val="21"/>
              </w:rPr>
              <w:t>处放水设施、新增加</w:t>
            </w:r>
            <w:r>
              <w:rPr>
                <w:rFonts w:eastAsia="等线" w:cs="Times New Roman"/>
                <w:kern w:val="0"/>
                <w:sz w:val="21"/>
                <w:szCs w:val="21"/>
              </w:rPr>
              <w:t>1</w:t>
            </w:r>
            <w:r>
              <w:rPr>
                <w:rFonts w:cs="Times New Roman"/>
                <w:kern w:val="0"/>
                <w:sz w:val="21"/>
                <w:szCs w:val="21"/>
              </w:rPr>
              <w:t>座</w:t>
            </w:r>
            <w:r>
              <w:rPr>
                <w:rFonts w:eastAsia="等线" w:cs="Times New Roman"/>
                <w:kern w:val="0"/>
                <w:sz w:val="21"/>
                <w:szCs w:val="21"/>
              </w:rPr>
              <w:t>1000t/d</w:t>
            </w:r>
            <w:r>
              <w:rPr>
                <w:rFonts w:cs="Times New Roman"/>
                <w:kern w:val="0"/>
                <w:sz w:val="21"/>
                <w:szCs w:val="21"/>
              </w:rPr>
              <w:t>一体化净水设备及配套设施。</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县水利局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 xml:space="preserve">1704 </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34</w:t>
            </w:r>
          </w:p>
        </w:tc>
        <w:tc>
          <w:tcPr>
            <w:tcW w:w="1266" w:type="dxa"/>
            <w:vMerge w:val="continue"/>
            <w:tcBorders>
              <w:top w:val="single" w:color="auto" w:sz="4" w:space="0"/>
              <w:left w:val="single" w:color="auto" w:sz="4" w:space="0"/>
              <w:bottom w:val="single" w:color="auto" w:sz="4" w:space="0"/>
              <w:right w:val="single" w:color="auto" w:sz="4" w:space="0"/>
            </w:tcBorders>
            <w:vAlign w:val="center"/>
          </w:tcP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奉节县鹤峰乡青杠片区农村供水</w:t>
            </w:r>
            <w:r>
              <w:rPr>
                <w:rFonts w:hint="eastAsia" w:ascii="方正仿宋_GBK" w:cs="方正仿宋_GBK"/>
                <w:kern w:val="0"/>
                <w:sz w:val="21"/>
                <w:szCs w:val="21"/>
              </w:rPr>
              <w:t>“一改三提”工</w:t>
            </w:r>
            <w:r>
              <w:rPr>
                <w:rFonts w:cs="Times New Roman"/>
                <w:kern w:val="0"/>
                <w:sz w:val="21"/>
                <w:szCs w:val="21"/>
              </w:rPr>
              <w:t>程</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cs="Times New Roman"/>
                <w:kern w:val="0"/>
                <w:sz w:val="21"/>
                <w:szCs w:val="21"/>
              </w:rPr>
              <w:t>购买日处理</w:t>
            </w:r>
            <w:r>
              <w:rPr>
                <w:rFonts w:eastAsia="等线" w:cs="Times New Roman"/>
                <w:kern w:val="0"/>
                <w:sz w:val="21"/>
                <w:szCs w:val="21"/>
              </w:rPr>
              <w:t>400m</w:t>
            </w:r>
            <w:r>
              <w:rPr>
                <w:rFonts w:eastAsia="等线" w:cs="Times New Roman"/>
                <w:kern w:val="0"/>
                <w:sz w:val="21"/>
                <w:szCs w:val="21"/>
                <w:vertAlign w:val="superscript"/>
              </w:rPr>
              <w:t>3</w:t>
            </w:r>
            <w:r>
              <w:rPr>
                <w:rFonts w:cs="Times New Roman"/>
                <w:kern w:val="0"/>
                <w:sz w:val="21"/>
                <w:szCs w:val="21"/>
              </w:rPr>
              <w:t>超滤膜设备</w:t>
            </w:r>
            <w:r>
              <w:rPr>
                <w:rFonts w:eastAsia="等线" w:cs="Times New Roman"/>
                <w:kern w:val="0"/>
                <w:sz w:val="21"/>
                <w:szCs w:val="21"/>
              </w:rPr>
              <w:t>1</w:t>
            </w:r>
            <w:r>
              <w:rPr>
                <w:rFonts w:cs="Times New Roman"/>
                <w:kern w:val="0"/>
                <w:sz w:val="21"/>
                <w:szCs w:val="21"/>
              </w:rPr>
              <w:t>套及配套设施，自动化提水系统</w:t>
            </w:r>
            <w:r>
              <w:rPr>
                <w:rFonts w:eastAsia="等线" w:cs="Times New Roman"/>
                <w:kern w:val="0"/>
                <w:sz w:val="21"/>
                <w:szCs w:val="21"/>
              </w:rPr>
              <w:t>1</w:t>
            </w:r>
            <w:r>
              <w:rPr>
                <w:rFonts w:cs="Times New Roman"/>
                <w:kern w:val="0"/>
                <w:sz w:val="21"/>
                <w:szCs w:val="21"/>
              </w:rPr>
              <w:t>套，整治</w:t>
            </w:r>
            <w:r>
              <w:rPr>
                <w:rFonts w:eastAsia="等线" w:cs="Times New Roman"/>
                <w:kern w:val="0"/>
                <w:sz w:val="21"/>
                <w:szCs w:val="21"/>
              </w:rPr>
              <w:t>500m</w:t>
            </w:r>
            <w:r>
              <w:rPr>
                <w:rFonts w:eastAsia="等线" w:cs="Times New Roman"/>
                <w:kern w:val="0"/>
                <w:sz w:val="21"/>
                <w:szCs w:val="21"/>
                <w:vertAlign w:val="superscript"/>
              </w:rPr>
              <w:t>3</w:t>
            </w:r>
            <w:r>
              <w:rPr>
                <w:rFonts w:cs="Times New Roman"/>
                <w:kern w:val="0"/>
                <w:sz w:val="21"/>
                <w:szCs w:val="21"/>
              </w:rPr>
              <w:t>蓄水池</w:t>
            </w:r>
            <w:r>
              <w:rPr>
                <w:rFonts w:eastAsia="等线" w:cs="Times New Roman"/>
                <w:kern w:val="0"/>
                <w:sz w:val="21"/>
                <w:szCs w:val="21"/>
              </w:rPr>
              <w:t>2</w:t>
            </w:r>
            <w:r>
              <w:rPr>
                <w:rFonts w:cs="Times New Roman"/>
                <w:kern w:val="0"/>
                <w:sz w:val="21"/>
                <w:szCs w:val="21"/>
              </w:rPr>
              <w:t>口，安装管道</w:t>
            </w:r>
            <w:r>
              <w:rPr>
                <w:rFonts w:eastAsia="等线" w:cs="Times New Roman"/>
                <w:kern w:val="0"/>
                <w:sz w:val="21"/>
                <w:szCs w:val="21"/>
              </w:rPr>
              <w:t>11650m</w:t>
            </w:r>
            <w:r>
              <w:rPr>
                <w:rFonts w:cs="Times New Roman"/>
                <w:kern w:val="0"/>
                <w:sz w:val="21"/>
                <w:szCs w:val="21"/>
              </w:rPr>
              <w:t>（其中</w:t>
            </w:r>
            <w:r>
              <w:rPr>
                <w:rFonts w:eastAsia="等线" w:cs="Times New Roman"/>
                <w:kern w:val="0"/>
                <w:sz w:val="21"/>
                <w:szCs w:val="21"/>
              </w:rPr>
              <w:t>Φ90PE</w:t>
            </w:r>
            <w:r>
              <w:rPr>
                <w:rFonts w:cs="Times New Roman"/>
                <w:kern w:val="0"/>
                <w:sz w:val="21"/>
                <w:szCs w:val="21"/>
              </w:rPr>
              <w:t>管</w:t>
            </w:r>
            <w:r>
              <w:rPr>
                <w:rFonts w:eastAsia="等线" w:cs="Times New Roman"/>
                <w:kern w:val="0"/>
                <w:sz w:val="21"/>
                <w:szCs w:val="21"/>
              </w:rPr>
              <w:t>-2350m</w:t>
            </w:r>
            <w:r>
              <w:rPr>
                <w:rFonts w:cs="Times New Roman"/>
                <w:kern w:val="0"/>
                <w:sz w:val="21"/>
                <w:szCs w:val="21"/>
              </w:rPr>
              <w:t>、</w:t>
            </w:r>
            <w:r>
              <w:rPr>
                <w:rFonts w:eastAsia="等线" w:cs="Times New Roman"/>
                <w:kern w:val="0"/>
                <w:sz w:val="21"/>
                <w:szCs w:val="21"/>
              </w:rPr>
              <w:t>Φ50PE</w:t>
            </w:r>
            <w:r>
              <w:rPr>
                <w:rFonts w:cs="Times New Roman"/>
                <w:kern w:val="0"/>
                <w:sz w:val="21"/>
                <w:szCs w:val="21"/>
              </w:rPr>
              <w:t>管</w:t>
            </w:r>
            <w:r>
              <w:rPr>
                <w:rFonts w:eastAsia="等线" w:cs="Times New Roman"/>
                <w:kern w:val="0"/>
                <w:sz w:val="21"/>
                <w:szCs w:val="21"/>
              </w:rPr>
              <w:t>-1950m</w:t>
            </w:r>
            <w:r>
              <w:rPr>
                <w:rFonts w:cs="Times New Roman"/>
                <w:kern w:val="0"/>
                <w:sz w:val="21"/>
                <w:szCs w:val="21"/>
              </w:rPr>
              <w:t>、</w:t>
            </w:r>
            <w:r>
              <w:rPr>
                <w:rFonts w:eastAsia="等线" w:cs="Times New Roman"/>
                <w:kern w:val="0"/>
                <w:sz w:val="21"/>
                <w:szCs w:val="21"/>
              </w:rPr>
              <w:t>Φ40PE</w:t>
            </w:r>
            <w:r>
              <w:rPr>
                <w:rFonts w:cs="Times New Roman"/>
                <w:kern w:val="0"/>
                <w:sz w:val="21"/>
                <w:szCs w:val="21"/>
              </w:rPr>
              <w:t>管</w:t>
            </w:r>
            <w:r>
              <w:rPr>
                <w:rFonts w:eastAsia="等线" w:cs="Times New Roman"/>
                <w:kern w:val="0"/>
                <w:sz w:val="21"/>
                <w:szCs w:val="21"/>
              </w:rPr>
              <w:t>-4350m</w:t>
            </w:r>
            <w:r>
              <w:rPr>
                <w:rFonts w:cs="Times New Roman"/>
                <w:kern w:val="0"/>
                <w:sz w:val="21"/>
                <w:szCs w:val="21"/>
              </w:rPr>
              <w:t>、</w:t>
            </w:r>
            <w:r>
              <w:rPr>
                <w:rFonts w:eastAsia="等线" w:cs="Times New Roman"/>
                <w:kern w:val="0"/>
                <w:sz w:val="21"/>
                <w:szCs w:val="21"/>
              </w:rPr>
              <w:t>Φ20PE</w:t>
            </w:r>
            <w:r>
              <w:rPr>
                <w:rFonts w:cs="Times New Roman"/>
                <w:kern w:val="0"/>
                <w:sz w:val="21"/>
                <w:szCs w:val="21"/>
              </w:rPr>
              <w:t>管</w:t>
            </w:r>
            <w:r>
              <w:rPr>
                <w:rFonts w:eastAsia="等线" w:cs="Times New Roman"/>
                <w:kern w:val="0"/>
                <w:sz w:val="21"/>
                <w:szCs w:val="21"/>
              </w:rPr>
              <w:t>-3000m</w:t>
            </w:r>
            <w:r>
              <w:rPr>
                <w:rFonts w:cs="Times New Roman"/>
                <w:kern w:val="0"/>
                <w:sz w:val="21"/>
                <w:szCs w:val="21"/>
              </w:rPr>
              <w:t>）。</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县水利局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 xml:space="preserve">495 </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66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ascii="方正楷体_GBK" w:eastAsia="方正楷体_GBK" w:cs="Times New Roman"/>
                <w:kern w:val="0"/>
                <w:sz w:val="21"/>
                <w:szCs w:val="21"/>
              </w:rPr>
            </w:pPr>
            <w:r>
              <w:rPr>
                <w:rFonts w:hint="eastAsia" w:ascii="方正楷体_GBK" w:eastAsia="方正楷体_GBK" w:cs="Times New Roman"/>
                <w:kern w:val="0"/>
                <w:sz w:val="21"/>
                <w:szCs w:val="21"/>
              </w:rPr>
              <w:t>五、积极培育生态文化</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ascii="方正楷体_GBK" w:eastAsia="方正楷体_GBK" w:cs="Times New Roman"/>
                <w:kern w:val="0"/>
                <w:sz w:val="21"/>
                <w:szCs w:val="21"/>
              </w:rPr>
            </w:pPr>
            <w:r>
              <w:rPr>
                <w:rFonts w:hint="eastAsia" w:eastAsia="等线" w:cs="Times New Roman"/>
                <w:kern w:val="0"/>
                <w:sz w:val="21"/>
                <w:szCs w:val="21"/>
              </w:rPr>
              <w:t>1</w:t>
            </w:r>
            <w:r>
              <w:rPr>
                <w:rFonts w:eastAsia="等线" w:cs="Times New Roman"/>
                <w:kern w:val="0"/>
                <w:sz w:val="21"/>
                <w:szCs w:val="21"/>
              </w:rPr>
              <w:t>280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ascii="方正楷体_GBK" w:eastAsia="方正楷体_GBK"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35</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生态文化振兴项目</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奉节县竹园历史文化名镇建设项目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cs="Times New Roman"/>
                <w:kern w:val="0"/>
                <w:sz w:val="21"/>
                <w:szCs w:val="21"/>
              </w:rPr>
              <w:t>修缮竹园老街建筑</w:t>
            </w:r>
            <w:r>
              <w:rPr>
                <w:rFonts w:eastAsia="等线" w:cs="Times New Roman"/>
                <w:kern w:val="0"/>
                <w:sz w:val="21"/>
                <w:szCs w:val="21"/>
              </w:rPr>
              <w:t>40000m</w:t>
            </w:r>
            <w:r>
              <w:rPr>
                <w:rFonts w:eastAsia="等线" w:cs="Times New Roman"/>
                <w:kern w:val="0"/>
                <w:sz w:val="21"/>
                <w:szCs w:val="21"/>
                <w:vertAlign w:val="superscript"/>
              </w:rPr>
              <w:t>2</w:t>
            </w:r>
            <w:r>
              <w:rPr>
                <w:rFonts w:cs="Times New Roman"/>
                <w:kern w:val="0"/>
                <w:sz w:val="21"/>
                <w:szCs w:val="21"/>
              </w:rPr>
              <w:t>，新建游客接待中心</w:t>
            </w:r>
            <w:r>
              <w:rPr>
                <w:rFonts w:eastAsia="等线" w:cs="Times New Roman"/>
                <w:kern w:val="0"/>
                <w:sz w:val="21"/>
                <w:szCs w:val="21"/>
              </w:rPr>
              <w:t>1000m</w:t>
            </w:r>
            <w:r>
              <w:rPr>
                <w:rFonts w:eastAsia="等线" w:cs="Times New Roman"/>
                <w:kern w:val="0"/>
                <w:sz w:val="21"/>
                <w:szCs w:val="21"/>
                <w:vertAlign w:val="superscript"/>
              </w:rPr>
              <w:t>2</w:t>
            </w:r>
            <w:r>
              <w:rPr>
                <w:rFonts w:cs="Times New Roman"/>
                <w:kern w:val="0"/>
                <w:sz w:val="21"/>
                <w:szCs w:val="21"/>
              </w:rPr>
              <w:t>及环境整治</w:t>
            </w:r>
            <w:r>
              <w:rPr>
                <w:rFonts w:hint="eastAsia" w:cs="Times New Roman"/>
                <w:kern w:val="0"/>
                <w:sz w:val="21"/>
                <w:szCs w:val="21"/>
              </w:rPr>
              <w:t>。</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县文化旅游委</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500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3</w:t>
            </w:r>
            <w:r>
              <w:rPr>
                <w:rFonts w:hint="eastAsia" w:eastAsia="等线" w:cs="Times New Roman"/>
                <w:kern w:val="0"/>
                <w:sz w:val="21"/>
                <w:szCs w:val="21"/>
              </w:rPr>
              <w:t>6</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生态文明宣传</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奉节县生态环境宣教能力提升项目</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cs="Times New Roman"/>
                <w:kern w:val="0"/>
                <w:sz w:val="21"/>
                <w:szCs w:val="21"/>
              </w:rPr>
              <w:t>购置乡镇（街道）生态环境保护宣教设施设备</w:t>
            </w:r>
            <w:r>
              <w:rPr>
                <w:rFonts w:eastAsia="等线" w:cs="Times New Roman"/>
                <w:kern w:val="0"/>
                <w:sz w:val="21"/>
                <w:szCs w:val="21"/>
              </w:rPr>
              <w:t>300</w:t>
            </w:r>
            <w:r>
              <w:rPr>
                <w:rFonts w:cs="Times New Roman"/>
                <w:kern w:val="0"/>
                <w:sz w:val="21"/>
                <w:szCs w:val="21"/>
              </w:rPr>
              <w:t>台</w:t>
            </w:r>
            <w:r>
              <w:rPr>
                <w:rFonts w:eastAsia="等线" w:cs="Times New Roman"/>
                <w:kern w:val="0"/>
                <w:sz w:val="21"/>
                <w:szCs w:val="21"/>
              </w:rPr>
              <w:t>/</w:t>
            </w:r>
            <w:r>
              <w:rPr>
                <w:rFonts w:cs="Times New Roman"/>
                <w:kern w:val="0"/>
                <w:sz w:val="21"/>
                <w:szCs w:val="21"/>
              </w:rPr>
              <w:t>套。</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县生态环境局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380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hint="eastAsia" w:eastAsia="等线" w:cs="Times New Roman"/>
                <w:kern w:val="0"/>
                <w:sz w:val="21"/>
                <w:szCs w:val="21"/>
              </w:rPr>
              <w:t>37</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生态细胞工程建设</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市级生态文明建设示范乡镇创建</w:t>
            </w:r>
          </w:p>
        </w:tc>
        <w:tc>
          <w:tcPr>
            <w:tcW w:w="6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rPr>
                <w:rFonts w:eastAsia="等线" w:cs="Times New Roman"/>
                <w:kern w:val="0"/>
                <w:sz w:val="21"/>
                <w:szCs w:val="21"/>
              </w:rPr>
            </w:pPr>
            <w:r>
              <w:rPr>
                <w:rFonts w:cs="Times New Roman"/>
                <w:kern w:val="0"/>
                <w:sz w:val="21"/>
                <w:szCs w:val="21"/>
              </w:rPr>
              <w:t>持续推进市级生态文明建设示范乡镇（街道）创建工作</w:t>
            </w:r>
            <w:r>
              <w:rPr>
                <w:rFonts w:hint="eastAsia" w:cs="Times New Roman"/>
                <w:kern w:val="0"/>
                <w:sz w:val="21"/>
                <w:szCs w:val="21"/>
              </w:rPr>
              <w:t>。</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cs="Times New Roman"/>
                <w:kern w:val="0"/>
                <w:sz w:val="21"/>
                <w:szCs w:val="21"/>
              </w:rPr>
              <w:t>县生态环境局</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400</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kern w:val="0"/>
                <w:sz w:val="21"/>
                <w:szCs w:val="21"/>
              </w:rPr>
            </w:pPr>
            <w:r>
              <w:rPr>
                <w:rFonts w:eastAsia="等线" w:cs="Times New Roman"/>
                <w:kern w:val="0"/>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049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b/>
                <w:bCs/>
                <w:kern w:val="0"/>
                <w:sz w:val="21"/>
                <w:szCs w:val="21"/>
              </w:rPr>
            </w:pPr>
            <w:r>
              <w:rPr>
                <w:rFonts w:hint="eastAsia" w:cs="Times New Roman"/>
                <w:b/>
                <w:bCs/>
                <w:kern w:val="0"/>
                <w:sz w:val="21"/>
                <w:szCs w:val="21"/>
              </w:rPr>
              <w:t>合计</w:t>
            </w:r>
          </w:p>
        </w:tc>
        <w:tc>
          <w:tcPr>
            <w:tcW w:w="11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cs="Times New Roman"/>
                <w:b/>
                <w:bCs/>
                <w:kern w:val="0"/>
                <w:sz w:val="21"/>
                <w:szCs w:val="21"/>
              </w:rPr>
            </w:pP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b/>
                <w:bCs/>
                <w:kern w:val="0"/>
                <w:sz w:val="21"/>
                <w:szCs w:val="21"/>
              </w:rPr>
            </w:pPr>
            <w:r>
              <w:rPr>
                <w:rFonts w:hint="eastAsia" w:eastAsia="等线" w:cs="Times New Roman"/>
                <w:b/>
                <w:bCs/>
                <w:spacing w:val="-11"/>
                <w:kern w:val="0"/>
                <w:sz w:val="21"/>
                <w:szCs w:val="21"/>
              </w:rPr>
              <w:t>670184.6</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center"/>
              <w:rPr>
                <w:rFonts w:eastAsia="等线" w:cs="Times New Roman"/>
                <w:b/>
                <w:bCs/>
                <w:kern w:val="0"/>
                <w:sz w:val="21"/>
                <w:szCs w:val="21"/>
              </w:rPr>
            </w:pPr>
          </w:p>
        </w:tc>
      </w:tr>
    </w:tbl>
    <w:p>
      <w:pPr>
        <w:ind w:firstLine="0" w:firstLineChars="0"/>
      </w:pPr>
    </w:p>
    <w:p/>
    <w:bookmarkEnd w:id="1172"/>
    <w:bookmarkEnd w:id="1173"/>
    <w:bookmarkEnd w:id="1174"/>
    <w:bookmarkEnd w:id="1175"/>
    <w:bookmarkEnd w:id="1176"/>
    <w:bookmarkEnd w:id="1177"/>
    <w:bookmarkEnd w:id="1178"/>
    <w:bookmarkEnd w:id="1179"/>
    <w:bookmarkEnd w:id="1180"/>
    <w:bookmarkEnd w:id="1181"/>
    <w:p>
      <w:pPr>
        <w:ind w:firstLine="0" w:firstLineChars="0"/>
        <w:sectPr>
          <w:pgSz w:w="16838" w:h="11906" w:orient="landscape"/>
          <w:pgMar w:top="1587" w:right="2098" w:bottom="1474" w:left="1984" w:header="851" w:footer="992" w:gutter="0"/>
          <w:cols w:space="720" w:num="1"/>
          <w:docGrid w:type="lines" w:linePitch="439" w:charSpace="0"/>
        </w:sectPr>
      </w:pPr>
    </w:p>
    <w:p>
      <w:pPr>
        <w:ind w:firstLine="0" w:firstLineChars="0"/>
        <w:sectPr>
          <w:footerReference r:id="rId11" w:type="default"/>
          <w:pgSz w:w="11906" w:h="16838"/>
          <w:pgMar w:top="2098" w:right="1474" w:bottom="1984" w:left="1587" w:header="851" w:footer="992" w:gutter="0"/>
          <w:cols w:space="720" w:num="1"/>
          <w:docGrid w:type="lines" w:linePitch="439" w:charSpace="0"/>
        </w:sectPr>
      </w:pPr>
      <w:r>
        <w:drawing>
          <wp:anchor distT="0" distB="0" distL="114300" distR="114300" simplePos="0" relativeHeight="251659264" behindDoc="0" locked="0" layoutInCell="1" allowOverlap="1">
            <wp:simplePos x="0" y="0"/>
            <wp:positionH relativeFrom="column">
              <wp:posOffset>-436880</wp:posOffset>
            </wp:positionH>
            <wp:positionV relativeFrom="paragraph">
              <wp:posOffset>-370840</wp:posOffset>
            </wp:positionV>
            <wp:extent cx="6460490" cy="8916670"/>
            <wp:effectExtent l="0" t="0" r="0" b="0"/>
            <wp:wrapNone/>
            <wp:docPr id="22" name="图片 2" descr="1 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1 区位图"/>
                    <pic:cNvPicPr>
                      <a:picLocks noChangeAspect="1"/>
                    </pic:cNvPicPr>
                  </pic:nvPicPr>
                  <pic:blipFill>
                    <a:blip r:embed="rId14"/>
                    <a:srcRect r="487" b="2608"/>
                    <a:stretch>
                      <a:fillRect/>
                    </a:stretch>
                  </pic:blipFill>
                  <pic:spPr>
                    <a:xfrm>
                      <a:off x="0" y="0"/>
                      <a:ext cx="6460490" cy="8916670"/>
                    </a:xfrm>
                    <a:prstGeom prst="rect">
                      <a:avLst/>
                    </a:prstGeom>
                    <a:noFill/>
                    <a:ln w="9525" cap="flat" cmpd="sng">
                      <a:noFill/>
                      <a:prstDash val="solid"/>
                      <a:miter/>
                    </a:ln>
                  </pic:spPr>
                </pic:pic>
              </a:graphicData>
            </a:graphic>
          </wp:anchor>
        </w:drawing>
      </w:r>
      <w:r>
        <w:drawing>
          <wp:anchor distT="0" distB="0" distL="113665" distR="113665" simplePos="0" relativeHeight="251659264" behindDoc="0" locked="0" layoutInCell="1" allowOverlap="1">
            <wp:simplePos x="0" y="0"/>
            <wp:positionH relativeFrom="column">
              <wp:posOffset>6797675</wp:posOffset>
            </wp:positionH>
            <wp:positionV relativeFrom="paragraph">
              <wp:posOffset>-254635</wp:posOffset>
            </wp:positionV>
            <wp:extent cx="155575" cy="17145"/>
            <wp:effectExtent l="0" t="0" r="0" b="0"/>
            <wp:wrapNone/>
            <wp:docPr id="25" name="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曲线"/>
                    <pic:cNvPicPr>
                      <a:picLocks noChangeAspect="1"/>
                    </pic:cNvPicPr>
                  </pic:nvPicPr>
                  <pic:blipFill>
                    <a:blip r:embed="rId15"/>
                    <a:stretch>
                      <a:fillRect/>
                    </a:stretch>
                  </pic:blipFill>
                  <pic:spPr>
                    <a:xfrm>
                      <a:off x="0" y="0"/>
                      <a:ext cx="155574" cy="17145"/>
                    </a:xfrm>
                    <a:prstGeom prst="rect">
                      <a:avLst/>
                    </a:prstGeom>
                    <a:noFill/>
                    <a:ln w="9525" cap="flat" cmpd="sng">
                      <a:noFill/>
                      <a:prstDash val="solid"/>
                      <a:miter/>
                    </a:ln>
                  </pic:spPr>
                </pic:pic>
              </a:graphicData>
            </a:graphic>
          </wp:anchor>
        </w:drawing>
      </w:r>
      <w:r>
        <w:drawing>
          <wp:anchor distT="0" distB="0" distL="113665" distR="113665" simplePos="0" relativeHeight="251659264" behindDoc="0" locked="0" layoutInCell="1" allowOverlap="1">
            <wp:simplePos x="0" y="0"/>
            <wp:positionH relativeFrom="column">
              <wp:posOffset>6728460</wp:posOffset>
            </wp:positionH>
            <wp:positionV relativeFrom="paragraph">
              <wp:posOffset>-125095</wp:posOffset>
            </wp:positionV>
            <wp:extent cx="17145" cy="78105"/>
            <wp:effectExtent l="0" t="0" r="0" b="0"/>
            <wp:wrapNone/>
            <wp:docPr id="28"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pic:cNvPicPr>
                      <a:picLocks noChangeAspect="1"/>
                    </pic:cNvPicPr>
                  </pic:nvPicPr>
                  <pic:blipFill>
                    <a:blip r:embed="rId16"/>
                    <a:stretch>
                      <a:fillRect/>
                    </a:stretch>
                  </pic:blipFill>
                  <pic:spPr>
                    <a:xfrm>
                      <a:off x="0" y="0"/>
                      <a:ext cx="17145" cy="78105"/>
                    </a:xfrm>
                    <a:prstGeom prst="rect">
                      <a:avLst/>
                    </a:prstGeom>
                    <a:noFill/>
                    <a:ln w="9525" cap="flat" cmpd="sng">
                      <a:noFill/>
                      <a:prstDash val="solid"/>
                      <a:miter/>
                    </a:ln>
                  </pic:spPr>
                </pic:pic>
              </a:graphicData>
            </a:graphic>
          </wp:anchor>
        </w:drawing>
      </w:r>
    </w:p>
    <w:p>
      <w:pPr>
        <w:sectPr>
          <w:pgSz w:w="11906" w:h="16838"/>
          <w:pgMar w:top="2098" w:right="1474" w:bottom="1984" w:left="1587" w:header="851" w:footer="992" w:gutter="0"/>
          <w:cols w:space="720" w:num="1"/>
          <w:docGrid w:type="lines" w:linePitch="439" w:charSpace="0"/>
        </w:sectPr>
      </w:pPr>
      <w:r>
        <w:rPr>
          <w:rFonts w:hint="eastAsia"/>
        </w:rPr>
        <w:drawing>
          <wp:anchor distT="0" distB="0" distL="114300" distR="114300" simplePos="0" relativeHeight="251659264" behindDoc="0" locked="0" layoutInCell="1" allowOverlap="1">
            <wp:simplePos x="0" y="0"/>
            <wp:positionH relativeFrom="column">
              <wp:posOffset>-367030</wp:posOffset>
            </wp:positionH>
            <wp:positionV relativeFrom="paragraph">
              <wp:posOffset>-421005</wp:posOffset>
            </wp:positionV>
            <wp:extent cx="6363970" cy="8992235"/>
            <wp:effectExtent l="0" t="0" r="0" b="0"/>
            <wp:wrapNone/>
            <wp:docPr id="31" name="图片 6" descr="H:\F 奉节生态文明建设示范项目\出图工程文件\2行政区划图.jpg2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H:\F 奉节生态文明建设示范项目\出图工程文件\2行政区划图.jpg2行政区划图"/>
                    <pic:cNvPicPr>
                      <a:picLocks noChangeAspect="1"/>
                    </pic:cNvPicPr>
                  </pic:nvPicPr>
                  <pic:blipFill>
                    <a:blip r:embed="rId17"/>
                    <a:stretch>
                      <a:fillRect/>
                    </a:stretch>
                  </pic:blipFill>
                  <pic:spPr>
                    <a:xfrm>
                      <a:off x="0" y="0"/>
                      <a:ext cx="6363969" cy="8992235"/>
                    </a:xfrm>
                    <a:prstGeom prst="rect">
                      <a:avLst/>
                    </a:prstGeom>
                    <a:noFill/>
                    <a:ln w="9525" cap="flat" cmpd="sng">
                      <a:noFill/>
                      <a:prstDash val="solid"/>
                      <a:miter/>
                    </a:ln>
                  </pic:spPr>
                </pic:pic>
              </a:graphicData>
            </a:graphic>
          </wp:anchor>
        </w:drawing>
      </w:r>
    </w:p>
    <w:p>
      <w:pPr>
        <w:sectPr>
          <w:pgSz w:w="11906" w:h="16838"/>
          <w:pgMar w:top="2098" w:right="1474" w:bottom="1984" w:left="1587" w:header="851" w:footer="992" w:gutter="0"/>
          <w:cols w:space="720" w:num="1"/>
          <w:docGrid w:type="lines" w:linePitch="439" w:charSpace="0"/>
        </w:sectPr>
      </w:pPr>
      <w:r>
        <w:rPr>
          <w:rFonts w:hint="eastAsia"/>
        </w:rPr>
        <w:drawing>
          <wp:anchor distT="0" distB="0" distL="114300" distR="114300" simplePos="0" relativeHeight="251659264" behindDoc="0" locked="0" layoutInCell="1" allowOverlap="1">
            <wp:simplePos x="0" y="0"/>
            <wp:positionH relativeFrom="column">
              <wp:posOffset>-339725</wp:posOffset>
            </wp:positionH>
            <wp:positionV relativeFrom="paragraph">
              <wp:posOffset>-438150</wp:posOffset>
            </wp:positionV>
            <wp:extent cx="6362700" cy="8990330"/>
            <wp:effectExtent l="0" t="0" r="0" b="0"/>
            <wp:wrapNone/>
            <wp:docPr id="34" name="图片 10" descr="H:\F 奉节生态文明建设示范项目\出图工程文件\5 高程图（1）.jpg5 高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H:\F 奉节生态文明建设示范项目\出图工程文件\5 高程图（1）.jpg5 高程图（1）"/>
                    <pic:cNvPicPr>
                      <a:picLocks noChangeAspect="1"/>
                    </pic:cNvPicPr>
                  </pic:nvPicPr>
                  <pic:blipFill>
                    <a:blip r:embed="rId18"/>
                    <a:stretch>
                      <a:fillRect/>
                    </a:stretch>
                  </pic:blipFill>
                  <pic:spPr>
                    <a:xfrm>
                      <a:off x="0" y="0"/>
                      <a:ext cx="6362700" cy="8990331"/>
                    </a:xfrm>
                    <a:prstGeom prst="rect">
                      <a:avLst/>
                    </a:prstGeom>
                    <a:noFill/>
                    <a:ln w="9525" cap="flat" cmpd="sng">
                      <a:noFill/>
                      <a:prstDash val="solid"/>
                      <a:miter/>
                    </a:ln>
                  </pic:spPr>
                </pic:pic>
              </a:graphicData>
            </a:graphic>
          </wp:anchor>
        </w:drawing>
      </w:r>
    </w:p>
    <w:p>
      <w:pPr>
        <w:sectPr>
          <w:pgSz w:w="11906" w:h="16838"/>
          <w:pgMar w:top="2098" w:right="1474" w:bottom="1984" w:left="1587" w:header="851" w:footer="992" w:gutter="0"/>
          <w:cols w:space="720" w:num="1"/>
          <w:docGrid w:type="lines" w:linePitch="439" w:charSpace="0"/>
        </w:sectPr>
      </w:pPr>
      <w:r>
        <w:rPr>
          <w:rFonts w:hint="eastAsia"/>
        </w:rPr>
        <w:drawing>
          <wp:anchor distT="0" distB="0" distL="114300" distR="114300" simplePos="0" relativeHeight="251659264" behindDoc="0" locked="0" layoutInCell="1" allowOverlap="1">
            <wp:simplePos x="0" y="0"/>
            <wp:positionH relativeFrom="column">
              <wp:posOffset>-327660</wp:posOffset>
            </wp:positionH>
            <wp:positionV relativeFrom="paragraph">
              <wp:posOffset>-438150</wp:posOffset>
            </wp:positionV>
            <wp:extent cx="6363335" cy="8990330"/>
            <wp:effectExtent l="0" t="0" r="0" b="0"/>
            <wp:wrapNone/>
            <wp:docPr id="37" name="图片 11" descr="H:\F 奉节生态文明建设示范项目\出图工程文件\4 水系图.jpg4 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H:\F 奉节生态文明建设示范项目\出图工程文件\4 水系图.jpg4 水系图"/>
                    <pic:cNvPicPr>
                      <a:picLocks noChangeAspect="1"/>
                    </pic:cNvPicPr>
                  </pic:nvPicPr>
                  <pic:blipFill>
                    <a:blip r:embed="rId19"/>
                    <a:stretch>
                      <a:fillRect/>
                    </a:stretch>
                  </pic:blipFill>
                  <pic:spPr>
                    <a:xfrm>
                      <a:off x="0" y="0"/>
                      <a:ext cx="6363335" cy="8990331"/>
                    </a:xfrm>
                    <a:prstGeom prst="rect">
                      <a:avLst/>
                    </a:prstGeom>
                    <a:noFill/>
                    <a:ln w="9525" cap="flat" cmpd="sng">
                      <a:noFill/>
                      <a:prstDash val="solid"/>
                      <a:miter/>
                    </a:ln>
                  </pic:spPr>
                </pic:pic>
              </a:graphicData>
            </a:graphic>
          </wp:anchor>
        </w:drawing>
      </w:r>
    </w:p>
    <w:p>
      <w:pPr>
        <w:sectPr>
          <w:pgSz w:w="11906" w:h="16838"/>
          <w:pgMar w:top="2098" w:right="1474" w:bottom="1984" w:left="1587" w:header="851" w:footer="992" w:gutter="0"/>
          <w:cols w:space="720" w:num="1"/>
          <w:docGrid w:type="lines" w:linePitch="439" w:charSpace="0"/>
        </w:sectPr>
      </w:pPr>
      <w:r>
        <w:rPr>
          <w:rFonts w:hint="eastAsia"/>
        </w:rPr>
        <w:drawing>
          <wp:anchor distT="0" distB="0" distL="114300" distR="114300" simplePos="0" relativeHeight="251659264" behindDoc="0" locked="0" layoutInCell="1" allowOverlap="1">
            <wp:simplePos x="0" y="0"/>
            <wp:positionH relativeFrom="column">
              <wp:posOffset>-313055</wp:posOffset>
            </wp:positionH>
            <wp:positionV relativeFrom="paragraph">
              <wp:posOffset>-311150</wp:posOffset>
            </wp:positionV>
            <wp:extent cx="6363970" cy="8992235"/>
            <wp:effectExtent l="0" t="0" r="0" b="0"/>
            <wp:wrapNone/>
            <wp:docPr id="40" name="图片 12" descr="H:\F 奉节生态文明建设示范项目\出图工程文件\05土地利用现状图图.jpg05土地利用现状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H:\F 奉节生态文明建设示范项目\出图工程文件\05土地利用现状图图.jpg05土地利用现状图图"/>
                    <pic:cNvPicPr>
                      <a:picLocks noChangeAspect="1"/>
                    </pic:cNvPicPr>
                  </pic:nvPicPr>
                  <pic:blipFill>
                    <a:blip r:embed="rId20"/>
                    <a:stretch>
                      <a:fillRect/>
                    </a:stretch>
                  </pic:blipFill>
                  <pic:spPr>
                    <a:xfrm>
                      <a:off x="0" y="0"/>
                      <a:ext cx="6363969" cy="8992235"/>
                    </a:xfrm>
                    <a:prstGeom prst="rect">
                      <a:avLst/>
                    </a:prstGeom>
                    <a:noFill/>
                    <a:ln w="9525" cap="flat" cmpd="sng">
                      <a:noFill/>
                      <a:prstDash val="solid"/>
                      <a:miter/>
                    </a:ln>
                  </pic:spPr>
                </pic:pic>
              </a:graphicData>
            </a:graphic>
          </wp:anchor>
        </w:drawing>
      </w:r>
    </w:p>
    <w:p>
      <w:pPr>
        <w:sectPr>
          <w:pgSz w:w="11906" w:h="16838"/>
          <w:pgMar w:top="2098" w:right="1474" w:bottom="1984" w:left="1587" w:header="851" w:footer="992" w:gutter="0"/>
          <w:cols w:space="720" w:num="1"/>
          <w:docGrid w:type="lines" w:linePitch="439" w:charSpace="0"/>
        </w:sectPr>
      </w:pPr>
      <w:r>
        <w:rPr>
          <w:rFonts w:hint="eastAsia"/>
        </w:rPr>
        <w:drawing>
          <wp:anchor distT="0" distB="0" distL="114300" distR="114300" simplePos="0" relativeHeight="251659264" behindDoc="0" locked="0" layoutInCell="1" allowOverlap="1">
            <wp:simplePos x="0" y="0"/>
            <wp:positionH relativeFrom="column">
              <wp:posOffset>-297815</wp:posOffset>
            </wp:positionH>
            <wp:positionV relativeFrom="paragraph">
              <wp:posOffset>-436245</wp:posOffset>
            </wp:positionV>
            <wp:extent cx="6360160" cy="8987790"/>
            <wp:effectExtent l="0" t="0" r="0" b="0"/>
            <wp:wrapNone/>
            <wp:docPr id="43" name="图片 14" descr="G:\F 奉节生态文明建设示范项目\出图工程文件\06 生态保护红线范围.jpg06 生态保护红线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descr="G:\F 奉节生态文明建设示范项目\出图工程文件\06 生态保护红线范围.jpg06 生态保护红线范围"/>
                    <pic:cNvPicPr>
                      <a:picLocks noChangeAspect="1"/>
                    </pic:cNvPicPr>
                  </pic:nvPicPr>
                  <pic:blipFill>
                    <a:blip r:embed="rId21"/>
                    <a:stretch>
                      <a:fillRect/>
                    </a:stretch>
                  </pic:blipFill>
                  <pic:spPr>
                    <a:xfrm>
                      <a:off x="0" y="0"/>
                      <a:ext cx="6360159" cy="8987790"/>
                    </a:xfrm>
                    <a:prstGeom prst="rect">
                      <a:avLst/>
                    </a:prstGeom>
                    <a:noFill/>
                    <a:ln w="9525" cap="flat" cmpd="sng">
                      <a:noFill/>
                      <a:prstDash val="solid"/>
                      <a:miter/>
                    </a:ln>
                  </pic:spPr>
                </pic:pic>
              </a:graphicData>
            </a:graphic>
          </wp:anchor>
        </w:drawing>
      </w:r>
    </w:p>
    <w:p>
      <w:pPr>
        <w:sectPr>
          <w:pgSz w:w="11906" w:h="16838"/>
          <w:pgMar w:top="2098" w:right="1474" w:bottom="1984" w:left="1587" w:header="851" w:footer="992" w:gutter="0"/>
          <w:cols w:space="720" w:num="1"/>
          <w:docGrid w:type="lines" w:linePitch="439" w:charSpace="0"/>
        </w:sectPr>
      </w:pPr>
      <w:r>
        <w:rPr>
          <w:rFonts w:hint="eastAsia"/>
        </w:rPr>
        <w:drawing>
          <wp:anchor distT="0" distB="0" distL="114300" distR="114300" simplePos="0" relativeHeight="251659264" behindDoc="0" locked="0" layoutInCell="1" allowOverlap="1">
            <wp:simplePos x="0" y="0"/>
            <wp:positionH relativeFrom="column">
              <wp:posOffset>-299720</wp:posOffset>
            </wp:positionH>
            <wp:positionV relativeFrom="paragraph">
              <wp:posOffset>-408940</wp:posOffset>
            </wp:positionV>
            <wp:extent cx="6363970" cy="8991600"/>
            <wp:effectExtent l="0" t="0" r="0" b="0"/>
            <wp:wrapNone/>
            <wp:docPr id="46" name="图片 5" descr="H:\F 奉节生态文明建设示范项目\出图工程文件\7 地表水监测断面 - 副本.jpg7 地表水监测断面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descr="H:\F 奉节生态文明建设示范项目\出图工程文件\7 地表水监测断面 - 副本.jpg7 地表水监测断面 - 副本"/>
                    <pic:cNvPicPr>
                      <a:picLocks noChangeAspect="1"/>
                    </pic:cNvPicPr>
                  </pic:nvPicPr>
                  <pic:blipFill>
                    <a:blip r:embed="rId22"/>
                    <a:stretch>
                      <a:fillRect/>
                    </a:stretch>
                  </pic:blipFill>
                  <pic:spPr>
                    <a:xfrm>
                      <a:off x="0" y="0"/>
                      <a:ext cx="6363969" cy="8991600"/>
                    </a:xfrm>
                    <a:prstGeom prst="rect">
                      <a:avLst/>
                    </a:prstGeom>
                    <a:noFill/>
                    <a:ln w="9525" cap="flat" cmpd="sng">
                      <a:noFill/>
                      <a:prstDash val="solid"/>
                      <a:miter/>
                    </a:ln>
                  </pic:spPr>
                </pic:pic>
              </a:graphicData>
            </a:graphic>
          </wp:anchor>
        </w:drawing>
      </w:r>
    </w:p>
    <w:p>
      <w:r>
        <w:rPr>
          <w:rFonts w:hint="eastAsia"/>
        </w:rPr>
        <w:drawing>
          <wp:anchor distT="0" distB="0" distL="114300" distR="114300" simplePos="0" relativeHeight="251659264" behindDoc="0" locked="0" layoutInCell="1" allowOverlap="1">
            <wp:simplePos x="0" y="0"/>
            <wp:positionH relativeFrom="column">
              <wp:posOffset>-330835</wp:posOffset>
            </wp:positionH>
            <wp:positionV relativeFrom="paragraph">
              <wp:posOffset>-381635</wp:posOffset>
            </wp:positionV>
            <wp:extent cx="6363335" cy="8991600"/>
            <wp:effectExtent l="0" t="0" r="0" b="0"/>
            <wp:wrapNone/>
            <wp:docPr id="49" name="图片 9" descr="H:\F 奉节生态文明建设示范项目\出图工程文件\7 大气监测点位.jpg7 大气监测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H:\F 奉节生态文明建设示范项目\出图工程文件\7 大气监测点位.jpg7 大气监测点位"/>
                    <pic:cNvPicPr>
                      <a:picLocks noChangeAspect="1"/>
                    </pic:cNvPicPr>
                  </pic:nvPicPr>
                  <pic:blipFill>
                    <a:blip r:embed="rId23"/>
                    <a:stretch>
                      <a:fillRect/>
                    </a:stretch>
                  </pic:blipFill>
                  <pic:spPr>
                    <a:xfrm>
                      <a:off x="0" y="0"/>
                      <a:ext cx="6363335" cy="8991600"/>
                    </a:xfrm>
                    <a:prstGeom prst="rect">
                      <a:avLst/>
                    </a:prstGeom>
                    <a:noFill/>
                    <a:ln w="9525" cap="flat" cmpd="sng">
                      <a:noFill/>
                      <a:prstDash val="solid"/>
                      <a:miter/>
                    </a:ln>
                  </pic:spPr>
                </pic:pic>
              </a:graphicData>
            </a:graphic>
          </wp:anchor>
        </w:drawing>
      </w:r>
    </w:p>
    <w:p>
      <w:pPr>
        <w:sectPr>
          <w:pgSz w:w="11906" w:h="16838"/>
          <w:pgMar w:top="2098" w:right="1474" w:bottom="1984" w:left="1587" w:header="851" w:footer="992" w:gutter="0"/>
          <w:cols w:space="720" w:num="1"/>
          <w:docGrid w:type="lines" w:linePitch="439" w:charSpace="0"/>
        </w:sectPr>
      </w:pPr>
    </w:p>
    <w:p>
      <w:pPr>
        <w:ind w:firstLine="0" w:firstLineChars="0"/>
        <w:sectPr>
          <w:pgSz w:w="11906" w:h="16838"/>
          <w:pgMar w:top="2098" w:right="1474" w:bottom="1984" w:left="1587" w:header="851" w:footer="992" w:gutter="0"/>
          <w:cols w:space="720" w:num="1"/>
          <w:docGrid w:type="lines" w:linePitch="439" w:charSpace="0"/>
        </w:sectPr>
      </w:pPr>
      <w:r>
        <w:rPr>
          <w:rFonts w:hint="eastAsia"/>
        </w:rPr>
        <w:drawing>
          <wp:anchor distT="0" distB="0" distL="114300" distR="114300" simplePos="0" relativeHeight="251659264" behindDoc="0" locked="0" layoutInCell="1" allowOverlap="1">
            <wp:simplePos x="0" y="0"/>
            <wp:positionH relativeFrom="column">
              <wp:posOffset>-300990</wp:posOffset>
            </wp:positionH>
            <wp:positionV relativeFrom="paragraph">
              <wp:posOffset>-350520</wp:posOffset>
            </wp:positionV>
            <wp:extent cx="6363970" cy="8992235"/>
            <wp:effectExtent l="0" t="0" r="0" b="0"/>
            <wp:wrapNone/>
            <wp:docPr id="52" name="图片 8" descr="H:\F 奉节生态文明建设示范项目\出图工程文件\9-1 重点工程项目图1.jpg9-1 重点工程项目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H:\F 奉节生态文明建设示范项目\出图工程文件\9-1 重点工程项目图1.jpg9-1 重点工程项目图1"/>
                    <pic:cNvPicPr>
                      <a:picLocks noChangeAspect="1"/>
                    </pic:cNvPicPr>
                  </pic:nvPicPr>
                  <pic:blipFill>
                    <a:blip r:embed="rId24"/>
                    <a:stretch>
                      <a:fillRect/>
                    </a:stretch>
                  </pic:blipFill>
                  <pic:spPr>
                    <a:xfrm>
                      <a:off x="0" y="0"/>
                      <a:ext cx="6363969" cy="8992235"/>
                    </a:xfrm>
                    <a:prstGeom prst="rect">
                      <a:avLst/>
                    </a:prstGeom>
                    <a:noFill/>
                    <a:ln w="9525" cap="flat" cmpd="sng">
                      <a:noFill/>
                      <a:prstDash val="solid"/>
                      <a:miter/>
                    </a:ln>
                  </pic:spPr>
                </pic:pic>
              </a:graphicData>
            </a:graphic>
          </wp:anchor>
        </w:drawing>
      </w:r>
    </w:p>
    <w:p>
      <w:pPr>
        <w:ind w:firstLine="0" w:firstLineChars="0"/>
        <w:sectPr>
          <w:pgSz w:w="11906" w:h="16838"/>
          <w:pgMar w:top="2098" w:right="1474" w:bottom="1984" w:left="1587" w:header="851" w:footer="992" w:gutter="0"/>
          <w:cols w:space="720" w:num="1"/>
          <w:docGrid w:type="lines" w:linePitch="439" w:charSpace="0"/>
        </w:sectPr>
      </w:pPr>
      <w:r>
        <w:rPr>
          <w:rFonts w:hint="eastAsia"/>
        </w:rPr>
        <w:drawing>
          <wp:anchor distT="0" distB="0" distL="114300" distR="114300" simplePos="0" relativeHeight="251659264" behindDoc="0" locked="0" layoutInCell="1" allowOverlap="1">
            <wp:simplePos x="0" y="0"/>
            <wp:positionH relativeFrom="column">
              <wp:posOffset>-300990</wp:posOffset>
            </wp:positionH>
            <wp:positionV relativeFrom="paragraph">
              <wp:posOffset>-349250</wp:posOffset>
            </wp:positionV>
            <wp:extent cx="6363970" cy="8991600"/>
            <wp:effectExtent l="0" t="0" r="0" b="0"/>
            <wp:wrapNone/>
            <wp:docPr id="55" name="图片 11" descr="H:\F 奉节生态文明建设示范项目\出图工程文件\9-2 重点工程项目图2.jpg9-2 重点工程项目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descr="H:\F 奉节生态文明建设示范项目\出图工程文件\9-2 重点工程项目图2.jpg9-2 重点工程项目图2"/>
                    <pic:cNvPicPr>
                      <a:picLocks noChangeAspect="1"/>
                    </pic:cNvPicPr>
                  </pic:nvPicPr>
                  <pic:blipFill>
                    <a:blip r:embed="rId25"/>
                    <a:stretch>
                      <a:fillRect/>
                    </a:stretch>
                  </pic:blipFill>
                  <pic:spPr>
                    <a:xfrm>
                      <a:off x="0" y="0"/>
                      <a:ext cx="6363969" cy="8991600"/>
                    </a:xfrm>
                    <a:prstGeom prst="rect">
                      <a:avLst/>
                    </a:prstGeom>
                    <a:noFill/>
                    <a:ln w="9525" cap="flat" cmpd="sng">
                      <a:noFill/>
                      <a:prstDash val="solid"/>
                      <a:miter/>
                    </a:ln>
                  </pic:spPr>
                </pic:pic>
              </a:graphicData>
            </a:graphic>
          </wp:anchor>
        </w:drawing>
      </w:r>
    </w:p>
    <w:p>
      <w:pPr>
        <w:ind w:firstLine="0" w:firstLineChars="0"/>
        <w:sectPr>
          <w:pgSz w:w="11906" w:h="16838"/>
          <w:pgMar w:top="2098" w:right="1474" w:bottom="1984" w:left="1587" w:header="851" w:footer="992" w:gutter="0"/>
          <w:cols w:space="720" w:num="1"/>
          <w:docGrid w:type="lines" w:linePitch="439" w:charSpace="0"/>
        </w:sectPr>
      </w:pPr>
      <w:r>
        <w:rPr>
          <w:rFonts w:hint="eastAsia"/>
        </w:rPr>
        <w:drawing>
          <wp:anchor distT="0" distB="0" distL="114300" distR="114300" simplePos="0" relativeHeight="251659264" behindDoc="0" locked="0" layoutInCell="1" allowOverlap="1">
            <wp:simplePos x="0" y="0"/>
            <wp:positionH relativeFrom="column">
              <wp:posOffset>-300355</wp:posOffset>
            </wp:positionH>
            <wp:positionV relativeFrom="paragraph">
              <wp:posOffset>-349250</wp:posOffset>
            </wp:positionV>
            <wp:extent cx="6363335" cy="8990330"/>
            <wp:effectExtent l="0" t="0" r="0" b="0"/>
            <wp:wrapNone/>
            <wp:docPr id="58" name="图片 12" descr="H:\F 奉节生态文明建设示范项目\出图工程文件\9-2 重点工程项目图4.jpg9-2 重点工程项目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descr="H:\F 奉节生态文明建设示范项目\出图工程文件\9-2 重点工程项目图4.jpg9-2 重点工程项目图4"/>
                    <pic:cNvPicPr>
                      <a:picLocks noChangeAspect="1"/>
                    </pic:cNvPicPr>
                  </pic:nvPicPr>
                  <pic:blipFill>
                    <a:blip r:embed="rId26"/>
                    <a:stretch>
                      <a:fillRect/>
                    </a:stretch>
                  </pic:blipFill>
                  <pic:spPr>
                    <a:xfrm>
                      <a:off x="0" y="0"/>
                      <a:ext cx="6363335" cy="8990331"/>
                    </a:xfrm>
                    <a:prstGeom prst="rect">
                      <a:avLst/>
                    </a:prstGeom>
                    <a:noFill/>
                    <a:ln w="9525" cap="flat" cmpd="sng">
                      <a:noFill/>
                      <a:prstDash val="solid"/>
                      <a:miter/>
                    </a:ln>
                  </pic:spPr>
                </pic:pic>
              </a:graphicData>
            </a:graphic>
          </wp:anchor>
        </w:drawing>
      </w:r>
    </w:p>
    <w:p>
      <w:pPr>
        <w:ind w:firstLine="0" w:firstLineChars="0"/>
        <w:sectPr>
          <w:pgSz w:w="11906" w:h="16838"/>
          <w:pgMar w:top="2098" w:right="1474" w:bottom="1984" w:left="1587" w:header="851" w:footer="992" w:gutter="0"/>
          <w:cols w:space="720" w:num="1"/>
          <w:docGrid w:type="lines" w:linePitch="439" w:charSpace="0"/>
        </w:sectPr>
      </w:pPr>
      <w:r>
        <w:rPr>
          <w:rFonts w:hint="eastAsia"/>
        </w:rPr>
        <w:drawing>
          <wp:anchor distT="0" distB="0" distL="114300" distR="114300" simplePos="0" relativeHeight="251659264" behindDoc="0" locked="0" layoutInCell="1" allowOverlap="1">
            <wp:simplePos x="0" y="0"/>
            <wp:positionH relativeFrom="column">
              <wp:posOffset>-300355</wp:posOffset>
            </wp:positionH>
            <wp:positionV relativeFrom="paragraph">
              <wp:posOffset>-349250</wp:posOffset>
            </wp:positionV>
            <wp:extent cx="6363335" cy="8991600"/>
            <wp:effectExtent l="0" t="0" r="0" b="0"/>
            <wp:wrapNone/>
            <wp:docPr id="61" name="图片 13" descr="H:\F 奉节生态文明建设示范项目\出图工程文件\9-2 重点工程项目图3.jpg9-2 重点工程项目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descr="H:\F 奉节生态文明建设示范项目\出图工程文件\9-2 重点工程项目图3.jpg9-2 重点工程项目图3"/>
                    <pic:cNvPicPr>
                      <a:picLocks noChangeAspect="1"/>
                    </pic:cNvPicPr>
                  </pic:nvPicPr>
                  <pic:blipFill>
                    <a:blip r:embed="rId27"/>
                    <a:stretch>
                      <a:fillRect/>
                    </a:stretch>
                  </pic:blipFill>
                  <pic:spPr>
                    <a:xfrm>
                      <a:off x="0" y="0"/>
                      <a:ext cx="6363335" cy="8991600"/>
                    </a:xfrm>
                    <a:prstGeom prst="rect">
                      <a:avLst/>
                    </a:prstGeom>
                    <a:noFill/>
                    <a:ln w="9525" cap="flat" cmpd="sng">
                      <a:noFill/>
                      <a:prstDash val="solid"/>
                      <a:miter/>
                    </a:ln>
                  </pic:spPr>
                </pic:pic>
              </a:graphicData>
            </a:graphic>
          </wp:anchor>
        </w:drawing>
      </w:r>
    </w:p>
    <w:p>
      <w:pPr>
        <w:ind w:firstLine="0" w:firstLineChars="0"/>
      </w:pPr>
      <w:r>
        <w:rPr>
          <w:rFonts w:hint="eastAsia"/>
        </w:rPr>
        <w:drawing>
          <wp:anchor distT="0" distB="0" distL="114300" distR="114300" simplePos="0" relativeHeight="251659264" behindDoc="0" locked="0" layoutInCell="1" allowOverlap="1">
            <wp:simplePos x="0" y="0"/>
            <wp:positionH relativeFrom="column">
              <wp:posOffset>-300355</wp:posOffset>
            </wp:positionH>
            <wp:positionV relativeFrom="paragraph">
              <wp:posOffset>-349250</wp:posOffset>
            </wp:positionV>
            <wp:extent cx="6363335" cy="8990330"/>
            <wp:effectExtent l="0" t="0" r="0" b="0"/>
            <wp:wrapNone/>
            <wp:docPr id="64" name="图片 9" descr="H:\F 奉节生态文明建设示范项目\出图工程文件\9-2 重点工程项目图5.jpg9-2 重点工程项目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descr="H:\F 奉节生态文明建设示范项目\出图工程文件\9-2 重点工程项目图5.jpg9-2 重点工程项目图5"/>
                    <pic:cNvPicPr>
                      <a:picLocks noChangeAspect="1"/>
                    </pic:cNvPicPr>
                  </pic:nvPicPr>
                  <pic:blipFill>
                    <a:blip r:embed="rId28"/>
                    <a:stretch>
                      <a:fillRect/>
                    </a:stretch>
                  </pic:blipFill>
                  <pic:spPr>
                    <a:xfrm>
                      <a:off x="0" y="0"/>
                      <a:ext cx="6363335" cy="8990331"/>
                    </a:xfrm>
                    <a:prstGeom prst="rect">
                      <a:avLst/>
                    </a:prstGeom>
                    <a:noFill/>
                    <a:ln w="9525" cap="flat" cmpd="sng">
                      <a:noFill/>
                      <a:prstDash val="solid"/>
                      <a:miter/>
                    </a:ln>
                  </pic:spPr>
                </pic:pic>
              </a:graphicData>
            </a:graphic>
          </wp:anchor>
        </w:drawing>
      </w:r>
    </w:p>
    <w:sectPr>
      <w:pgSz w:w="11906" w:h="16838"/>
      <w:pgMar w:top="2098" w:right="1474" w:bottom="1984" w:left="1587" w:header="851" w:footer="992" w:gutter="0"/>
      <w:cols w:space="720" w:num="1"/>
      <w:docGrid w:type="lines" w:linePitch="43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388620" cy="186055"/>
              <wp:effectExtent l="0" t="0" r="0" b="0"/>
              <wp:wrapNone/>
              <wp:docPr id="4" name="文本框 7"/>
              <wp:cNvGraphicFramePr/>
              <a:graphic xmlns:a="http://schemas.openxmlformats.org/drawingml/2006/main">
                <a:graphicData uri="http://schemas.microsoft.com/office/word/2010/wordprocessingShape">
                  <wps:wsp>
                    <wps:cNvSpPr/>
                    <wps:spPr>
                      <a:xfrm>
                        <a:off x="0" y="0"/>
                        <a:ext cx="388315" cy="185775"/>
                      </a:xfrm>
                      <a:prstGeom prst="rect">
                        <a:avLst/>
                      </a:prstGeom>
                      <a:noFill/>
                      <a:ln w="6350" cap="flat" cmpd="sng">
                        <a:noFill/>
                        <a:prstDash val="solid"/>
                        <a:round/>
                      </a:ln>
                    </wps:spPr>
                    <wps:txbx>
                      <w:txbxContent>
                        <w:p>
                          <w:pPr>
                            <w:pStyle w:val="19"/>
                            <w:rPr>
                              <w:rFonts w:eastAsia="宋体"/>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iii</w:t>
                          </w:r>
                          <w:r>
                            <w:rPr>
                              <w:rFonts w:hint="eastAsia"/>
                              <w:sz w:val="24"/>
                              <w:szCs w:val="24"/>
                            </w:rPr>
                            <w:fldChar w:fldCharType="end"/>
                          </w:r>
                        </w:p>
                      </w:txbxContent>
                    </wps:txbx>
                    <wps:bodyPr vert="horz" wrap="none" lIns="0" tIns="0" rIns="0" bIns="0" anchor="t" anchorCtr="0" upright="0">
                      <a:spAutoFit/>
                    </wps:bodyPr>
                  </wps:wsp>
                </a:graphicData>
              </a:graphic>
            </wp:anchor>
          </w:drawing>
        </mc:Choice>
        <mc:Fallback>
          <w:pict>
            <v:rect id="文本框 7" o:spid="_x0000_s1026" o:spt="1" style="position:absolute;left:0pt;margin-top:0pt;height:14.65pt;width:30.6pt;mso-position-horizontal:center;mso-position-horizontal-relative:margin;mso-wrap-style:none;z-index:251659264;mso-width-relative:page;mso-height-relative:page;" filled="f" stroked="f" coordsize="21600,21600" o:gfxdata="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4+V+9cAAAADAQAADwAAAAAAAAABACAAAAAiAAAAZHJz&#10;L2Rvd25yZXYueG1sUEsBAhQAFAAAAAgAh07iQB82mWcFAgAA9AMAAA4AAAAAAAAAAQAgAAAAJgEA&#10;AGRycy9lMm9Eb2MueG1sUEsFBgAAAAAGAAYAWQEAAJ0FAAAAAA==&#10;">
              <v:fill on="f" focussize="0,0"/>
              <v:stroke on="f" weight="0.5pt" joinstyle="round"/>
              <v:imagedata o:title=""/>
              <o:lock v:ext="edit" aspectratio="f"/>
              <v:textbox inset="0mm,0mm,0mm,0mm" style="mso-fit-shape-to-text:t;">
                <w:txbxContent>
                  <w:p>
                    <w:pPr>
                      <w:pStyle w:val="19"/>
                      <w:rPr>
                        <w:rFonts w:eastAsia="宋体"/>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iii</w:t>
                    </w:r>
                    <w:r>
                      <w:rPr>
                        <w:rFonts w:hint="eastAsia"/>
                        <w:sz w:val="24"/>
                        <w:szCs w:val="24"/>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362585" cy="186055"/>
              <wp:effectExtent l="0" t="0" r="0" b="0"/>
              <wp:wrapNone/>
              <wp:docPr id="7" name="文本框 7"/>
              <wp:cNvGraphicFramePr/>
              <a:graphic xmlns:a="http://schemas.openxmlformats.org/drawingml/2006/main">
                <a:graphicData uri="http://schemas.microsoft.com/office/word/2010/wordprocessingShape">
                  <wps:wsp>
                    <wps:cNvSpPr/>
                    <wps:spPr>
                      <a:xfrm>
                        <a:off x="0" y="0"/>
                        <a:ext cx="362864" cy="185775"/>
                      </a:xfrm>
                      <a:prstGeom prst="rect">
                        <a:avLst/>
                      </a:prstGeom>
                      <a:noFill/>
                      <a:ln w="6350" cap="flat" cmpd="sng">
                        <a:noFill/>
                        <a:prstDash val="solid"/>
                        <a:round/>
                      </a:ln>
                    </wps:spPr>
                    <wps:txbx>
                      <w:txbxContent>
                        <w:p>
                          <w:pPr>
                            <w:pStyle w:val="19"/>
                            <w:rPr>
                              <w:rFonts w:eastAsia="宋体"/>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IV</w:t>
                          </w:r>
                          <w:r>
                            <w:rPr>
                              <w:rFonts w:hint="eastAsia"/>
                              <w:sz w:val="24"/>
                              <w:szCs w:val="24"/>
                            </w:rPr>
                            <w:fldChar w:fldCharType="end"/>
                          </w:r>
                        </w:p>
                      </w:txbxContent>
                    </wps:txbx>
                    <wps:bodyPr vert="horz" wrap="none" lIns="0" tIns="0" rIns="0" bIns="0" anchor="t" anchorCtr="0" upright="0">
                      <a:spAutoFit/>
                    </wps:bodyPr>
                  </wps:wsp>
                </a:graphicData>
              </a:graphic>
            </wp:anchor>
          </w:drawing>
        </mc:Choice>
        <mc:Fallback>
          <w:pict>
            <v:rect id="文本框 7" o:spid="_x0000_s1026" o:spt="1" style="position:absolute;left:0pt;margin-top:0pt;height:14.65pt;width:28.55pt;mso-position-horizontal:center;mso-position-horizontal-relative:margin;mso-wrap-style:none;z-index:251659264;mso-width-relative:page;mso-height-relative:page;" filled="f" stroked="f" coordsize="21600,21600" o:gfxdata="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HtejYAAAAAwEAAA8AAAAAAAAAAQAgAAAAIgAAAGRy&#10;cy9kb3ducmV2LnhtbFBLAQIUABQAAAAIAIdO4kBrB7E2BQIAAPQDAAAOAAAAAAAAAAEAIAAAACcB&#10;AABkcnMvZTJvRG9jLnhtbFBLBQYAAAAABgAGAFkBAACeBQAAAAA=&#10;">
              <v:fill on="f" focussize="0,0"/>
              <v:stroke on="f" weight="0.5pt" joinstyle="round"/>
              <v:imagedata o:title=""/>
              <o:lock v:ext="edit" aspectratio="f"/>
              <v:textbox inset="0mm,0mm,0mm,0mm" style="mso-fit-shape-to-text:t;">
                <w:txbxContent>
                  <w:p>
                    <w:pPr>
                      <w:pStyle w:val="19"/>
                      <w:rPr>
                        <w:rFonts w:eastAsia="宋体"/>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IV</w:t>
                    </w:r>
                    <w:r>
                      <w:rPr>
                        <w:rFonts w:hint="eastAsia"/>
                        <w:sz w:val="24"/>
                        <w:szCs w:val="24"/>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3665" distR="113665" simplePos="0" relativeHeight="251659264" behindDoc="0" locked="0" layoutInCell="1" allowOverlap="1">
              <wp:simplePos x="0" y="0"/>
              <wp:positionH relativeFrom="margin">
                <wp:posOffset>2501265</wp:posOffset>
              </wp:positionH>
              <wp:positionV relativeFrom="paragraph">
                <wp:posOffset>-130810</wp:posOffset>
              </wp:positionV>
              <wp:extent cx="444500" cy="216535"/>
              <wp:effectExtent l="0" t="0" r="0" b="0"/>
              <wp:wrapNone/>
              <wp:docPr id="10" name="文本框 4"/>
              <wp:cNvGraphicFramePr/>
              <a:graphic xmlns:a="http://schemas.openxmlformats.org/drawingml/2006/main">
                <a:graphicData uri="http://schemas.microsoft.com/office/word/2010/wordprocessingShape">
                  <wps:wsp>
                    <wps:cNvSpPr/>
                    <wps:spPr>
                      <a:xfrm>
                        <a:off x="0" y="0"/>
                        <a:ext cx="444499" cy="216738"/>
                      </a:xfrm>
                      <a:prstGeom prst="rect">
                        <a:avLst/>
                      </a:prstGeom>
                      <a:noFill/>
                      <a:ln w="6350" cap="flat" cmpd="sng">
                        <a:noFill/>
                        <a:prstDash val="solid"/>
                        <a:round/>
                      </a:ln>
                    </wps:spPr>
                    <wps:txbx>
                      <w:txbxContent>
                        <w:p>
                          <w:pPr>
                            <w:pStyle w:val="19"/>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vert="horz" wrap="none" lIns="0" tIns="0" rIns="0" bIns="0" anchor="t" anchorCtr="0" upright="0">
                      <a:spAutoFit/>
                    </wps:bodyPr>
                  </wps:wsp>
                </a:graphicData>
              </a:graphic>
            </wp:anchor>
          </w:drawing>
        </mc:Choice>
        <mc:Fallback>
          <w:pict>
            <v:rect id="文本框 4" o:spid="_x0000_s1026" o:spt="1" style="position:absolute;left:0pt;margin-left:196.95pt;margin-top:-10.3pt;height:17.05pt;width:35pt;mso-position-horizontal-relative:margin;mso-wrap-style:none;z-index:251659264;mso-width-relative:page;mso-height-relative:page;" filled="f" stroked="f" coordsize="21600,21600" o:gfxdata="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W8H1PcAAAACgEAAA8AAAAAAAAAAQAgAAAAIgAA&#10;AGRycy9kb3ducmV2LnhtbFBLAQIUABQAAAAIAIdO4kCWGxvoBAIAAPUDAAAOAAAAAAAAAAEAIAAA&#10;ACsBAABkcnMvZTJvRG9jLnhtbFBLBQYAAAAABgAGAFkBAAChBQAAAAA=&#10;">
              <v:fill on="f" focussize="0,0"/>
              <v:stroke on="f" weight="0.5pt" joinstyle="round"/>
              <v:imagedata o:title=""/>
              <o:lock v:ext="edit" aspectratio="f"/>
              <v:textbox inset="0mm,0mm,0mm,0mm" style="mso-fit-shape-to-text:t;">
                <w:txbxContent>
                  <w:p>
                    <w:pPr>
                      <w:pStyle w:val="19"/>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0" w:firstLineChars="0"/>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76200" cy="186055"/>
              <wp:effectExtent l="0" t="0" r="0" b="0"/>
              <wp:wrapNone/>
              <wp:docPr id="13" name="文本框 3"/>
              <wp:cNvGraphicFramePr/>
              <a:graphic xmlns:a="http://schemas.openxmlformats.org/drawingml/2006/main">
                <a:graphicData uri="http://schemas.microsoft.com/office/word/2010/wordprocessingShape">
                  <wps:wsp>
                    <wps:cNvSpPr/>
                    <wps:spPr>
                      <a:xfrm>
                        <a:off x="0" y="0"/>
                        <a:ext cx="76200" cy="185775"/>
                      </a:xfrm>
                      <a:prstGeom prst="rect">
                        <a:avLst/>
                      </a:prstGeom>
                      <a:noFill/>
                      <a:ln w="6350" cap="flat" cmpd="sng">
                        <a:noFill/>
                        <a:prstDash val="solid"/>
                        <a:round/>
                      </a:ln>
                    </wps:spPr>
                    <wps:txbx>
                      <w:txbxContent>
                        <w:p>
                          <w:pPr>
                            <w:pStyle w:val="19"/>
                            <w:ind w:firstLine="0" w:firstLineChars="0"/>
                            <w:rPr>
                              <w:rFonts w:eastAsia="宋体"/>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5</w:t>
                          </w:r>
                          <w:r>
                            <w:rPr>
                              <w:rFonts w:hint="eastAsia"/>
                              <w:sz w:val="24"/>
                              <w:szCs w:val="24"/>
                            </w:rPr>
                            <w:fldChar w:fldCharType="end"/>
                          </w:r>
                        </w:p>
                      </w:txbxContent>
                    </wps:txbx>
                    <wps:bodyPr vert="horz" wrap="none" lIns="0" tIns="0" rIns="0" bIns="0" anchor="t" anchorCtr="0" upright="0">
                      <a:spAutoFit/>
                    </wps:bodyPr>
                  </wps:wsp>
                </a:graphicData>
              </a:graphic>
            </wp:anchor>
          </w:drawing>
        </mc:Choice>
        <mc:Fallback>
          <w:pict>
            <v:rect id="文本框 3" o:spid="_x0000_s1026" o:spt="1" style="position:absolute;left:0pt;margin-top:0pt;height:14.65pt;width:6pt;mso-position-horizontal:center;mso-position-horizontal-relative:margin;mso-wrap-style:none;z-index:251659264;mso-width-relative:page;mso-height-relative:page;" filled="f" stroked="f" coordsize="21600,21600" o:gfxdata="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O3NdbVAAAAAwEAAA8AAAAAAAAAAQAgAAAAIgAAAGRycy9kb3du&#10;cmV2LnhtbFBLAQIUABQAAAAIAIdO4kDxepxmAgIAAPQDAAAOAAAAAAAAAAEAIAAAACQBAABkcnMv&#10;ZTJvRG9jLnhtbFBLBQYAAAAABgAGAFkBAACYBQAAAAA=&#10;">
              <v:fill on="f" focussize="0,0"/>
              <v:stroke on="f" weight="0.5pt" joinstyle="round"/>
              <v:imagedata o:title=""/>
              <o:lock v:ext="edit" aspectratio="f"/>
              <v:textbox inset="0mm,0mm,0mm,0mm" style="mso-fit-shape-to-text:t;">
                <w:txbxContent>
                  <w:p>
                    <w:pPr>
                      <w:pStyle w:val="19"/>
                      <w:ind w:firstLine="0" w:firstLineChars="0"/>
                      <w:rPr>
                        <w:rFonts w:eastAsia="宋体"/>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5</w:t>
                    </w:r>
                    <w:r>
                      <w:rPr>
                        <w:rFonts w:hint="eastAsia"/>
                        <w:sz w:val="24"/>
                        <w:szCs w:val="24"/>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0" w:firstLineChars="0"/>
      <w:jc w:val="center"/>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11200" cy="371475"/>
              <wp:effectExtent l="0" t="0" r="0" b="0"/>
              <wp:wrapNone/>
              <wp:docPr id="16" name="文本框 4"/>
              <wp:cNvGraphicFramePr/>
              <a:graphic xmlns:a="http://schemas.openxmlformats.org/drawingml/2006/main">
                <a:graphicData uri="http://schemas.microsoft.com/office/word/2010/wordprocessingShape">
                  <wps:wsp>
                    <wps:cNvSpPr/>
                    <wps:spPr>
                      <a:xfrm>
                        <a:off x="0" y="0"/>
                        <a:ext cx="711200" cy="371551"/>
                      </a:xfrm>
                      <a:prstGeom prst="rect">
                        <a:avLst/>
                      </a:prstGeom>
                      <a:noFill/>
                      <a:ln w="6350" cap="flat" cmpd="sng">
                        <a:noFill/>
                        <a:prstDash val="solid"/>
                        <a:round/>
                      </a:ln>
                    </wps:spPr>
                    <wps:txbx>
                      <w:txbxContent>
                        <w:sdt>
                          <w:sdtPr>
                            <w:rPr>
                              <w:sz w:val="24"/>
                              <w:szCs w:val="24"/>
                            </w:rPr>
                            <w:id w:val="957861685"/>
                          </w:sdtPr>
                          <w:sdtEndPr>
                            <w:rPr>
                              <w:sz w:val="24"/>
                              <w:szCs w:val="24"/>
                            </w:rPr>
                          </w:sdtEndPr>
                          <w:sdtContent>
                            <w:p>
                              <w:pPr>
                                <w:pStyle w:val="19"/>
                                <w:ind w:firstLine="0" w:firstLineChars="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51</w:t>
                              </w:r>
                              <w:r>
                                <w:rPr>
                                  <w:sz w:val="24"/>
                                  <w:szCs w:val="24"/>
                                </w:rPr>
                                <w:fldChar w:fldCharType="end"/>
                              </w:r>
                            </w:p>
                          </w:sdtContent>
                        </w:sdt>
                        <w:p>
                          <w:pPr>
                            <w:pStyle w:val="2"/>
                            <w:rPr>
                              <w:sz w:val="24"/>
                            </w:rPr>
                          </w:pPr>
                        </w:p>
                      </w:txbxContent>
                    </wps:txbx>
                    <wps:bodyPr vert="horz" wrap="none" lIns="0" tIns="0" rIns="0" bIns="0" anchor="t" anchorCtr="0" upright="0">
                      <a:spAutoFit/>
                    </wps:bodyPr>
                  </wps:wsp>
                </a:graphicData>
              </a:graphic>
            </wp:anchor>
          </w:drawing>
        </mc:Choice>
        <mc:Fallback>
          <w:pict>
            <v:rect id="文本框 4" o:spid="_x0000_s1026" o:spt="1" style="position:absolute;left:0pt;margin-top:0pt;height:29.25pt;width:56pt;mso-position-horizontal:center;mso-position-horizontal-relative:margin;mso-wrap-style:none;z-index:251659264;mso-width-relative:page;mso-height-relative:page;" filled="f" stroked="f" coordsize="21600,21600" o:gfxdata="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8iUPXAAAABAEAAA8AAAAAAAAAAQAgAAAAIgAAAGRycy9k&#10;b3ducmV2LnhtbFBLAQIUABQAAAAIAIdO4kDdM4jiAwIAAPUDAAAOAAAAAAAAAAEAIAAAACYBAABk&#10;cnMvZTJvRG9jLnhtbFBLBQYAAAAABgAGAFkBAACbBQAAAAA=&#10;">
              <v:fill on="f" focussize="0,0"/>
              <v:stroke on="f" weight="0.5pt" joinstyle="round"/>
              <v:imagedata o:title=""/>
              <o:lock v:ext="edit" aspectratio="f"/>
              <v:textbox inset="0mm,0mm,0mm,0mm" style="mso-fit-shape-to-text:t;">
                <w:txbxContent>
                  <w:sdt>
                    <w:sdtPr>
                      <w:rPr>
                        <w:sz w:val="24"/>
                        <w:szCs w:val="24"/>
                      </w:rPr>
                      <w:id w:val="957861685"/>
                    </w:sdtPr>
                    <w:sdtEndPr>
                      <w:rPr>
                        <w:sz w:val="24"/>
                        <w:szCs w:val="24"/>
                      </w:rPr>
                    </w:sdtEndPr>
                    <w:sdtContent>
                      <w:p>
                        <w:pPr>
                          <w:pStyle w:val="19"/>
                          <w:ind w:firstLine="0" w:firstLineChars="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51</w:t>
                        </w:r>
                        <w:r>
                          <w:rPr>
                            <w:sz w:val="24"/>
                            <w:szCs w:val="24"/>
                          </w:rPr>
                          <w:fldChar w:fldCharType="end"/>
                        </w:r>
                      </w:p>
                    </w:sdtContent>
                  </w:sdt>
                  <w:p>
                    <w:pPr>
                      <w:pStyle w:val="2"/>
                      <w:rPr>
                        <w:sz w:val="24"/>
                      </w:rPr>
                    </w:pPr>
                  </w:p>
                </w:txbxContent>
              </v:textbox>
            </v:rect>
          </w:pict>
        </mc:Fallback>
      </mc:AlternateContent>
    </w:r>
  </w:p>
  <w:p>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0" w:firstLineChars="0"/>
      <w:jc w:val="center"/>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11200" cy="371475"/>
              <wp:effectExtent l="0" t="0" r="0" b="0"/>
              <wp:wrapNone/>
              <wp:docPr id="19" name="文本框 5"/>
              <wp:cNvGraphicFramePr/>
              <a:graphic xmlns:a="http://schemas.openxmlformats.org/drawingml/2006/main">
                <a:graphicData uri="http://schemas.microsoft.com/office/word/2010/wordprocessingShape">
                  <wps:wsp>
                    <wps:cNvSpPr/>
                    <wps:spPr>
                      <a:xfrm>
                        <a:off x="0" y="0"/>
                        <a:ext cx="711200" cy="371551"/>
                      </a:xfrm>
                      <a:prstGeom prst="rect">
                        <a:avLst/>
                      </a:prstGeom>
                      <a:noFill/>
                      <a:ln w="6350" cap="flat" cmpd="sng">
                        <a:noFill/>
                        <a:prstDash val="solid"/>
                        <a:round/>
                      </a:ln>
                    </wps:spPr>
                    <wps:txbx>
                      <w:txbxContent>
                        <w:sdt>
                          <w:sdtPr>
                            <w:rPr>
                              <w:sz w:val="24"/>
                              <w:szCs w:val="24"/>
                            </w:rPr>
                            <w:id w:val="-1998851946"/>
                          </w:sdtPr>
                          <w:sdtEndPr>
                            <w:rPr>
                              <w:sz w:val="24"/>
                              <w:szCs w:val="24"/>
                            </w:rPr>
                          </w:sdtEndPr>
                          <w:sdtContent>
                            <w:p>
                              <w:pPr>
                                <w:pStyle w:val="19"/>
                                <w:ind w:firstLine="0" w:firstLineChars="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65</w:t>
                              </w:r>
                              <w:r>
                                <w:rPr>
                                  <w:sz w:val="24"/>
                                  <w:szCs w:val="24"/>
                                </w:rPr>
                                <w:fldChar w:fldCharType="end"/>
                              </w:r>
                            </w:p>
                          </w:sdtContent>
                        </w:sdt>
                        <w:p>
                          <w:pPr>
                            <w:pStyle w:val="2"/>
                            <w:rPr>
                              <w:sz w:val="24"/>
                            </w:rPr>
                          </w:pPr>
                        </w:p>
                      </w:txbxContent>
                    </wps:txbx>
                    <wps:bodyPr vert="horz" wrap="none" lIns="0" tIns="0" rIns="0" bIns="0" anchor="t" anchorCtr="0" upright="0">
                      <a:spAutoFit/>
                    </wps:bodyPr>
                  </wps:wsp>
                </a:graphicData>
              </a:graphic>
            </wp:anchor>
          </w:drawing>
        </mc:Choice>
        <mc:Fallback>
          <w:pict>
            <v:rect id="文本框 5" o:spid="_x0000_s1026" o:spt="1" style="position:absolute;left:0pt;margin-top:0pt;height:29.25pt;width:56pt;mso-position-horizontal:center;mso-position-horizontal-relative:margin;mso-wrap-style:none;z-index:251659264;mso-width-relative:page;mso-height-relative:page;" filled="f" stroked="f" coordsize="21600,21600" o:gfxdata="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8iUPXAAAABAEAAA8AAAAAAAAAAQAgAAAAIgAAAGRycy9k&#10;b3ducmV2LnhtbFBLAQIUABQAAAAIAIdO4kCmtUUuAwIAAPUDAAAOAAAAAAAAAAEAIAAAACYBAABk&#10;cnMvZTJvRG9jLnhtbFBLBQYAAAAABgAGAFkBAACbBQAAAAA=&#10;">
              <v:fill on="f" focussize="0,0"/>
              <v:stroke on="f" weight="0.5pt" joinstyle="round"/>
              <v:imagedata o:title=""/>
              <o:lock v:ext="edit" aspectratio="f"/>
              <v:textbox inset="0mm,0mm,0mm,0mm" style="mso-fit-shape-to-text:t;">
                <w:txbxContent>
                  <w:sdt>
                    <w:sdtPr>
                      <w:rPr>
                        <w:sz w:val="24"/>
                        <w:szCs w:val="24"/>
                      </w:rPr>
                      <w:id w:val="-1998851946"/>
                    </w:sdtPr>
                    <w:sdtEndPr>
                      <w:rPr>
                        <w:sz w:val="24"/>
                        <w:szCs w:val="24"/>
                      </w:rPr>
                    </w:sdtEndPr>
                    <w:sdtContent>
                      <w:p>
                        <w:pPr>
                          <w:pStyle w:val="19"/>
                          <w:ind w:firstLine="0" w:firstLineChars="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65</w:t>
                        </w:r>
                        <w:r>
                          <w:rPr>
                            <w:sz w:val="24"/>
                            <w:szCs w:val="24"/>
                          </w:rPr>
                          <w:fldChar w:fldCharType="end"/>
                        </w:r>
                      </w:p>
                    </w:sdtContent>
                  </w:sdt>
                  <w:p>
                    <w:pPr>
                      <w:pStyle w:val="2"/>
                      <w:rPr>
                        <w:sz w:val="24"/>
                      </w:rPr>
                    </w:pPr>
                  </w:p>
                </w:txbxContent>
              </v:textbox>
            </v:rect>
          </w:pict>
        </mc:Fallback>
      </mc:AlternateContent>
    </w:r>
  </w:p>
  <w:p>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6">
    <w:p>
      <w:pPr>
        <w:ind w:firstLine="640"/>
      </w:pPr>
      <w:r>
        <w:separator/>
      </w:r>
    </w:p>
  </w:footnote>
  <w:footnote w:type="continuationSeparator" w:id="17">
    <w:p>
      <w:pPr>
        <w:ind w:firstLine="640"/>
      </w:pPr>
      <w:r>
        <w:continuationSeparator/>
      </w:r>
    </w:p>
  </w:footnote>
  <w:footnote w:id="0">
    <w:p>
      <w:pPr>
        <w:pStyle w:val="23"/>
        <w:rPr>
          <w:rFonts w:cs="Times New Roman"/>
          <w:spacing w:val="10"/>
          <w:kern w:val="24"/>
          <w:sz w:val="21"/>
          <w:szCs w:val="21"/>
        </w:rPr>
      </w:pPr>
      <w:r>
        <w:rPr>
          <w:rStyle w:val="33"/>
          <w:rFonts w:cs="Times New Roman"/>
          <w:spacing w:val="10"/>
          <w:kern w:val="24"/>
          <w:sz w:val="21"/>
          <w:szCs w:val="22"/>
        </w:rPr>
        <w:footnoteRef/>
      </w:r>
      <w:r>
        <w:rPr>
          <w:rFonts w:hint="eastAsia"/>
          <w:szCs w:val="22"/>
        </w:rPr>
        <w:t xml:space="preserve"> </w:t>
      </w:r>
      <w:r>
        <w:rPr>
          <w:rFonts w:hint="eastAsia" w:cs="Times New Roman"/>
          <w:spacing w:val="10"/>
          <w:kern w:val="24"/>
          <w:sz w:val="21"/>
          <w:szCs w:val="21"/>
        </w:rPr>
        <w:t>“一江五河”是指</w:t>
      </w:r>
      <w:r>
        <w:rPr>
          <w:rFonts w:cs="Times New Roman"/>
          <w:spacing w:val="10"/>
          <w:kern w:val="24"/>
          <w:sz w:val="21"/>
          <w:szCs w:val="21"/>
        </w:rPr>
        <w:t>长江，朱衣河、梅溪河、草堂河、大溪河、长滩河，其中国考断面分别为长江白帝城、梅溪河罗汉大桥、大溪河鹤峰（丰）乡</w:t>
      </w:r>
      <w:r>
        <w:rPr>
          <w:rFonts w:hint="eastAsia" w:cs="Times New Roman"/>
          <w:spacing w:val="10"/>
          <w:kern w:val="24"/>
          <w:sz w:val="21"/>
          <w:szCs w:val="21"/>
        </w:rPr>
        <w:t>、长滩河黄荆沟</w:t>
      </w:r>
      <w:r>
        <w:rPr>
          <w:rFonts w:cs="Times New Roman"/>
          <w:spacing w:val="10"/>
          <w:kern w:val="24"/>
          <w:sz w:val="21"/>
          <w:szCs w:val="21"/>
        </w:rPr>
        <w:t>。</w:t>
      </w:r>
    </w:p>
  </w:footnote>
  <w:footnote w:id="1">
    <w:p>
      <w:pPr>
        <w:pStyle w:val="23"/>
      </w:pPr>
      <w:r>
        <w:rPr>
          <w:rStyle w:val="33"/>
        </w:rPr>
        <w:footnoteRef/>
      </w:r>
      <w:r>
        <w:t xml:space="preserve"> </w:t>
      </w:r>
      <w:r>
        <w:rPr>
          <w:rFonts w:hint="eastAsia"/>
        </w:rPr>
        <w:t>采用2020年数据。</w:t>
      </w:r>
    </w:p>
  </w:footnote>
  <w:footnote w:id="2">
    <w:p>
      <w:pPr>
        <w:pStyle w:val="23"/>
        <w:rPr>
          <w:rFonts w:cs="Times New Roman"/>
          <w:spacing w:val="10"/>
          <w:kern w:val="24"/>
          <w:sz w:val="21"/>
          <w:szCs w:val="21"/>
        </w:rPr>
      </w:pPr>
      <w:r>
        <w:rPr>
          <w:rStyle w:val="33"/>
          <w:rFonts w:hint="eastAsia" w:cs="Times New Roman"/>
          <w:spacing w:val="10"/>
          <w:kern w:val="24"/>
          <w:sz w:val="21"/>
          <w:szCs w:val="21"/>
        </w:rPr>
        <w:footnoteRef/>
      </w:r>
      <w:r>
        <w:rPr>
          <w:rFonts w:hint="eastAsia" w:cs="Times New Roman"/>
          <w:spacing w:val="10"/>
          <w:kern w:val="24"/>
          <w:sz w:val="21"/>
          <w:szCs w:val="21"/>
        </w:rPr>
        <w:t xml:space="preserve"> “4”是指</w:t>
      </w:r>
      <w:r>
        <w:rPr>
          <w:rFonts w:hint="eastAsia" w:cs="Times New Roman"/>
          <w:color w:val="333333"/>
          <w:spacing w:val="10"/>
          <w:kern w:val="24"/>
          <w:sz w:val="21"/>
          <w:szCs w:val="21"/>
        </w:rPr>
        <w:t>脐橙、油橄榄、中药材、山羊四大主导产业；</w:t>
      </w:r>
      <w:r>
        <w:rPr>
          <w:rFonts w:hint="eastAsia" w:cs="Times New Roman"/>
          <w:spacing w:val="10"/>
          <w:kern w:val="24"/>
          <w:sz w:val="21"/>
          <w:szCs w:val="21"/>
        </w:rPr>
        <w:t>“3”是指</w:t>
      </w:r>
      <w:r>
        <w:rPr>
          <w:rFonts w:hint="eastAsia" w:cs="Times New Roman"/>
          <w:color w:val="333333"/>
          <w:spacing w:val="10"/>
          <w:kern w:val="24"/>
          <w:sz w:val="21"/>
          <w:szCs w:val="21"/>
        </w:rPr>
        <w:t>高山蔬菜、烟叶、粮油三大优势产业；</w:t>
      </w:r>
      <w:r>
        <w:rPr>
          <w:rFonts w:hint="eastAsia" w:cs="Times New Roman"/>
          <w:spacing w:val="10"/>
          <w:kern w:val="24"/>
          <w:sz w:val="21"/>
          <w:szCs w:val="21"/>
        </w:rPr>
        <w:t>“X”是指</w:t>
      </w:r>
      <w:r>
        <w:rPr>
          <w:rFonts w:hint="eastAsia" w:cs="Times New Roman"/>
          <w:color w:val="333333"/>
          <w:spacing w:val="10"/>
          <w:kern w:val="24"/>
          <w:sz w:val="21"/>
          <w:szCs w:val="21"/>
        </w:rPr>
        <w:t>因地制宜发展蚕桑、茶叶、生猪、肉牛、生态渔业、小水果等多个特色产业。</w:t>
      </w:r>
    </w:p>
  </w:footnote>
  <w:footnote w:id="3">
    <w:p>
      <w:pPr>
        <w:pStyle w:val="23"/>
        <w:rPr>
          <w:sz w:val="21"/>
          <w:szCs w:val="21"/>
        </w:rPr>
      </w:pPr>
      <w:r>
        <w:rPr>
          <w:rStyle w:val="33"/>
          <w:sz w:val="21"/>
          <w:szCs w:val="21"/>
        </w:rPr>
        <w:footnoteRef/>
      </w:r>
      <w:r>
        <w:rPr>
          <w:sz w:val="21"/>
          <w:szCs w:val="21"/>
        </w:rPr>
        <w:t xml:space="preserve"> </w:t>
      </w:r>
      <w:r>
        <w:rPr>
          <w:rFonts w:hint="eastAsia"/>
          <w:sz w:val="21"/>
          <w:szCs w:val="21"/>
        </w:rPr>
        <w:t>打好一场硬仗、用好两个宝贝、做好三件大事、抓好一个根本。</w:t>
      </w:r>
    </w:p>
  </w:footnote>
  <w:footnote w:id="4">
    <w:p>
      <w:pPr>
        <w:pStyle w:val="23"/>
      </w:pPr>
      <w:r>
        <w:rPr>
          <w:rStyle w:val="33"/>
        </w:rPr>
        <w:footnoteRef/>
      </w:r>
      <w:r>
        <w:rPr>
          <w:rFonts w:hint="eastAsia"/>
        </w:rPr>
        <w:t>坚持巩固拓展脱贫攻坚成果和全面推进乡村振兴“一条主线”，用好生态、人文“两个宝贝”，突出现代农业、文化旅游、新型城镇化“三项重点”，实施乡村振兴、生态工业提速、文旅融合发展、现代服务业升级、城市品质提升、生态文明建设、改革开放创新、保障和改善民生、统筹发展和安全“九项行动计划”。</w:t>
      </w:r>
    </w:p>
  </w:footnote>
  <w:footnote w:id="5">
    <w:p>
      <w:pPr>
        <w:pStyle w:val="23"/>
      </w:pPr>
      <w:r>
        <w:rPr>
          <w:rStyle w:val="33"/>
        </w:rPr>
        <w:footnoteRef/>
      </w:r>
      <w:r>
        <w:rPr>
          <w:rFonts w:hint="eastAsia"/>
        </w:rPr>
        <w:t>2</w:t>
      </w:r>
      <w:r>
        <w:t>019</w:t>
      </w:r>
      <w:r>
        <w:rPr>
          <w:rFonts w:hint="eastAsia"/>
        </w:rPr>
        <w:t>年值，暂无2</w:t>
      </w:r>
      <w:r>
        <w:t>02</w:t>
      </w:r>
      <w:r>
        <w:rPr>
          <w:rFonts w:hint="eastAsia"/>
        </w:rPr>
        <w:t>1年统计值</w:t>
      </w:r>
    </w:p>
  </w:footnote>
  <w:footnote w:id="6">
    <w:p>
      <w:pPr>
        <w:pStyle w:val="23"/>
        <w:rPr>
          <w:sz w:val="21"/>
          <w:szCs w:val="21"/>
        </w:rPr>
      </w:pPr>
      <w:r>
        <w:rPr>
          <w:rStyle w:val="33"/>
          <w:sz w:val="21"/>
          <w:szCs w:val="21"/>
        </w:rPr>
        <w:footnoteRef/>
      </w:r>
      <w:r>
        <w:rPr>
          <w:sz w:val="21"/>
          <w:szCs w:val="21"/>
        </w:rPr>
        <w:t xml:space="preserve"> </w:t>
      </w:r>
      <w:r>
        <w:rPr>
          <w:rFonts w:hint="eastAsia"/>
          <w:sz w:val="21"/>
          <w:szCs w:val="21"/>
        </w:rPr>
        <w:t>“不发通知、不打招呼、不听汇报、不用陪同接待、直奔基层、直插现场”。</w:t>
      </w:r>
    </w:p>
  </w:footnote>
  <w:footnote w:id="7">
    <w:p>
      <w:pPr>
        <w:pStyle w:val="23"/>
        <w:rPr>
          <w:sz w:val="21"/>
          <w:szCs w:val="21"/>
        </w:rPr>
      </w:pPr>
      <w:r>
        <w:rPr>
          <w:rStyle w:val="33"/>
          <w:sz w:val="21"/>
          <w:szCs w:val="21"/>
        </w:rPr>
        <w:footnoteRef/>
      </w:r>
      <w:r>
        <w:rPr>
          <w:sz w:val="21"/>
          <w:szCs w:val="21"/>
        </w:rPr>
        <w:t xml:space="preserve"> </w:t>
      </w:r>
      <w:r>
        <w:rPr>
          <w:rFonts w:hint="eastAsia"/>
          <w:sz w:val="21"/>
          <w:szCs w:val="21"/>
        </w:rPr>
        <w:t>全封闭施工、场地坪硬化、车辆冲洗、预拌混凝土使用、烟尘排放控制、易扬尘物质处置、高空垃圾处理、渣土密闭运输、施工湿法作业、视频监控。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F98D7"/>
    <w:multiLevelType w:val="singleLevel"/>
    <w:tmpl w:val="8D0F98D7"/>
    <w:lvl w:ilvl="0" w:tentative="0">
      <w:start w:val="1"/>
      <w:numFmt w:val="decimal"/>
      <w:lvlText w:val="%1."/>
      <w:lvlJc w:val="left"/>
      <w:pPr>
        <w:ind w:left="425" w:hanging="425"/>
      </w:pPr>
      <w:rPr>
        <w:rFonts w:hint="default"/>
      </w:rPr>
    </w:lvl>
  </w:abstractNum>
  <w:abstractNum w:abstractNumId="1">
    <w:nsid w:val="CF09E447"/>
    <w:multiLevelType w:val="singleLevel"/>
    <w:tmpl w:val="CF09E447"/>
    <w:lvl w:ilvl="0" w:tentative="0">
      <w:start w:val="1"/>
      <w:numFmt w:val="decimal"/>
      <w:suff w:val="nothing"/>
      <w:lvlText w:val="（%1）"/>
      <w:lvlJc w:val="left"/>
      <w:pPr>
        <w:ind w:left="0" w:firstLine="0"/>
      </w:pPr>
    </w:lvl>
  </w:abstractNum>
  <w:abstractNum w:abstractNumId="2">
    <w:nsid w:val="E2A68C89"/>
    <w:multiLevelType w:val="singleLevel"/>
    <w:tmpl w:val="E2A68C89"/>
    <w:lvl w:ilvl="0" w:tentative="0">
      <w:start w:val="1"/>
      <w:numFmt w:val="decimal"/>
      <w:lvlText w:val="%1."/>
      <w:lvlJc w:val="left"/>
      <w:pPr>
        <w:tabs>
          <w:tab w:val="left" w:pos="567"/>
        </w:tabs>
        <w:ind w:left="0" w:firstLine="0"/>
      </w:pPr>
      <w:rPr>
        <w:rFonts w:hint="default"/>
      </w:rPr>
    </w:lvl>
  </w:abstractNum>
  <w:abstractNum w:abstractNumId="3">
    <w:nsid w:val="00000006"/>
    <w:multiLevelType w:val="multilevel"/>
    <w:tmpl w:val="00000006"/>
    <w:lvl w:ilvl="0" w:tentative="0">
      <w:start w:val="1"/>
      <w:numFmt w:val="chineseCountingThousand"/>
      <w:pStyle w:val="34"/>
      <w:suff w:val="nothing"/>
      <w:lvlText w:val="%1、"/>
      <w:lvlJc w:val="left"/>
      <w:pPr>
        <w:ind w:left="2693" w:firstLine="0"/>
      </w:pPr>
    </w:lvl>
    <w:lvl w:ilvl="1" w:tentative="0">
      <w:start w:val="1"/>
      <w:numFmt w:val="chineseCountingThousand"/>
      <w:suff w:val="nothing"/>
      <w:lvlText w:val="（%1）"/>
      <w:lvlJc w:val="left"/>
      <w:pPr>
        <w:ind w:left="3262" w:firstLine="0"/>
      </w:pPr>
    </w:lvl>
    <w:lvl w:ilvl="2" w:tentative="0">
      <w:start w:val="1"/>
      <w:numFmt w:val="decimal"/>
      <w:suff w:val="nothing"/>
      <w:lvlText w:val="%1、"/>
      <w:lvlJc w:val="left"/>
      <w:pPr>
        <w:ind w:left="2269" w:firstLine="0"/>
      </w:pPr>
    </w:lvl>
    <w:lvl w:ilvl="3" w:tentative="0">
      <w:start w:val="1"/>
      <w:numFmt w:val="decimal"/>
      <w:suff w:val="nothing"/>
      <w:lvlText w:val="（%1）"/>
      <w:lvlJc w:val="left"/>
      <w:pPr>
        <w:ind w:left="2269" w:firstLine="0"/>
      </w:pPr>
    </w:lvl>
    <w:lvl w:ilvl="4" w:tentative="0">
      <w:start w:val="1"/>
      <w:numFmt w:val="decimal"/>
      <w:lvlText w:val="%1.%2.%3.%4.%5"/>
      <w:lvlJc w:val="left"/>
      <w:pPr>
        <w:ind w:left="2269" w:firstLine="0"/>
      </w:pPr>
    </w:lvl>
    <w:lvl w:ilvl="5" w:tentative="0">
      <w:start w:val="1"/>
      <w:numFmt w:val="decimal"/>
      <w:lvlText w:val="%1.%2.%3.%4.%5.%6"/>
      <w:lvlJc w:val="left"/>
      <w:pPr>
        <w:ind w:left="2269" w:firstLine="0"/>
      </w:pPr>
    </w:lvl>
    <w:lvl w:ilvl="6" w:tentative="0">
      <w:start w:val="1"/>
      <w:numFmt w:val="decimal"/>
      <w:lvlText w:val="%1.%2.%3.%4.%5.%6.%7"/>
      <w:lvlJc w:val="left"/>
      <w:pPr>
        <w:ind w:left="2269" w:firstLine="0"/>
      </w:pPr>
    </w:lvl>
    <w:lvl w:ilvl="7" w:tentative="0">
      <w:start w:val="1"/>
      <w:numFmt w:val="decimal"/>
      <w:lvlText w:val="%1.%2.%3.%4.%5.%6.%7.%8"/>
      <w:lvlJc w:val="left"/>
      <w:pPr>
        <w:ind w:left="2269" w:firstLine="0"/>
      </w:pPr>
    </w:lvl>
    <w:lvl w:ilvl="8" w:tentative="0">
      <w:start w:val="1"/>
      <w:numFmt w:val="decimal"/>
      <w:lvlText w:val="%1.%2.%3.%4.%5.%6.%7.%8.%9"/>
      <w:lvlJc w:val="left"/>
      <w:pPr>
        <w:ind w:left="2269" w:firstLine="0"/>
      </w:pPr>
    </w:lvl>
  </w:abstractNum>
  <w:abstractNum w:abstractNumId="4">
    <w:nsid w:val="0BBD1F1A"/>
    <w:multiLevelType w:val="multilevel"/>
    <w:tmpl w:val="0BBD1F1A"/>
    <w:lvl w:ilvl="0" w:tentative="0">
      <w:start w:val="1"/>
      <w:numFmt w:val="chineseCounting"/>
      <w:pStyle w:val="4"/>
      <w:suff w:val="nothing"/>
      <w:lvlText w:val="第%1章 "/>
      <w:lvlJc w:val="left"/>
      <w:pPr>
        <w:ind w:left="432" w:hanging="432"/>
      </w:pPr>
      <w:rPr>
        <w:rFonts w:hint="eastAsia" w:ascii="宋体" w:hAnsi="宋体" w:eastAsia="方正黑体_GBK" w:cs="宋体"/>
        <w:sz w:val="32"/>
        <w:szCs w:val="32"/>
      </w:rPr>
    </w:lvl>
    <w:lvl w:ilvl="1" w:tentative="0">
      <w:start w:val="1"/>
      <w:numFmt w:val="chineseCounting"/>
      <w:pStyle w:val="5"/>
      <w:lvlText w:val="第%2节"/>
      <w:lvlJc w:val="left"/>
      <w:pPr>
        <w:ind w:left="593" w:hanging="593"/>
      </w:pPr>
      <w:rPr>
        <w:rFonts w:hint="eastAsia" w:ascii="宋体" w:hAnsi="宋体" w:eastAsia="方正楷体_GBK" w:cs="宋体"/>
      </w:rPr>
    </w:lvl>
    <w:lvl w:ilvl="2" w:tentative="0">
      <w:start w:val="1"/>
      <w:numFmt w:val="decimal"/>
      <w:pStyle w:val="6"/>
      <w:isLgl/>
      <w:lvlText w:val="%1.%2.%3."/>
      <w:legacy w:legacy="1" w:legacySpace="0" w:legacyIndent="720"/>
      <w:lvlJc w:val="left"/>
      <w:pPr>
        <w:ind w:left="720" w:hanging="720"/>
      </w:pPr>
      <w:rPr>
        <w:rFonts w:hint="eastAsia"/>
      </w:rPr>
    </w:lvl>
    <w:lvl w:ilvl="3" w:tentative="0">
      <w:start w:val="1"/>
      <w:numFmt w:val="decimal"/>
      <w:pStyle w:val="7"/>
      <w:isLgl/>
      <w:lvlText w:val="%1.%2.%3.%4."/>
      <w:legacy w:legacy="1" w:legacySpace="0" w:legacyIndent="864"/>
      <w:lvlJc w:val="left"/>
      <w:pPr>
        <w:ind w:left="864" w:hanging="864"/>
      </w:pPr>
      <w:rPr>
        <w:rFonts w:hint="eastAsia"/>
      </w:rPr>
    </w:lvl>
    <w:lvl w:ilvl="4" w:tentative="0">
      <w:start w:val="1"/>
      <w:numFmt w:val="decimal"/>
      <w:pStyle w:val="8"/>
      <w:isLgl/>
      <w:lvlText w:val="%1.%2.%3.%4.%5."/>
      <w:legacy w:legacy="1" w:legacySpace="0" w:legacyIndent="1008"/>
      <w:lvlJc w:val="left"/>
      <w:pPr>
        <w:ind w:left="1008" w:hanging="1008"/>
      </w:pPr>
      <w:rPr>
        <w:rFonts w:hint="eastAsia"/>
      </w:rPr>
    </w:lvl>
    <w:lvl w:ilvl="5" w:tentative="0">
      <w:start w:val="1"/>
      <w:numFmt w:val="decimal"/>
      <w:pStyle w:val="9"/>
      <w:isLgl/>
      <w:lvlText w:val="%1.%2.%3.%4.%5.%6."/>
      <w:legacy w:legacy="1" w:legacySpace="0" w:legacyIndent="1151"/>
      <w:lvlJc w:val="left"/>
      <w:pPr>
        <w:ind w:left="1151" w:hanging="1151"/>
      </w:pPr>
      <w:rPr>
        <w:rFonts w:hint="eastAsia"/>
      </w:rPr>
    </w:lvl>
    <w:lvl w:ilvl="6" w:tentative="0">
      <w:start w:val="1"/>
      <w:numFmt w:val="decimal"/>
      <w:pStyle w:val="10"/>
      <w:isLgl/>
      <w:lvlText w:val="%1.%2.%3.%4.%5.%6.%7."/>
      <w:legacy w:legacy="1" w:legacySpace="0" w:legacyIndent="1296"/>
      <w:lvlJc w:val="left"/>
      <w:pPr>
        <w:ind w:left="1296" w:hanging="1296"/>
      </w:pPr>
      <w:rPr>
        <w:rFonts w:hint="eastAsia"/>
      </w:rPr>
    </w:lvl>
    <w:lvl w:ilvl="7" w:tentative="0">
      <w:start w:val="1"/>
      <w:numFmt w:val="decimal"/>
      <w:pStyle w:val="11"/>
      <w:isLgl/>
      <w:lvlText w:val="%1.%2.%3.%4.%5.%6.%7.%8."/>
      <w:legacy w:legacy="1" w:legacySpace="0" w:legacyIndent="1440"/>
      <w:lvlJc w:val="left"/>
      <w:pPr>
        <w:ind w:left="1440" w:hanging="1440"/>
      </w:pPr>
      <w:rPr>
        <w:rFonts w:hint="eastAsia"/>
      </w:rPr>
    </w:lvl>
    <w:lvl w:ilvl="8" w:tentative="0">
      <w:start w:val="1"/>
      <w:numFmt w:val="decimal"/>
      <w:pStyle w:val="12"/>
      <w:isLgl/>
      <w:lvlText w:val="%1.%2.%3.%4.%5.%6.%7.%8.%9."/>
      <w:legacy w:legacy="1" w:legacySpace="0" w:legacyIndent="1583"/>
      <w:lvlJc w:val="left"/>
      <w:pPr>
        <w:ind w:left="1583" w:hanging="1583"/>
      </w:pPr>
      <w:rPr>
        <w:rFonts w:hint="eastAsia"/>
      </w:rPr>
    </w:lvl>
  </w:abstractNum>
  <w:abstractNum w:abstractNumId="5">
    <w:nsid w:val="2FFEA52B"/>
    <w:multiLevelType w:val="singleLevel"/>
    <w:tmpl w:val="2FFEA52B"/>
    <w:lvl w:ilvl="0" w:tentative="0">
      <w:start w:val="1"/>
      <w:numFmt w:val="chineseCounting"/>
      <w:suff w:val="nothing"/>
      <w:lvlText w:val="%1、"/>
      <w:lvlJc w:val="left"/>
      <w:pPr>
        <w:ind w:left="0" w:firstLine="420"/>
      </w:pPr>
      <w:rPr>
        <w:rFonts w:hint="eastAsia"/>
      </w:rPr>
    </w:lvl>
  </w:abstractNum>
  <w:num w:numId="1">
    <w:abstractNumId w:val="4"/>
  </w:num>
  <w:num w:numId="2">
    <w:abstractNumId w:val="3"/>
  </w:num>
  <w:num w:numId="3">
    <w:abstractNumId w:val="0"/>
  </w:num>
  <w:num w:numId="4">
    <w:abstractNumId w:val="2"/>
  </w:num>
  <w:num w:numId="5">
    <w:abstractNumId w:val="5"/>
  </w:num>
  <w:num w:numId="6">
    <w:abstractNumId w:val="1"/>
  </w:num>
  <w:num w:numId="7">
    <w:abstractNumId w:val="4"/>
    <w:lvlOverride w:ilvl="0">
      <w:startOverride w:val="1"/>
      <w:lvl w:ilvl="0" w:tentative="1">
        <w:start w:val="1"/>
        <w:numFmt w:val="chineseCounting"/>
        <w:suff w:val="nothing"/>
        <w:lvlText w:val="第%1章 "/>
        <w:lvlJc w:val="left"/>
        <w:pPr>
          <w:ind w:left="432" w:hanging="432"/>
        </w:pPr>
        <w:rPr>
          <w:rFonts w:hint="eastAsia" w:ascii="宋体" w:hAnsi="宋体" w:eastAsia="方正黑体_GBK" w:cs="宋体"/>
          <w:sz w:val="32"/>
          <w:szCs w:val="32"/>
        </w:rPr>
      </w:lvl>
    </w:lvlOverride>
    <w:lvlOverride w:ilvl="1">
      <w:startOverride w:val="1"/>
      <w:lvl w:ilvl="1" w:tentative="1">
        <w:start w:val="1"/>
        <w:numFmt w:val="chineseCounting"/>
        <w:lvlText w:val="第%2节"/>
        <w:lvlJc w:val="left"/>
        <w:pPr>
          <w:ind w:left="593" w:hanging="593"/>
        </w:pPr>
        <w:rPr>
          <w:rFonts w:hint="eastAsia" w:ascii="宋体" w:hAnsi="宋体" w:eastAsia="方正楷体_GBK" w:cs="宋体"/>
        </w:rPr>
      </w:lvl>
    </w:lvlOverride>
    <w:lvlOverride w:ilvl="2">
      <w:startOverride w:val="1"/>
      <w:lvl w:ilvl="2" w:tentative="1">
        <w:start w:val="1"/>
        <w:numFmt w:val="decimal"/>
        <w:isLgl/>
        <w:lvlText w:val="%1.%2.%3."/>
        <w:legacy w:legacy="1" w:legacySpace="0" w:legacyIndent="720"/>
        <w:lvlJc w:val="left"/>
        <w:pPr>
          <w:ind w:left="720" w:hanging="720"/>
        </w:pPr>
        <w:rPr>
          <w:rFonts w:hint="eastAsia"/>
        </w:rPr>
      </w:lvl>
    </w:lvlOverride>
    <w:lvlOverride w:ilvl="3">
      <w:startOverride w:val="1"/>
      <w:lvl w:ilvl="3" w:tentative="1">
        <w:start w:val="1"/>
        <w:numFmt w:val="decimal"/>
        <w:isLgl/>
        <w:lvlText w:val="%1.%2.%3.%4."/>
        <w:legacy w:legacy="1" w:legacySpace="0" w:legacyIndent="864"/>
        <w:lvlJc w:val="left"/>
        <w:pPr>
          <w:ind w:left="864" w:hanging="864"/>
        </w:pPr>
        <w:rPr>
          <w:rFonts w:hint="eastAsia"/>
        </w:rPr>
      </w:lvl>
    </w:lvlOverride>
    <w:lvlOverride w:ilvl="4">
      <w:startOverride w:val="1"/>
      <w:lvl w:ilvl="4" w:tentative="1">
        <w:start w:val="1"/>
        <w:numFmt w:val="decimal"/>
        <w:isLgl/>
        <w:lvlText w:val="%1.%2.%3.%4.%5."/>
        <w:legacy w:legacy="1" w:legacySpace="0" w:legacyIndent="1008"/>
        <w:lvlJc w:val="left"/>
        <w:pPr>
          <w:ind w:left="1008" w:hanging="1008"/>
        </w:pPr>
        <w:rPr>
          <w:rFonts w:hint="eastAsia"/>
        </w:rPr>
      </w:lvl>
    </w:lvlOverride>
    <w:lvlOverride w:ilvl="5">
      <w:startOverride w:val="1"/>
      <w:lvl w:ilvl="5" w:tentative="1">
        <w:start w:val="1"/>
        <w:numFmt w:val="decimal"/>
        <w:isLgl/>
        <w:lvlText w:val="%1.%2.%3.%4.%5.%6."/>
        <w:legacy w:legacy="1" w:legacySpace="0" w:legacyIndent="1151"/>
        <w:lvlJc w:val="left"/>
        <w:pPr>
          <w:ind w:left="1151" w:hanging="1151"/>
        </w:pPr>
        <w:rPr>
          <w:rFonts w:hint="eastAsia"/>
        </w:rPr>
      </w:lvl>
    </w:lvlOverride>
    <w:lvlOverride w:ilvl="6">
      <w:startOverride w:val="1"/>
      <w:lvl w:ilvl="6" w:tentative="1">
        <w:start w:val="1"/>
        <w:numFmt w:val="decimal"/>
        <w:isLgl/>
        <w:lvlText w:val="%1.%2.%3.%4.%5.%6.%7."/>
        <w:legacy w:legacy="1" w:legacySpace="0" w:legacyIndent="1296"/>
        <w:lvlJc w:val="left"/>
        <w:pPr>
          <w:ind w:left="1296" w:hanging="1296"/>
        </w:pPr>
        <w:rPr>
          <w:rFonts w:hint="eastAsia"/>
        </w:rPr>
      </w:lvl>
    </w:lvlOverride>
    <w:lvlOverride w:ilvl="7">
      <w:startOverride w:val="1"/>
      <w:lvl w:ilvl="7" w:tentative="1">
        <w:start w:val="1"/>
        <w:numFmt w:val="decimal"/>
        <w:isLgl/>
        <w:lvlText w:val="%1.%2.%3.%4.%5.%6.%7.%8."/>
        <w:legacy w:legacy="1" w:legacySpace="0" w:legacyIndent="1440"/>
        <w:lvlJc w:val="left"/>
        <w:pPr>
          <w:ind w:left="1440" w:hanging="1440"/>
        </w:pPr>
        <w:rPr>
          <w:rFonts w:hint="eastAsia"/>
        </w:rPr>
      </w:lvl>
    </w:lvlOverride>
    <w:lvlOverride w:ilvl="8">
      <w:startOverride w:val="1"/>
      <w:lvl w:ilvl="8" w:tentative="1">
        <w:start w:val="1"/>
        <w:numFmt w:val="decimal"/>
        <w:isLgl/>
        <w:lvlText w:val="%1.%2.%3.%4.%5.%6.%7.%8.%9."/>
        <w:legacy w:legacy="1" w:legacySpace="0" w:legacyIndent="1583"/>
        <w:lvlJc w:val="left"/>
        <w:pPr>
          <w:ind w:left="1583" w:hanging="1583"/>
        </w:pPr>
        <w:rPr>
          <w:rFonts w:hint="eastAsia"/>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60"/>
  <w:drawingGridVerticalSpacing w:val="220"/>
  <w:displayHorizontalDrawingGridEvery w:val="1"/>
  <w:displayVerticalDrawingGridEvery w:val="1"/>
  <w:noPunctuationKerning w:val="1"/>
  <w:characterSpacingControl w:val="compressPunctuation"/>
  <w:footnotePr>
    <w:footnote w:id="16"/>
    <w:footnote w:id="17"/>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
  <w:docVars>
    <w:docVar w:name="commondata" w:val="eyJoZGlkIjoiMGMyZDBjYTQ4Y2I0MGFkOTY2YmU1OTFjYTBhMGIyZGUifQ=="/>
  </w:docVars>
  <w:rsids>
    <w:rsidRoot w:val="00000000"/>
    <w:rsid w:val="027F67CD"/>
    <w:rsid w:val="11CC6F66"/>
    <w:rsid w:val="419C30D9"/>
    <w:rsid w:val="4ECB7FBD"/>
    <w:rsid w:val="66711AB1"/>
    <w:rsid w:val="7A4A683E"/>
    <w:rsid w:val="7D37374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200" w:firstLineChars="200"/>
      <w:jc w:val="both"/>
    </w:pPr>
    <w:rPr>
      <w:rFonts w:ascii="Times New Roman" w:hAnsi="Times New Roman" w:eastAsia="方正仿宋_GBK" w:cs="Arial"/>
      <w:kern w:val="2"/>
      <w:sz w:val="32"/>
      <w:szCs w:val="24"/>
      <w:lang w:val="en-US" w:eastAsia="zh-CN" w:bidi="ar-SA"/>
    </w:rPr>
  </w:style>
  <w:style w:type="paragraph" w:styleId="4">
    <w:name w:val="heading 1"/>
    <w:basedOn w:val="1"/>
    <w:next w:val="1"/>
    <w:qFormat/>
    <w:uiPriority w:val="0"/>
    <w:pPr>
      <w:keepNext/>
      <w:keepLines/>
      <w:widowControl w:val="0"/>
      <w:numPr>
        <w:ilvl w:val="0"/>
        <w:numId w:val="1"/>
      </w:numPr>
      <w:ind w:left="432" w:firstLine="0" w:firstLineChars="0"/>
      <w:jc w:val="center"/>
      <w:outlineLvl w:val="0"/>
    </w:pPr>
    <w:rPr>
      <w:rFonts w:eastAsia="方正黑体_GBK"/>
      <w:bCs/>
      <w:kern w:val="44"/>
      <w:szCs w:val="44"/>
    </w:rPr>
  </w:style>
  <w:style w:type="paragraph" w:styleId="5">
    <w:name w:val="heading 2"/>
    <w:basedOn w:val="1"/>
    <w:next w:val="1"/>
    <w:qFormat/>
    <w:uiPriority w:val="0"/>
    <w:pPr>
      <w:keepNext/>
      <w:keepLines/>
      <w:widowControl w:val="0"/>
      <w:numPr>
        <w:ilvl w:val="1"/>
        <w:numId w:val="1"/>
      </w:numPr>
      <w:spacing w:line="594" w:lineRule="exact"/>
      <w:ind w:left="0" w:firstLine="0" w:firstLineChars="0"/>
      <w:jc w:val="center"/>
      <w:outlineLvl w:val="1"/>
    </w:pPr>
    <w:rPr>
      <w:rFonts w:eastAsia="方正楷体_GBK" w:cs="Times New Roman"/>
      <w:bCs/>
      <w:szCs w:val="32"/>
    </w:rPr>
  </w:style>
  <w:style w:type="paragraph" w:styleId="6">
    <w:name w:val="heading 3"/>
    <w:basedOn w:val="1"/>
    <w:next w:val="1"/>
    <w:qFormat/>
    <w:uiPriority w:val="0"/>
    <w:pPr>
      <w:keepNext/>
      <w:keepLines/>
      <w:widowControl w:val="0"/>
      <w:numPr>
        <w:ilvl w:val="2"/>
        <w:numId w:val="1"/>
      </w:numPr>
      <w:ind w:left="0" w:firstLine="0" w:firstLineChars="0"/>
      <w:outlineLvl w:val="2"/>
    </w:pPr>
    <w:rPr>
      <w:b/>
      <w:bCs/>
      <w:szCs w:val="32"/>
    </w:rPr>
  </w:style>
  <w:style w:type="paragraph" w:styleId="7">
    <w:name w:val="heading 4"/>
    <w:basedOn w:val="1"/>
    <w:next w:val="1"/>
    <w:qFormat/>
    <w:uiPriority w:val="0"/>
    <w:pPr>
      <w:keepNext/>
      <w:keepLines/>
      <w:widowControl w:val="0"/>
      <w:numPr>
        <w:ilvl w:val="3"/>
        <w:numId w:val="1"/>
      </w:numPr>
      <w:spacing w:before="280" w:after="290" w:line="372" w:lineRule="auto"/>
      <w:ind w:left="864" w:firstLine="0" w:firstLineChars="0"/>
      <w:outlineLvl w:val="3"/>
    </w:pPr>
    <w:rPr>
      <w:rFonts w:ascii="Arial" w:hAnsi="Arial" w:eastAsia="黑体"/>
      <w:b/>
      <w:sz w:val="28"/>
    </w:rPr>
  </w:style>
  <w:style w:type="paragraph" w:styleId="8">
    <w:name w:val="heading 5"/>
    <w:basedOn w:val="1"/>
    <w:next w:val="1"/>
    <w:qFormat/>
    <w:uiPriority w:val="0"/>
    <w:pPr>
      <w:keepNext/>
      <w:keepLines/>
      <w:widowControl w:val="0"/>
      <w:numPr>
        <w:ilvl w:val="4"/>
        <w:numId w:val="1"/>
      </w:numPr>
      <w:spacing w:before="280" w:after="290" w:line="372" w:lineRule="auto"/>
      <w:ind w:left="1008" w:firstLine="0" w:firstLineChars="0"/>
      <w:outlineLvl w:val="4"/>
    </w:pPr>
    <w:rPr>
      <w:b/>
      <w:sz w:val="28"/>
    </w:rPr>
  </w:style>
  <w:style w:type="paragraph" w:styleId="9">
    <w:name w:val="heading 6"/>
    <w:basedOn w:val="1"/>
    <w:next w:val="1"/>
    <w:qFormat/>
    <w:uiPriority w:val="0"/>
    <w:pPr>
      <w:keepNext/>
      <w:keepLines/>
      <w:widowControl w:val="0"/>
      <w:numPr>
        <w:ilvl w:val="5"/>
        <w:numId w:val="1"/>
      </w:numPr>
      <w:spacing w:before="240" w:after="64" w:line="317" w:lineRule="auto"/>
      <w:ind w:left="1151" w:firstLine="0" w:firstLineChars="0"/>
      <w:outlineLvl w:val="5"/>
    </w:pPr>
    <w:rPr>
      <w:rFonts w:ascii="Arial" w:hAnsi="Arial" w:eastAsia="黑体"/>
      <w:b/>
      <w:sz w:val="24"/>
    </w:rPr>
  </w:style>
  <w:style w:type="paragraph" w:styleId="10">
    <w:name w:val="heading 7"/>
    <w:basedOn w:val="1"/>
    <w:next w:val="1"/>
    <w:qFormat/>
    <w:uiPriority w:val="0"/>
    <w:pPr>
      <w:keepNext/>
      <w:keepLines/>
      <w:widowControl w:val="0"/>
      <w:numPr>
        <w:ilvl w:val="6"/>
        <w:numId w:val="1"/>
      </w:numPr>
      <w:spacing w:before="240" w:after="64" w:line="317" w:lineRule="auto"/>
      <w:ind w:left="1296" w:firstLine="0" w:firstLineChars="0"/>
      <w:outlineLvl w:val="6"/>
    </w:pPr>
    <w:rPr>
      <w:b/>
      <w:sz w:val="24"/>
    </w:rPr>
  </w:style>
  <w:style w:type="paragraph" w:styleId="11">
    <w:name w:val="heading 8"/>
    <w:basedOn w:val="1"/>
    <w:next w:val="1"/>
    <w:qFormat/>
    <w:uiPriority w:val="0"/>
    <w:pPr>
      <w:keepNext/>
      <w:keepLines/>
      <w:widowControl w:val="0"/>
      <w:numPr>
        <w:ilvl w:val="7"/>
        <w:numId w:val="1"/>
      </w:numPr>
      <w:spacing w:before="240" w:after="64" w:line="317" w:lineRule="auto"/>
      <w:ind w:left="1440" w:firstLine="0" w:firstLineChars="0"/>
      <w:outlineLvl w:val="7"/>
    </w:pPr>
    <w:rPr>
      <w:rFonts w:ascii="Arial" w:hAnsi="Arial" w:eastAsia="黑体"/>
      <w:sz w:val="24"/>
    </w:rPr>
  </w:style>
  <w:style w:type="paragraph" w:styleId="12">
    <w:name w:val="heading 9"/>
    <w:basedOn w:val="1"/>
    <w:next w:val="1"/>
    <w:qFormat/>
    <w:uiPriority w:val="0"/>
    <w:pPr>
      <w:keepNext/>
      <w:keepLines/>
      <w:widowControl w:val="0"/>
      <w:numPr>
        <w:ilvl w:val="8"/>
        <w:numId w:val="1"/>
      </w:numPr>
      <w:spacing w:before="240" w:after="64" w:line="317" w:lineRule="auto"/>
      <w:ind w:left="1583" w:firstLine="0" w:firstLineChars="0"/>
      <w:outlineLvl w:val="8"/>
    </w:pPr>
    <w:rPr>
      <w:rFonts w:ascii="Arial" w:hAnsi="Arial" w:eastAsia="黑体"/>
      <w:sz w:val="21"/>
    </w:rPr>
  </w:style>
  <w:style w:type="character" w:default="1" w:styleId="28">
    <w:name w:val="Default Paragraph Font"/>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style>
  <w:style w:type="paragraph" w:styleId="3">
    <w:name w:val="Body Text Indent"/>
    <w:basedOn w:val="1"/>
    <w:qFormat/>
    <w:uiPriority w:val="0"/>
    <w:pPr>
      <w:ind w:left="200" w:leftChars="200"/>
    </w:pPr>
  </w:style>
  <w:style w:type="paragraph" w:styleId="13">
    <w:name w:val="annotation text"/>
    <w:basedOn w:val="1"/>
    <w:qFormat/>
    <w:uiPriority w:val="0"/>
    <w:pPr>
      <w:jc w:val="left"/>
    </w:pPr>
  </w:style>
  <w:style w:type="paragraph" w:styleId="14">
    <w:name w:val="Body Text"/>
    <w:basedOn w:val="1"/>
    <w:next w:val="15"/>
    <w:qFormat/>
    <w:uiPriority w:val="0"/>
    <w:pPr>
      <w:spacing w:after="120"/>
    </w:pPr>
  </w:style>
  <w:style w:type="paragraph" w:styleId="15">
    <w:name w:val="toc 5"/>
    <w:basedOn w:val="1"/>
    <w:next w:val="1"/>
    <w:qFormat/>
    <w:uiPriority w:val="0"/>
    <w:pPr>
      <w:ind w:left="800" w:leftChars="800"/>
    </w:pPr>
  </w:style>
  <w:style w:type="paragraph" w:styleId="16">
    <w:name w:val="toc 3"/>
    <w:basedOn w:val="1"/>
    <w:next w:val="1"/>
    <w:qFormat/>
    <w:uiPriority w:val="0"/>
    <w:pPr>
      <w:ind w:left="400" w:leftChars="400"/>
    </w:pPr>
  </w:style>
  <w:style w:type="paragraph" w:styleId="17">
    <w:name w:val="endnote text"/>
    <w:basedOn w:val="1"/>
    <w:qFormat/>
    <w:uiPriority w:val="0"/>
    <w:pPr>
      <w:snapToGrid w:val="0"/>
      <w:jc w:val="left"/>
    </w:pPr>
  </w:style>
  <w:style w:type="paragraph" w:styleId="18">
    <w:name w:val="Balloon Text"/>
    <w:basedOn w:val="1"/>
    <w:qFormat/>
    <w:uiPriority w:val="0"/>
    <w:rPr>
      <w:sz w:val="18"/>
      <w:szCs w:val="18"/>
    </w:rPr>
  </w:style>
  <w:style w:type="paragraph" w:styleId="19">
    <w:name w:val="footer"/>
    <w:basedOn w:val="1"/>
    <w:qFormat/>
    <w:uiPriority w:val="0"/>
    <w:pPr>
      <w:tabs>
        <w:tab w:val="center" w:pos="4153"/>
        <w:tab w:val="right" w:pos="8306"/>
      </w:tabs>
      <w:snapToGrid w:val="0"/>
      <w:spacing w:line="240" w:lineRule="atLeast"/>
      <w:jc w:val="left"/>
    </w:pPr>
    <w:rPr>
      <w:sz w:val="18"/>
      <w:szCs w:val="18"/>
    </w:rPr>
  </w:style>
  <w:style w:type="paragraph" w:styleId="20">
    <w:name w:val="header"/>
    <w:basedOn w:val="1"/>
    <w:qFormat/>
    <w:uiPriority w:val="0"/>
    <w:pPr>
      <w:tabs>
        <w:tab w:val="center" w:pos="4153"/>
        <w:tab w:val="right" w:pos="8306"/>
      </w:tabs>
      <w:snapToGrid w:val="0"/>
    </w:pPr>
    <w:rPr>
      <w:sz w:val="18"/>
    </w:rPr>
  </w:style>
  <w:style w:type="paragraph" w:styleId="21">
    <w:name w:val="toc 1"/>
    <w:basedOn w:val="1"/>
    <w:next w:val="1"/>
    <w:qFormat/>
    <w:uiPriority w:val="0"/>
    <w:pPr>
      <w:spacing w:line="594" w:lineRule="exact"/>
      <w:ind w:firstLine="0" w:firstLineChars="0"/>
    </w:pPr>
    <w:rPr>
      <w:rFonts w:eastAsia="方正黑体_GBK"/>
    </w:rPr>
  </w:style>
  <w:style w:type="paragraph" w:styleId="22">
    <w:name w:val="Subtitle"/>
    <w:basedOn w:val="1"/>
    <w:next w:val="1"/>
    <w:qFormat/>
    <w:uiPriority w:val="0"/>
    <w:pPr>
      <w:outlineLvl w:val="1"/>
    </w:pPr>
    <w:rPr>
      <w:rFonts w:ascii="方正楷体_GBK" w:hAnsi="方正楷体_GBK" w:eastAsia="黑体"/>
      <w:bCs/>
      <w:kern w:val="28"/>
      <w:szCs w:val="32"/>
    </w:rPr>
  </w:style>
  <w:style w:type="paragraph" w:styleId="23">
    <w:name w:val="footnote text"/>
    <w:basedOn w:val="1"/>
    <w:qFormat/>
    <w:uiPriority w:val="0"/>
    <w:pPr>
      <w:snapToGrid w:val="0"/>
      <w:jc w:val="left"/>
    </w:pPr>
    <w:rPr>
      <w:sz w:val="18"/>
      <w:szCs w:val="18"/>
    </w:rPr>
  </w:style>
  <w:style w:type="paragraph" w:styleId="24">
    <w:name w:val="toc 2"/>
    <w:basedOn w:val="1"/>
    <w:next w:val="1"/>
    <w:qFormat/>
    <w:uiPriority w:val="0"/>
    <w:pPr>
      <w:spacing w:line="594" w:lineRule="exact"/>
    </w:pPr>
    <w:rPr>
      <w:rFonts w:eastAsia="方正楷体_GBK"/>
    </w:rPr>
  </w:style>
  <w:style w:type="paragraph" w:styleId="25">
    <w:name w:val="Title"/>
    <w:basedOn w:val="1"/>
    <w:next w:val="1"/>
    <w:qFormat/>
    <w:uiPriority w:val="0"/>
    <w:pPr>
      <w:outlineLvl w:val="0"/>
    </w:pPr>
    <w:rPr>
      <w:rFonts w:eastAsia="方正黑体_GBK" w:cs="Times New Roman"/>
      <w:bCs/>
      <w:szCs w:val="32"/>
    </w:rPr>
  </w:style>
  <w:style w:type="paragraph" w:styleId="26">
    <w:name w:val="annotation subject"/>
    <w:basedOn w:val="13"/>
    <w:next w:val="13"/>
    <w:qFormat/>
    <w:uiPriority w:val="0"/>
    <w:rPr>
      <w:b/>
    </w:rPr>
  </w:style>
  <w:style w:type="character" w:styleId="29">
    <w:name w:val="endnote reference"/>
    <w:basedOn w:val="28"/>
    <w:qFormat/>
    <w:uiPriority w:val="0"/>
    <w:rPr>
      <w:vertAlign w:val="superscript"/>
    </w:rPr>
  </w:style>
  <w:style w:type="character" w:styleId="30">
    <w:name w:val="FollowedHyperlink"/>
    <w:basedOn w:val="28"/>
    <w:qFormat/>
    <w:uiPriority w:val="0"/>
    <w:rPr>
      <w:color w:val="800080"/>
      <w:u w:val="single"/>
    </w:rPr>
  </w:style>
  <w:style w:type="character" w:styleId="31">
    <w:name w:val="Hyperlink"/>
    <w:basedOn w:val="28"/>
    <w:qFormat/>
    <w:uiPriority w:val="0"/>
    <w:rPr>
      <w:color w:val="0000FF"/>
      <w:u w:val="single"/>
    </w:rPr>
  </w:style>
  <w:style w:type="character" w:styleId="32">
    <w:name w:val="annotation reference"/>
    <w:basedOn w:val="28"/>
    <w:qFormat/>
    <w:uiPriority w:val="0"/>
    <w:rPr>
      <w:sz w:val="21"/>
      <w:szCs w:val="21"/>
    </w:rPr>
  </w:style>
  <w:style w:type="character" w:styleId="33">
    <w:name w:val="footnote reference"/>
    <w:basedOn w:val="28"/>
    <w:qFormat/>
    <w:uiPriority w:val="0"/>
    <w:rPr>
      <w:vertAlign w:val="superscript"/>
    </w:rPr>
  </w:style>
  <w:style w:type="paragraph" w:customStyle="1" w:styleId="34">
    <w:name w:val="Heading1"/>
    <w:next w:val="1"/>
    <w:qFormat/>
    <w:uiPriority w:val="0"/>
    <w:pPr>
      <w:widowControl w:val="0"/>
      <w:numPr>
        <w:ilvl w:val="0"/>
        <w:numId w:val="2"/>
      </w:numPr>
      <w:spacing w:line="600" w:lineRule="exact"/>
      <w:ind w:left="2269" w:firstLine="200"/>
      <w:jc w:val="both"/>
      <w:textAlignment w:val="baseline"/>
    </w:pPr>
    <w:rPr>
      <w:rFonts w:ascii="Times New Roman" w:hAnsi="Times New Roman" w:eastAsia="黑体" w:cs="Times New Roman"/>
      <w:kern w:val="2"/>
      <w:sz w:val="30"/>
      <w:szCs w:val="30"/>
      <w:lang w:val="en-US" w:eastAsia="zh-CN" w:bidi="ar-SA"/>
    </w:rPr>
  </w:style>
  <w:style w:type="paragraph" w:customStyle="1" w:styleId="35">
    <w:name w:val="WPSOffice手动目录 1"/>
    <w:qFormat/>
    <w:uiPriority w:val="0"/>
    <w:rPr>
      <w:rFonts w:ascii="Times New Roman" w:hAnsi="Times New Roman" w:eastAsia="宋体" w:cs="Times New Roman"/>
      <w:sz w:val="20"/>
      <w:szCs w:val="20"/>
      <w:lang w:val="en-US" w:eastAsia="zh-CN" w:bidi="ar-SA"/>
    </w:rPr>
  </w:style>
  <w:style w:type="paragraph" w:customStyle="1" w:styleId="36">
    <w:name w:val="WPSOffice手动目录 2"/>
    <w:qFormat/>
    <w:uiPriority w:val="0"/>
    <w:pPr>
      <w:ind w:left="200" w:leftChars="200"/>
    </w:pPr>
    <w:rPr>
      <w:rFonts w:ascii="Times New Roman" w:hAnsi="Times New Roman" w:eastAsia="宋体" w:cs="Times New Roman"/>
      <w:sz w:val="20"/>
      <w:szCs w:val="20"/>
      <w:lang w:val="en-US" w:eastAsia="zh-CN" w:bidi="ar-SA"/>
    </w:rPr>
  </w:style>
  <w:style w:type="paragraph" w:customStyle="1" w:styleId="37">
    <w:name w:val="WPSOffice手动目录 3"/>
    <w:qFormat/>
    <w:uiPriority w:val="0"/>
    <w:pPr>
      <w:ind w:left="400" w:leftChars="400"/>
    </w:pPr>
    <w:rPr>
      <w:rFonts w:ascii="Times New Roman" w:hAnsi="Times New Roman" w:eastAsia="宋体" w:cs="Times New Roman"/>
      <w:sz w:val="20"/>
      <w:szCs w:val="20"/>
      <w:lang w:val="en-US" w:eastAsia="zh-CN" w:bidi="ar-SA"/>
    </w:rPr>
  </w:style>
  <w:style w:type="paragraph" w:customStyle="1" w:styleId="38">
    <w:name w:val="二级"/>
    <w:basedOn w:val="1"/>
    <w:qFormat/>
    <w:uiPriority w:val="0"/>
    <w:pPr>
      <w:spacing w:line="594" w:lineRule="exact"/>
      <w:jc w:val="left"/>
      <w:outlineLvl w:val="1"/>
    </w:pPr>
    <w:rPr>
      <w:rFonts w:eastAsia="方正黑体_GBK" w:cs="Times New Roman"/>
      <w:szCs w:val="32"/>
      <w:u w:val="dotted"/>
    </w:rPr>
  </w:style>
  <w:style w:type="paragraph" w:customStyle="1" w:styleId="39">
    <w:name w:val="三级"/>
    <w:basedOn w:val="38"/>
    <w:qFormat/>
    <w:uiPriority w:val="0"/>
    <w:pPr>
      <w:outlineLvl w:val="2"/>
    </w:pPr>
    <w:rPr>
      <w:rFonts w:ascii="方正楷体_GBK" w:eastAsia="方正楷体_GBK"/>
    </w:rPr>
  </w:style>
  <w:style w:type="paragraph" w:customStyle="1" w:styleId="40">
    <w:name w:val="文本"/>
    <w:basedOn w:val="1"/>
    <w:qFormat/>
    <w:uiPriority w:val="0"/>
    <w:pPr>
      <w:spacing w:line="594" w:lineRule="exact"/>
    </w:pPr>
    <w:rPr>
      <w:szCs w:val="32"/>
    </w:rPr>
  </w:style>
  <w:style w:type="paragraph" w:styleId="41">
    <w:name w:val="List Paragraph"/>
    <w:basedOn w:val="1"/>
    <w:qFormat/>
    <w:uiPriority w:val="0"/>
  </w:style>
  <w:style w:type="character" w:customStyle="1" w:styleId="42">
    <w:name w:val="font11"/>
    <w:basedOn w:val="28"/>
    <w:qFormat/>
    <w:uiPriority w:val="0"/>
    <w:rPr>
      <w:rFonts w:ascii="仿宋" w:eastAsia="仿宋" w:cs="仿宋"/>
      <w:color w:val="000000"/>
      <w:sz w:val="21"/>
      <w:szCs w:val="21"/>
      <w:u w:val="none"/>
    </w:rPr>
  </w:style>
  <w:style w:type="character" w:customStyle="1" w:styleId="43">
    <w:name w:val="font01"/>
    <w:basedOn w:val="28"/>
    <w:qFormat/>
    <w:uiPriority w:val="0"/>
    <w:rPr>
      <w:rFonts w:ascii="Times New Roman" w:hAnsi="Times New Roman" w:cs="Times New Roman"/>
      <w:color w:val="000000"/>
      <w:sz w:val="21"/>
      <w:szCs w:val="21"/>
      <w:u w:val="none"/>
    </w:rPr>
  </w:style>
  <w:style w:type="paragraph" w:customStyle="1" w:styleId="44">
    <w:name w:val="修订1"/>
    <w:qFormat/>
    <w:uiPriority w:val="0"/>
    <w:rPr>
      <w:rFonts w:ascii="Times New Roman" w:hAnsi="Times New Roman" w:eastAsia="方正仿宋_GBK" w:cs="Arial"/>
      <w:kern w:val="2"/>
      <w:sz w:val="32"/>
      <w:szCs w:val="24"/>
      <w:lang w:val="en-US" w:eastAsia="zh-CN" w:bidi="ar-SA"/>
    </w:rPr>
  </w:style>
  <w:style w:type="paragraph" w:customStyle="1" w:styleId="45">
    <w:name w:val="修订2"/>
    <w:qFormat/>
    <w:uiPriority w:val="0"/>
    <w:rPr>
      <w:rFonts w:ascii="Times New Roman" w:hAnsi="Times New Roman" w:eastAsia="方正仿宋_GBK" w:cs="Arial"/>
      <w:kern w:val="2"/>
      <w:sz w:val="32"/>
      <w:szCs w:val="24"/>
      <w:lang w:val="en-US" w:eastAsia="zh-CN" w:bidi="ar-SA"/>
    </w:rPr>
  </w:style>
  <w:style w:type="paragraph" w:customStyle="1" w:styleId="46">
    <w:name w:val="Char"/>
    <w:basedOn w:val="1"/>
    <w:qFormat/>
    <w:uiPriority w:val="0"/>
    <w:pPr>
      <w:tabs>
        <w:tab w:val="left" w:pos="1352"/>
      </w:tabs>
      <w:ind w:left="432" w:firstLine="0" w:firstLineChars="0"/>
    </w:pPr>
    <w:rPr>
      <w:rFonts w:eastAsia="宋体"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Company>P R C</Company>
  <Pages>121</Pages>
  <Words>48268</Words>
  <Characters>50816</Characters>
  <Lines>0</Lines>
  <Paragraphs>492</Paragraphs>
  <TotalTime>4</TotalTime>
  <ScaleCrop>false</ScaleCrop>
  <LinksUpToDate>false</LinksUpToDate>
  <CharactersWithSpaces>50960</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2022-10-11T01:57:00Z</dcterms:created>
  <dc:creator>Little  Book</dc:creator>
  <cp:lastModifiedBy>lenovo</cp:lastModifiedBy>
  <cp:lastPrinted>2022-07-15T07:17:00Z</cp:lastPrinted>
  <dcterms:modified xsi:type="dcterms:W3CDTF">2023-12-26T08:37:17Z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290461283_embed</vt:lpwstr>
  </property>
  <property fmtid="{D5CDD505-2E9C-101B-9397-08002B2CF9AE}" pid="4" name="ICV">
    <vt:lpwstr>ECA632FFBC2D484C85F8CAF88B5D00ED_13</vt:lpwstr>
  </property>
  <property fmtid="{D5CDD505-2E9C-101B-9397-08002B2CF9AE}" pid="5" name="commondata">
    <vt:lpwstr>eyJoZGlkIjoiMTE5N2FjZDZhZmE3NGVhYWFlZTQxZjk2YTQwNzA4ODIifQ==</vt:lpwstr>
  </property>
</Properties>
</file>