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AD323">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sz w:val="44"/>
          <w:szCs w:val="44"/>
          <w:lang w:eastAsia="zh-CN"/>
        </w:rPr>
      </w:pPr>
    </w:p>
    <w:p w14:paraId="11BCEF72">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sz w:val="44"/>
          <w:szCs w:val="44"/>
          <w:lang w:eastAsia="zh-CN"/>
        </w:rPr>
      </w:pPr>
    </w:p>
    <w:p w14:paraId="39DCA951">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奉节县人民政府办公室</w:t>
      </w:r>
    </w:p>
    <w:p w14:paraId="1B363B7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44"/>
          <w:szCs w:val="44"/>
          <w:lang w:val="en-US" w:eastAsia="zh-CN"/>
        </w:rPr>
      </w:pPr>
      <w:r>
        <w:rPr>
          <w:rFonts w:hint="eastAsia" w:ascii="方正小标宋_GBK" w:hAnsi="方正小标宋_GBK" w:eastAsia="方正小标宋_GBK" w:cs="方正小标宋_GBK"/>
          <w:sz w:val="44"/>
          <w:szCs w:val="44"/>
          <w:lang w:val="en-US" w:eastAsia="zh-CN"/>
        </w:rPr>
        <w:t>关于印发《奉节县进一步深化紧密型县域医疗卫生共同体高质量发展实施方案》的通知</w:t>
      </w:r>
      <w:r>
        <w:rPr>
          <w:rFonts w:hint="default" w:ascii="Times New Roman" w:hAnsi="Times New Roman" w:eastAsia="方正仿宋_GBK" w:cs="Times New Roman"/>
          <w:sz w:val="44"/>
          <w:szCs w:val="44"/>
          <w:lang w:val="en-US" w:eastAsia="zh-CN"/>
        </w:rPr>
        <w:t xml:space="preserve"> </w:t>
      </w:r>
    </w:p>
    <w:p w14:paraId="48A74D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奉节府办发〔</w:t>
      </w:r>
      <w:r>
        <w:rPr>
          <w:rFonts w:hint="default" w:ascii="Times New Roman" w:hAnsi="Times New Roman" w:eastAsia="方正仿宋_GBK" w:cs="Times New Roman"/>
          <w:color w:val="000000"/>
          <w:kern w:val="0"/>
          <w:sz w:val="32"/>
          <w:szCs w:val="32"/>
          <w:lang w:val="en-US" w:eastAsia="zh-CN" w:bidi="ar"/>
        </w:rPr>
        <w:t>2025</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11</w:t>
      </w:r>
      <w:r>
        <w:rPr>
          <w:rFonts w:hint="eastAsia" w:ascii="方正仿宋_GBK" w:hAnsi="方正仿宋_GBK" w:eastAsia="方正仿宋_GBK" w:cs="方正仿宋_GBK"/>
          <w:color w:val="000000"/>
          <w:kern w:val="0"/>
          <w:sz w:val="32"/>
          <w:szCs w:val="32"/>
          <w:lang w:val="en-US" w:eastAsia="zh-CN" w:bidi="ar"/>
        </w:rPr>
        <w:t>号</w:t>
      </w:r>
    </w:p>
    <w:p w14:paraId="33EF3F86">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color w:val="000000"/>
          <w:kern w:val="0"/>
          <w:sz w:val="32"/>
          <w:szCs w:val="32"/>
          <w:lang w:val="en-US" w:eastAsia="zh-CN" w:bidi="ar"/>
        </w:rPr>
      </w:pPr>
    </w:p>
    <w:p w14:paraId="1E3B8CA2">
      <w:pPr>
        <w:keepNext w:val="0"/>
        <w:keepLines w:val="0"/>
        <w:pageBreakBefore w:val="0"/>
        <w:widowControl/>
        <w:suppressLineNumbers w:val="0"/>
        <w:kinsoku/>
        <w:overflowPunct/>
        <w:topLinePunct w:val="0"/>
        <w:autoSpaceDE/>
        <w:autoSpaceDN/>
        <w:bidi w:val="0"/>
        <w:spacing w:beforeAutospacing="0" w:afterAutospacing="0" w:line="600" w:lineRule="exact"/>
        <w:jc w:val="both"/>
        <w:textAlignment w:val="auto"/>
        <w:rPr>
          <w:sz w:val="32"/>
          <w:szCs w:val="32"/>
        </w:rPr>
      </w:pPr>
      <w:r>
        <w:rPr>
          <w:rFonts w:ascii="方正仿宋_GBK" w:hAnsi="方正仿宋_GBK" w:eastAsia="方正仿宋_GBK" w:cs="方正仿宋_GBK"/>
          <w:color w:val="000000"/>
          <w:kern w:val="0"/>
          <w:sz w:val="32"/>
          <w:szCs w:val="32"/>
          <w:lang w:val="en-US" w:eastAsia="zh-CN" w:bidi="ar"/>
        </w:rPr>
        <w:t xml:space="preserve">各乡镇人民政府、街道办事处，县政府各部门，有关单位： </w:t>
      </w:r>
    </w:p>
    <w:p w14:paraId="226CFC5E">
      <w:pPr>
        <w:keepNext w:val="0"/>
        <w:keepLines w:val="0"/>
        <w:pageBreakBefore w:val="0"/>
        <w:widowControl/>
        <w:suppressLineNumbers w:val="0"/>
        <w:kinsoku/>
        <w:overflowPunct/>
        <w:topLinePunct w:val="0"/>
        <w:autoSpaceDE/>
        <w:autoSpaceDN/>
        <w:bidi w:val="0"/>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《奉节县进一步深化紧密型县域医疗卫生共同体高质量发展实施方案》已经县政府同意，现印发给你们，请认真遵照执行。</w:t>
      </w:r>
    </w:p>
    <w:p w14:paraId="09639A4B">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14:paraId="6D176184">
      <w:pPr>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14:paraId="7FC303A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jc w:val="right"/>
        <w:textAlignment w:val="auto"/>
        <w:rPr>
          <w:rFonts w:hint="default" w:ascii="Times New Roman" w:hAnsi="Times New Roman"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奉节县人民政府办公室</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w:t>
      </w:r>
    </w:p>
    <w:p w14:paraId="456D169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宋体"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02</w:t>
      </w:r>
      <w:r>
        <w:rPr>
          <w:rFonts w:hint="eastAsia" w:ascii="Times New Roman" w:hAnsi="Times New Roman" w:eastAsia="方正仿宋_GBK" w:cs="Times New Roman"/>
          <w:color w:val="000000"/>
          <w:kern w:val="0"/>
          <w:sz w:val="32"/>
          <w:szCs w:val="32"/>
          <w:lang w:val="en-US" w:eastAsia="zh-CN" w:bidi="ar"/>
        </w:rPr>
        <w:t>5</w:t>
      </w:r>
      <w:r>
        <w:rPr>
          <w:rFonts w:hint="default" w:ascii="Times New Roman" w:hAnsi="Times New Roman" w:eastAsia="方正仿宋_GBK" w:cs="Times New Roman"/>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bidi="ar"/>
        </w:rPr>
        <w:t>14</w:t>
      </w:r>
      <w:r>
        <w:rPr>
          <w:rFonts w:hint="default" w:ascii="Times New Roman" w:hAnsi="Times New Roman" w:eastAsia="方正仿宋_GBK" w:cs="Times New Roman"/>
          <w:color w:val="000000"/>
          <w:kern w:val="0"/>
          <w:sz w:val="32"/>
          <w:szCs w:val="32"/>
          <w:lang w:val="en-US" w:eastAsia="zh-CN" w:bidi="ar"/>
        </w:rPr>
        <w:t xml:space="preserve">日    </w:t>
      </w:r>
    </w:p>
    <w:p w14:paraId="2E1B671B">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14:paraId="60F502D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14:paraId="2B7AF819">
      <w:pPr>
        <w:pStyle w:val="10"/>
        <w:keepNext w:val="0"/>
        <w:keepLines w:val="0"/>
        <w:pageBreakBefore w:val="0"/>
        <w:widowControl/>
        <w:suppressLineNumbers w:val="0"/>
        <w:shd w:val="clear" w:fill="FFFFFF"/>
        <w:kinsoku/>
        <w:overflowPunct/>
        <w:topLinePunct w:val="0"/>
        <w:autoSpaceDE/>
        <w:autoSpaceDN/>
        <w:bidi w:val="0"/>
        <w:spacing w:beforeAutospacing="0" w:afterAutospacing="0" w:line="60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1C729DCD">
      <w:pPr>
        <w:pStyle w:val="10"/>
        <w:keepNext w:val="0"/>
        <w:keepLines w:val="0"/>
        <w:pageBreakBefore w:val="0"/>
        <w:widowControl/>
        <w:suppressLineNumbers w:val="0"/>
        <w:shd w:val="clear" w:fill="FFFFFF"/>
        <w:kinsoku/>
        <w:overflowPunct/>
        <w:topLinePunct w:val="0"/>
        <w:autoSpaceDE/>
        <w:autoSpaceDN/>
        <w:bidi w:val="0"/>
        <w:spacing w:beforeAutospacing="0" w:afterAutospacing="0" w:line="60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204AF2F0">
      <w:pPr>
        <w:pStyle w:val="10"/>
        <w:keepNext w:val="0"/>
        <w:keepLines w:val="0"/>
        <w:pageBreakBefore w:val="0"/>
        <w:widowControl/>
        <w:suppressLineNumbers w:val="0"/>
        <w:shd w:val="clear" w:fill="FFFFFF"/>
        <w:kinsoku/>
        <w:overflowPunct/>
        <w:topLinePunct w:val="0"/>
        <w:autoSpaceDE/>
        <w:autoSpaceDN/>
        <w:bidi w:val="0"/>
        <w:spacing w:beforeAutospacing="0" w:afterAutospacing="0" w:line="60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31170786">
      <w:pPr>
        <w:pStyle w:val="10"/>
        <w:keepNext w:val="0"/>
        <w:keepLines w:val="0"/>
        <w:pageBreakBefore w:val="0"/>
        <w:widowControl/>
        <w:suppressLineNumbers w:val="0"/>
        <w:kinsoku/>
        <w:overflowPunct/>
        <w:topLinePunct w:val="0"/>
        <w:autoSpaceDE/>
        <w:autoSpaceDN/>
        <w:bidi w:val="0"/>
        <w:spacing w:before="0" w:beforeAutospacing="0" w:after="0" w:afterAutospacing="0" w:line="600" w:lineRule="exact"/>
        <w:jc w:val="both"/>
        <w:textAlignment w:val="auto"/>
        <w:rPr>
          <w:rFonts w:hint="default" w:ascii="Times New Roman" w:hAnsi="Times New Roman" w:eastAsia="方正小标宋_GBK" w:cs="Times New Roman"/>
          <w:sz w:val="44"/>
          <w:szCs w:val="44"/>
        </w:rPr>
      </w:pPr>
    </w:p>
    <w:p w14:paraId="175EFD1E">
      <w:pPr>
        <w:keepNext w:val="0"/>
        <w:keepLines w:val="0"/>
        <w:pageBreakBefore w:val="0"/>
        <w:kinsoku/>
        <w:overflowPunct/>
        <w:topLinePunct w:val="0"/>
        <w:autoSpaceDE/>
        <w:autoSpaceDN/>
        <w:bidi w:val="0"/>
        <w:spacing w:beforeAutospacing="0" w:afterAutospacing="0" w:line="60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奉节县进一步深化紧密型县域医疗卫生</w:t>
      </w:r>
    </w:p>
    <w:p w14:paraId="24586B19">
      <w:pPr>
        <w:keepNext w:val="0"/>
        <w:keepLines w:val="0"/>
        <w:pageBreakBefore w:val="0"/>
        <w:kinsoku/>
        <w:overflowPunct/>
        <w:topLinePunct w:val="0"/>
        <w:autoSpaceDE/>
        <w:autoSpaceDN/>
        <w:bidi w:val="0"/>
        <w:spacing w:beforeAutospacing="0" w:afterAutospacing="0" w:line="600" w:lineRule="exact"/>
        <w:jc w:val="center"/>
        <w:textAlignment w:val="auto"/>
        <w:rPr>
          <w:rFonts w:ascii="方正小标宋_GBK" w:eastAsia="方正小标宋_GBK"/>
          <w:color w:val="000000"/>
          <w:sz w:val="44"/>
          <w:szCs w:val="44"/>
        </w:rPr>
      </w:pPr>
      <w:r>
        <w:rPr>
          <w:rFonts w:hint="eastAsia" w:ascii="方正小标宋_GBK" w:eastAsia="方正小标宋_GBK"/>
          <w:color w:val="000000"/>
          <w:sz w:val="44"/>
          <w:szCs w:val="44"/>
        </w:rPr>
        <w:t>共同体高质量发展实施方案</w:t>
      </w:r>
    </w:p>
    <w:p w14:paraId="7011B772">
      <w:pPr>
        <w:pStyle w:val="10"/>
        <w:keepNext w:val="0"/>
        <w:keepLines w:val="0"/>
        <w:pageBreakBefore w:val="0"/>
        <w:widowControl w:val="0"/>
        <w:suppressLineNumbers w:val="0"/>
        <w:kinsoku/>
        <w:wordWrap w:val="0"/>
        <w:overflowPunct/>
        <w:topLinePunct w:val="0"/>
        <w:autoSpaceDE/>
        <w:autoSpaceDN/>
        <w:bidi w:val="0"/>
        <w:spacing w:before="0" w:beforeAutospacing="0" w:after="0" w:afterAutospacing="0" w:line="600" w:lineRule="exact"/>
        <w:jc w:val="left"/>
        <w:textAlignment w:val="auto"/>
        <w:rPr>
          <w:rFonts w:hint="default" w:ascii="Times New Roman" w:hAnsi="Times New Roman" w:eastAsia="方正仿宋_GBK" w:cs="Times New Roman"/>
          <w:sz w:val="44"/>
          <w:szCs w:val="44"/>
        </w:rPr>
      </w:pPr>
    </w:p>
    <w:p w14:paraId="58085009">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为提高医疗卫生资源配置和使用效率，促进医疗、医保、医药协同发展和治理，根据《国家卫生健康委等</w:t>
      </w:r>
      <w:r>
        <w:rPr>
          <w:rFonts w:hint="eastAsia" w:ascii="Times New Roman" w:hAnsi="Times New Roman" w:eastAsia="方正仿宋_GBK" w:cs="Times New Roman"/>
          <w:color w:val="000000"/>
          <w:kern w:val="0"/>
          <w:sz w:val="32"/>
          <w:szCs w:val="32"/>
          <w:lang w:val="en-US" w:eastAsia="zh-CN" w:bidi="ar"/>
        </w:rPr>
        <w:t>10</w:t>
      </w:r>
      <w:r>
        <w:rPr>
          <w:rFonts w:hint="eastAsia" w:ascii="方正仿宋_GBK" w:hAnsi="方正仿宋_GBK" w:eastAsia="方正仿宋_GBK" w:cs="方正仿宋_GBK"/>
          <w:color w:val="000000"/>
          <w:kern w:val="0"/>
          <w:sz w:val="32"/>
          <w:szCs w:val="32"/>
          <w:lang w:val="en-US" w:eastAsia="zh-CN" w:bidi="ar"/>
        </w:rPr>
        <w:t>部门关于全面推进紧密型县域医疗卫生共同体建设的指导意见》（国卫基层发〔</w:t>
      </w:r>
      <w:r>
        <w:rPr>
          <w:rFonts w:hint="eastAsia" w:ascii="Times New Roman" w:hAnsi="Times New Roman" w:eastAsia="方正仿宋_GBK" w:cs="Times New Roman"/>
          <w:color w:val="000000"/>
          <w:kern w:val="0"/>
          <w:sz w:val="32"/>
          <w:szCs w:val="32"/>
          <w:lang w:val="en-US" w:eastAsia="zh-CN" w:bidi="ar"/>
        </w:rPr>
        <w:t>2023</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41</w:t>
      </w:r>
      <w:r>
        <w:rPr>
          <w:rFonts w:hint="eastAsia" w:ascii="方正仿宋_GBK" w:hAnsi="方正仿宋_GBK" w:eastAsia="方正仿宋_GBK" w:cs="方正仿宋_GBK"/>
          <w:color w:val="000000"/>
          <w:kern w:val="0"/>
          <w:sz w:val="32"/>
          <w:szCs w:val="32"/>
          <w:lang w:val="en-US" w:eastAsia="zh-CN" w:bidi="ar"/>
        </w:rPr>
        <w:t>号）、《重庆市人民政府办公厅关于印发〈重庆市全面推动紧密型区县域医疗卫生共同体高质量发展实施方案〉的通知》（渝府办发〔</w:t>
      </w:r>
      <w:r>
        <w:rPr>
          <w:rFonts w:hint="eastAsia" w:ascii="Times New Roman" w:hAnsi="Times New Roman" w:eastAsia="方正仿宋_GBK" w:cs="Times New Roman"/>
          <w:color w:val="000000"/>
          <w:kern w:val="0"/>
          <w:sz w:val="32"/>
          <w:szCs w:val="32"/>
          <w:lang w:val="en-US" w:eastAsia="zh-CN" w:bidi="ar"/>
        </w:rPr>
        <w:t>2024</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95</w:t>
      </w:r>
      <w:r>
        <w:rPr>
          <w:rFonts w:hint="eastAsia" w:ascii="方正仿宋_GBK" w:hAnsi="方正仿宋_GBK" w:eastAsia="方正仿宋_GBK" w:cs="方正仿宋_GBK"/>
          <w:color w:val="000000"/>
          <w:kern w:val="0"/>
          <w:sz w:val="32"/>
          <w:szCs w:val="32"/>
          <w:lang w:val="en-US" w:eastAsia="zh-CN" w:bidi="ar"/>
        </w:rPr>
        <w:t>号）（以下简称县域医共体），结合我县实际，制定本实施方案。</w:t>
      </w:r>
    </w:p>
    <w:p w14:paraId="6FAC3AFE">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一、总体要求</w:t>
      </w:r>
    </w:p>
    <w:p w14:paraId="12829342">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坚持以习近平新时代中国特色社会主义思想为指导，落实新时代党的卫生与健康工作方针，促进优质医疗资源扩容下沉和区域均衡发展，全面提升基层医疗卫生服务能力，让群众就近就便享有更加公平可及、系统连续的预防、治疗、康复、健康促进等服务，力争在全市率先构建紧密型县域医疗卫生服务新体系，成为城乡融合发展卫生健康实践新标杆。</w:t>
      </w:r>
      <w:r>
        <w:rPr>
          <w:rFonts w:hint="eastAsia" w:ascii="Times New Roman" w:hAnsi="Times New Roman" w:eastAsia="方正仿宋_GBK" w:cs="Times New Roman"/>
          <w:color w:val="000000"/>
          <w:kern w:val="0"/>
          <w:sz w:val="32"/>
          <w:szCs w:val="32"/>
          <w:lang w:val="en-US" w:eastAsia="zh-CN" w:bidi="ar"/>
        </w:rPr>
        <w:t>2025</w:t>
      </w:r>
      <w:r>
        <w:rPr>
          <w:rFonts w:hint="eastAsia" w:ascii="方正仿宋_GBK" w:hAnsi="方正仿宋_GBK" w:eastAsia="方正仿宋_GBK" w:cs="方正仿宋_GBK"/>
          <w:color w:val="000000"/>
          <w:kern w:val="0"/>
          <w:sz w:val="32"/>
          <w:szCs w:val="32"/>
          <w:lang w:val="en-US" w:eastAsia="zh-CN" w:bidi="ar"/>
        </w:rPr>
        <w:t>年，全县全面深化县域医共体改革，强化“六统一”管理，统筹“七大智能平台”“六大共享中心”建设，初步形成三级贯通的县域医共体，基本建成布局合理、人财物统一管理、权责清晰、运行高效、分工协作、服务连续、信息共享的县域医共体。到</w:t>
      </w:r>
      <w:r>
        <w:rPr>
          <w:rFonts w:hint="eastAsia" w:ascii="Times New Roman" w:hAnsi="Times New Roman" w:eastAsia="方正仿宋_GBK" w:cs="Times New Roman"/>
          <w:color w:val="000000"/>
          <w:kern w:val="0"/>
          <w:sz w:val="32"/>
          <w:szCs w:val="32"/>
          <w:lang w:val="en-US" w:eastAsia="zh-CN" w:bidi="ar"/>
        </w:rPr>
        <w:t>2027</w:t>
      </w:r>
      <w:r>
        <w:rPr>
          <w:rFonts w:hint="eastAsia" w:ascii="方正仿宋_GBK" w:hAnsi="方正仿宋_GBK" w:eastAsia="方正仿宋_GBK" w:cs="方正仿宋_GBK"/>
          <w:color w:val="000000"/>
          <w:kern w:val="0"/>
          <w:sz w:val="32"/>
          <w:szCs w:val="32"/>
          <w:lang w:val="en-US" w:eastAsia="zh-CN" w:bidi="ar"/>
        </w:rPr>
        <w:t>年，县域医共体管理体制、运行机制进一步完善，医保基金县域使用效能不断提高，分级诊疗体系进一步健全，县域防病治病和健康管理能力明显提升，县—乡—村三级协同支持关系进一步夯实，群众就医获得感明显增强。</w:t>
      </w:r>
    </w:p>
    <w:p w14:paraId="0FA5CCDA">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二、重点任务</w:t>
      </w:r>
    </w:p>
    <w:p w14:paraId="6069C058">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（一）创新组建模式，构建整合型医疗卫生服务体系。</w:t>
      </w:r>
    </w:p>
    <w:p w14:paraId="30C6CF95">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1.</w:t>
      </w:r>
      <w:r>
        <w:rPr>
          <w:rFonts w:hint="eastAsia" w:ascii="方正仿宋_GBK" w:hAnsi="方正仿宋_GBK" w:eastAsia="方正仿宋_GBK" w:cs="方正仿宋_GBK"/>
          <w:color w:val="000000"/>
          <w:kern w:val="0"/>
          <w:sz w:val="32"/>
          <w:szCs w:val="32"/>
          <w:lang w:val="en-US" w:eastAsia="zh-CN" w:bidi="ar"/>
        </w:rPr>
        <w:t xml:space="preserve"> 科学组建县域医共体。根据地理位置、服务人口、现有医疗卫生机构布局等，完善由县人民医院、县中医院牵头，县妇幼保健院、县疾控中心为补充，中心乡镇卫生院为重点，其他基层医疗机构为支撑的县域医共体。县人民医院医疗集团由县人民医院牵头，负责永安、鱼复、夔门、兴隆、竹园、公平、康乐、白帝、草堂、汾河、大树、永乐、青莲、鹤峰、红土、石岗、平安、岩湾</w:t>
      </w:r>
      <w:r>
        <w:rPr>
          <w:rFonts w:hint="eastAsia" w:ascii="Times New Roman" w:hAnsi="Times New Roman" w:eastAsia="方正仿宋_GBK" w:cs="Times New Roman"/>
          <w:color w:val="000000"/>
          <w:kern w:val="0"/>
          <w:sz w:val="32"/>
          <w:szCs w:val="32"/>
          <w:lang w:val="en-US" w:eastAsia="zh-CN" w:bidi="ar"/>
        </w:rPr>
        <w:t>18</w:t>
      </w:r>
      <w:r>
        <w:rPr>
          <w:rFonts w:hint="eastAsia" w:ascii="方正仿宋_GBK" w:hAnsi="方正仿宋_GBK" w:eastAsia="方正仿宋_GBK" w:cs="方正仿宋_GBK"/>
          <w:color w:val="000000"/>
          <w:kern w:val="0"/>
          <w:sz w:val="32"/>
          <w:szCs w:val="32"/>
          <w:lang w:val="en-US" w:eastAsia="zh-CN" w:bidi="ar"/>
        </w:rPr>
        <w:t>个医疗机构，县妇幼保健院协助县人民医院加强对鱼复街道社区卫生服务中心的管理；县中医院医疗集团由县中医院牵头，负责三峡卫校、夔州、朱衣、吐祥、甲高、新民、青龙、五马、安坪、羊市、云雾、太和、龙桥、长安、冯坪、康坪</w:t>
      </w:r>
      <w:r>
        <w:rPr>
          <w:rFonts w:hint="eastAsia" w:ascii="Times New Roman" w:hAnsi="Times New Roman" w:eastAsia="方正仿宋_GBK" w:cs="Times New Roman"/>
          <w:color w:val="000000"/>
          <w:kern w:val="0"/>
          <w:sz w:val="32"/>
          <w:szCs w:val="32"/>
          <w:lang w:val="en-US" w:eastAsia="zh-CN" w:bidi="ar"/>
        </w:rPr>
        <w:t>16</w:t>
      </w:r>
      <w:r>
        <w:rPr>
          <w:rFonts w:hint="eastAsia" w:ascii="方正仿宋_GBK" w:hAnsi="方正仿宋_GBK" w:eastAsia="方正仿宋_GBK" w:cs="方正仿宋_GBK"/>
          <w:color w:val="000000"/>
          <w:kern w:val="0"/>
          <w:sz w:val="32"/>
          <w:szCs w:val="32"/>
          <w:lang w:val="en-US" w:eastAsia="zh-CN" w:bidi="ar"/>
        </w:rPr>
        <w:t>个医疗机构。鼓励民营医院加入县域医共体。县域医共体成员单位法人资格原则上保持不变。支持服务人口少、能力不足的乡镇卫生院纳入邻近的县域医疗卫生次中心或甲级乡镇卫生院托管。</w:t>
      </w:r>
      <w:r>
        <w:rPr>
          <w:rFonts w:hint="eastAsia" w:ascii="方正楷体_GBK" w:hAnsi="方正楷体_GBK" w:eastAsia="方正楷体_GBK" w:cs="方正楷体_GBK"/>
          <w:color w:val="000000"/>
          <w:kern w:val="0"/>
          <w:sz w:val="32"/>
          <w:szCs w:val="32"/>
          <w:lang w:val="en-US" w:eastAsia="zh-CN" w:bidi="ar"/>
        </w:rPr>
        <w:t>（责任单位：县卫生健康委；配合单位：县医保局）</w:t>
      </w:r>
    </w:p>
    <w:p w14:paraId="30DEE263">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2. </w:t>
      </w:r>
      <w:r>
        <w:rPr>
          <w:rFonts w:hint="eastAsia" w:ascii="方正仿宋_GBK" w:hAnsi="方正仿宋_GBK" w:eastAsia="方正仿宋_GBK" w:cs="方正仿宋_GBK"/>
          <w:color w:val="000000"/>
          <w:kern w:val="0"/>
          <w:sz w:val="32"/>
          <w:szCs w:val="32"/>
          <w:lang w:val="en-US" w:eastAsia="zh-CN" w:bidi="ar"/>
        </w:rPr>
        <w:t>建立帮扶机制。牵头医院持续加强与重医附二院、重庆市人民医院、重庆市中医院及成都中医药大学等三甲医院及高等院校合作，争取“市聘县用”人才支持，在科研、科技发明、学科建设、新技术新项目等方面再提升。推动县级优质医疗资源下沉，深化“县聘乡用”改革，拓展下派人员专业范围，县级医院每年按照当年招聘的专业技术人员总数</w:t>
      </w:r>
      <w:r>
        <w:rPr>
          <w:rFonts w:hint="eastAsia" w:ascii="Times New Roman" w:hAnsi="Times New Roman" w:eastAsia="方正仿宋_GBK" w:cs="Times New Roman"/>
          <w:color w:val="000000"/>
          <w:kern w:val="0"/>
          <w:sz w:val="32"/>
          <w:szCs w:val="32"/>
          <w:lang w:val="en-US" w:eastAsia="zh-CN" w:bidi="ar"/>
        </w:rPr>
        <w:t>80%</w:t>
      </w:r>
      <w:r>
        <w:rPr>
          <w:rFonts w:hint="eastAsia" w:ascii="方正仿宋_GBK" w:hAnsi="方正仿宋_GBK" w:eastAsia="方正仿宋_GBK" w:cs="方正仿宋_GBK"/>
          <w:color w:val="000000"/>
          <w:kern w:val="0"/>
          <w:sz w:val="32"/>
          <w:szCs w:val="32"/>
          <w:lang w:val="en-US" w:eastAsia="zh-CN" w:bidi="ar"/>
        </w:rPr>
        <w:t>的比例，派出中级及以上专业技术职称人员到县域医共体成员单位工作，时间不少于1年。推进“乡聘村用”改革，乡镇卫生院采用余编招录或者编外聘用方式，招聘有执业（助理）医师资格人员到村卫生室工作，推动乡村医生执业医师化，确保村级服务空白点“清零”。</w:t>
      </w:r>
      <w:r>
        <w:rPr>
          <w:rFonts w:hint="eastAsia" w:ascii="方正楷体_GBK" w:hAnsi="方正楷体_GBK" w:eastAsia="方正楷体_GBK" w:cs="方正楷体_GBK"/>
          <w:color w:val="000000"/>
          <w:kern w:val="0"/>
          <w:sz w:val="32"/>
          <w:szCs w:val="32"/>
          <w:lang w:val="en-US" w:eastAsia="zh-CN" w:bidi="ar"/>
        </w:rPr>
        <w:t>（责任单位：县卫生健康委；配合单位：县委编办、县人力社保局）</w:t>
      </w:r>
    </w:p>
    <w:p w14:paraId="11AA5CE3">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3. </w:t>
      </w:r>
      <w:r>
        <w:rPr>
          <w:rFonts w:hint="eastAsia" w:ascii="方正仿宋_GBK" w:hAnsi="方正仿宋_GBK" w:eastAsia="方正仿宋_GBK" w:cs="方正仿宋_GBK"/>
          <w:color w:val="000000"/>
          <w:kern w:val="0"/>
          <w:sz w:val="32"/>
          <w:szCs w:val="32"/>
          <w:lang w:val="en-US" w:eastAsia="zh-CN" w:bidi="ar"/>
        </w:rPr>
        <w:t>加强乡村医疗卫生一体化管理。健全以乡带村帮扶机制，将符合条件的村卫生室逐步转为乡镇卫生院延伸举办的村级医疗服务点，实行行政、人员、业务、药品、财务、绩效等统一管理。对临近乡镇卫生院、服务人口低于</w:t>
      </w:r>
      <w:r>
        <w:rPr>
          <w:rFonts w:hint="eastAsia" w:ascii="Times New Roman" w:hAnsi="Times New Roman" w:eastAsia="方正仿宋_GBK" w:cs="Times New Roman"/>
          <w:color w:val="000000"/>
          <w:kern w:val="0"/>
          <w:sz w:val="32"/>
          <w:szCs w:val="32"/>
          <w:lang w:val="en-US" w:eastAsia="zh-CN" w:bidi="ar"/>
        </w:rPr>
        <w:t>800</w:t>
      </w:r>
      <w:r>
        <w:rPr>
          <w:rFonts w:hint="eastAsia" w:ascii="方正仿宋_GBK" w:hAnsi="方正仿宋_GBK" w:eastAsia="方正仿宋_GBK" w:cs="方正仿宋_GBK"/>
          <w:color w:val="000000"/>
          <w:kern w:val="0"/>
          <w:sz w:val="32"/>
          <w:szCs w:val="32"/>
          <w:lang w:val="en-US" w:eastAsia="zh-CN" w:bidi="ar"/>
        </w:rPr>
        <w:t>人的行政村，以及短期内招不到合格村医的行政村，可以通过乡镇卫生院定期巡诊、派驻人员以及邻村共建等方式，保障基本医疗卫生服务供给。健全乡村医生准入和退出制度，加大财政、医保支持力度，探索医保支持与政府补助保障体系，更新基层医疗机构基础设施设备，优化基层医疗卫生资源配置，提高医疗服务可及性。完成村卫生室HIS系统改建，探索医保、卫生专网等网络资源整合。持续提升乡村医疗卫生服务能力，实现村卫生室筛查预警、疾病转诊一体化管理。</w:t>
      </w:r>
      <w:r>
        <w:rPr>
          <w:rFonts w:hint="eastAsia" w:ascii="方正楷体_GBK" w:hAnsi="方正楷体_GBK" w:eastAsia="方正楷体_GBK" w:cs="方正楷体_GBK"/>
          <w:color w:val="000000"/>
          <w:kern w:val="0"/>
          <w:sz w:val="32"/>
          <w:szCs w:val="32"/>
          <w:lang w:val="en-US" w:eastAsia="zh-CN" w:bidi="ar"/>
        </w:rPr>
        <w:t>（责任单位：县卫生健康委；配合单位：县财政局、县市场监管局、县医保局、各乡镇〔街道〕）</w:t>
      </w:r>
    </w:p>
    <w:p w14:paraId="5A6DE55C">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4. </w:t>
      </w:r>
      <w:r>
        <w:rPr>
          <w:rFonts w:hint="eastAsia" w:ascii="方正仿宋_GBK" w:hAnsi="方正仿宋_GBK" w:eastAsia="方正仿宋_GBK" w:cs="方正仿宋_GBK"/>
          <w:color w:val="000000"/>
          <w:kern w:val="0"/>
          <w:sz w:val="32"/>
          <w:szCs w:val="32"/>
          <w:lang w:val="en-US" w:eastAsia="zh-CN" w:bidi="ar"/>
        </w:rPr>
        <w:t>打造现代社区健康服务新模式。县级医院派驻骨干到人口集中、确有需求的社区卫生服务中心，建立社区卫生专家工作室，夯实社区卫生服务中心基础。创新家庭医生签约与社区治理双向双网融合服务，在村（社区）中选定</w:t>
      </w:r>
      <w:r>
        <w:rPr>
          <w:rFonts w:hint="eastAsia"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名公共卫生专员，协助医疗机构开展家庭医生签约等基本公共卫生服务，由辖区卫生院予以补助。县卫生健康委与县住房城乡建委合作开发“掌上住保”小程序“医养护航”版块，在条件成熟的物业小区设置“家医微诊室”，协同推进物业管理、生活服务与医疗健康。结合“一老一小”等特殊群体，推进医养结合，为老年人提供日间照料、家庭病床、上门巡诊等居家医疗服务。探索临时看护、家庭式托育等多元化模式，为婴幼儿提供健康管理服务，构建健康促进、疾病预防、治疗、康复护理、安宁疗护等整合型社区健康服务体系，打造“</w:t>
      </w:r>
      <w:r>
        <w:rPr>
          <w:rFonts w:hint="eastAsia" w:ascii="Times New Roman" w:hAnsi="Times New Roman" w:eastAsia="方正仿宋_GBK" w:cs="Times New Roman"/>
          <w:color w:val="000000"/>
          <w:kern w:val="0"/>
          <w:sz w:val="32"/>
          <w:szCs w:val="32"/>
          <w:lang w:val="en-US" w:eastAsia="zh-CN" w:bidi="ar"/>
        </w:rPr>
        <w:t>城市15</w:t>
      </w:r>
      <w:r>
        <w:rPr>
          <w:rFonts w:hint="eastAsia" w:ascii="方正仿宋_GBK" w:hAnsi="方正仿宋_GBK" w:eastAsia="方正仿宋_GBK" w:cs="方正仿宋_GBK"/>
          <w:color w:val="000000"/>
          <w:kern w:val="0"/>
          <w:sz w:val="32"/>
          <w:szCs w:val="32"/>
          <w:lang w:val="en-US" w:eastAsia="zh-CN" w:bidi="ar"/>
        </w:rPr>
        <w:t>分钟、农村</w:t>
      </w:r>
      <w:r>
        <w:rPr>
          <w:rFonts w:hint="eastAsia" w:ascii="Times New Roman" w:hAnsi="Times New Roman" w:eastAsia="方正仿宋_GBK" w:cs="Times New Roman"/>
          <w:color w:val="000000"/>
          <w:kern w:val="0"/>
          <w:sz w:val="32"/>
          <w:szCs w:val="32"/>
          <w:lang w:val="en-US" w:eastAsia="zh-CN" w:bidi="ar"/>
        </w:rPr>
        <w:t>30</w:t>
      </w:r>
      <w:r>
        <w:rPr>
          <w:rFonts w:hint="eastAsia" w:ascii="方正仿宋_GBK" w:hAnsi="方正仿宋_GBK" w:eastAsia="方正仿宋_GBK" w:cs="方正仿宋_GBK"/>
          <w:color w:val="000000"/>
          <w:kern w:val="0"/>
          <w:sz w:val="32"/>
          <w:szCs w:val="32"/>
          <w:lang w:val="en-US" w:eastAsia="zh-CN" w:bidi="ar"/>
        </w:rPr>
        <w:t>分钟”医疗服务圈。</w:t>
      </w:r>
      <w:r>
        <w:rPr>
          <w:rFonts w:hint="eastAsia" w:ascii="方正楷体_GBK" w:hAnsi="方正楷体_GBK" w:eastAsia="方正楷体_GBK" w:cs="方正楷体_GBK"/>
          <w:color w:val="000000"/>
          <w:kern w:val="0"/>
          <w:sz w:val="32"/>
          <w:szCs w:val="32"/>
          <w:lang w:val="en-US" w:eastAsia="zh-CN" w:bidi="ar"/>
        </w:rPr>
        <w:t>（责任单位：县卫生健康委；配合单位：县民政局、县住房城乡建委、各乡镇〔街道〕）</w:t>
      </w:r>
    </w:p>
    <w:p w14:paraId="4333F5A4">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5. </w:t>
      </w:r>
      <w:r>
        <w:rPr>
          <w:rFonts w:hint="eastAsia" w:ascii="方正仿宋_GBK" w:hAnsi="方正仿宋_GBK" w:eastAsia="方正仿宋_GBK" w:cs="方正仿宋_GBK"/>
          <w:color w:val="000000"/>
          <w:kern w:val="0"/>
          <w:sz w:val="32"/>
          <w:szCs w:val="32"/>
          <w:lang w:val="en-US" w:eastAsia="zh-CN" w:bidi="ar"/>
        </w:rPr>
        <w:t>深化“三医”协同发展和治理专项改革。县卫生健康委、县市场监管局、县医保局等部门结合各自职责，创新医防融合机制，加强药品供应保障，合理控制医药费用不合理增长，强化信息共享和互联互通，建成“全民健康”综合应用场景，实现群众就医、购药、医保报销、支付、健康管理等全流程服务。按照市级统一部署，落实“三医综合监管”应用场景，推广使用“微问诊”远程医疗服务平台，全面推开使用药品“追溯码”，重塑“三医”协同数字化治理能力。组建“三医”协同执法专班，强化医药领域综合监管。</w:t>
      </w:r>
      <w:r>
        <w:rPr>
          <w:rFonts w:hint="eastAsia" w:ascii="方正楷体_GBK" w:hAnsi="方正楷体_GBK" w:eastAsia="方正楷体_GBK" w:cs="方正楷体_GBK"/>
          <w:color w:val="000000"/>
          <w:kern w:val="0"/>
          <w:sz w:val="32"/>
          <w:szCs w:val="32"/>
          <w:lang w:val="en-US" w:eastAsia="zh-CN" w:bidi="ar"/>
        </w:rPr>
        <w:t>（责任单位：县卫生健康委、县市场监管局、县医保局）</w:t>
      </w:r>
    </w:p>
    <w:p w14:paraId="45E371EC">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（二）强化资源整合，推进县域医共体管理“六统一”。</w:t>
      </w:r>
    </w:p>
    <w:p w14:paraId="408D71AC">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6. </w:t>
      </w:r>
      <w:r>
        <w:rPr>
          <w:rFonts w:hint="eastAsia" w:ascii="方正仿宋_GBK" w:hAnsi="方正仿宋_GBK" w:eastAsia="方正仿宋_GBK" w:cs="方正仿宋_GBK"/>
          <w:color w:val="000000"/>
          <w:kern w:val="0"/>
          <w:sz w:val="32"/>
          <w:szCs w:val="32"/>
          <w:lang w:val="en-US" w:eastAsia="zh-CN" w:bidi="ar"/>
        </w:rPr>
        <w:t>统一组织管理。完善“县卫生健康委—医共体理事会—成员单位”管理架构，健全与成员单位定期协商的议事决策制度和管理章程，提高运行效率。县域医共体负责人由县卫生健康委提名，成员单位负责人和班子成员由牵头医院提名并征求县卫生健康委意见，按照干部管理权限任免。</w:t>
      </w:r>
      <w:r>
        <w:rPr>
          <w:rFonts w:hint="eastAsia" w:ascii="方正楷体_GBK" w:hAnsi="方正楷体_GBK" w:eastAsia="方正楷体_GBK" w:cs="方正楷体_GBK"/>
          <w:color w:val="000000"/>
          <w:kern w:val="0"/>
          <w:sz w:val="32"/>
          <w:szCs w:val="32"/>
          <w:lang w:val="en-US" w:eastAsia="zh-CN" w:bidi="ar"/>
        </w:rPr>
        <w:t xml:space="preserve">（责任单位：县卫生健康委；配合单位：县委编办、县人力社保局） </w:t>
      </w:r>
      <w:r>
        <w:rPr>
          <w:rFonts w:hint="eastAsia" w:ascii="方正仿宋_GBK" w:hAnsi="方正仿宋_GBK" w:eastAsia="方正仿宋_GBK" w:cs="方正仿宋_GBK"/>
          <w:color w:val="000000"/>
          <w:kern w:val="0"/>
          <w:sz w:val="32"/>
          <w:szCs w:val="32"/>
          <w:lang w:val="en-US" w:eastAsia="zh-CN" w:bidi="ar"/>
        </w:rPr>
        <w:t xml:space="preserve"> </w:t>
      </w:r>
    </w:p>
    <w:p w14:paraId="08D9B11E">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7. </w:t>
      </w:r>
      <w:r>
        <w:rPr>
          <w:rFonts w:hint="eastAsia" w:ascii="方正仿宋_GBK" w:hAnsi="方正仿宋_GBK" w:eastAsia="方正仿宋_GBK" w:cs="方正仿宋_GBK"/>
          <w:color w:val="000000"/>
          <w:kern w:val="0"/>
          <w:sz w:val="32"/>
          <w:szCs w:val="32"/>
          <w:lang w:val="en-US" w:eastAsia="zh-CN" w:bidi="ar"/>
        </w:rPr>
        <w:t>统一人事管理。县卫生健康委建立“编制库”，每年根据基层医疗卫生机构服务人口、业务发展需要，按程序报机构编制部门批准后，对成员单位编制进行动态调整。规范职级晋升，牵头医院统一制定竞聘上岗、职称申报等指导意见，成员单位结合实际抓好落实。牵头医院建立接收成员单位医务人员进修、培训机制，统一开展基层全科医生、中医医师、公共卫生医师、药师等培养和招聘。</w:t>
      </w:r>
      <w:r>
        <w:rPr>
          <w:rFonts w:hint="eastAsia" w:ascii="方正楷体_GBK" w:hAnsi="方正楷体_GBK" w:eastAsia="方正楷体_GBK" w:cs="方正楷体_GBK"/>
          <w:color w:val="000000"/>
          <w:kern w:val="0"/>
          <w:sz w:val="32"/>
          <w:szCs w:val="32"/>
          <w:lang w:val="en-US" w:eastAsia="zh-CN" w:bidi="ar"/>
        </w:rPr>
        <w:t>（责任单位：县卫生健康委；配合单位：县委编办、县人力社保局）</w:t>
      </w:r>
    </w:p>
    <w:p w14:paraId="3DA0E2F8">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8. </w:t>
      </w:r>
      <w:r>
        <w:rPr>
          <w:rFonts w:hint="eastAsia" w:ascii="方正仿宋_GBK" w:hAnsi="方正仿宋_GBK" w:eastAsia="方正仿宋_GBK" w:cs="方正仿宋_GBK"/>
          <w:color w:val="000000"/>
          <w:kern w:val="0"/>
          <w:sz w:val="32"/>
          <w:szCs w:val="32"/>
          <w:lang w:val="en-US" w:eastAsia="zh-CN" w:bidi="ar"/>
        </w:rPr>
        <w:t>统一财务管理。健全“资金池”管理机制，在遵循《中华人民共和国预算法》等法律法规及相关预算和资金管理制度规定总体框架下，按一定比例提取各成员单位医疗服务收入，整合财政补助运行、建设等资金，建立卫生发展“资金池”，统筹用于县域医共体发展。县域医共体对成员单位单独设账、集中核算。县卫生健康委对各医疗机构加强财务监督，定期分析经济运行情况，严格内审管理，合理控制成本。</w:t>
      </w:r>
      <w:r>
        <w:rPr>
          <w:rFonts w:hint="eastAsia" w:ascii="方正楷体_GBK" w:hAnsi="方正楷体_GBK" w:eastAsia="方正楷体_GBK" w:cs="方正楷体_GBK"/>
          <w:color w:val="000000"/>
          <w:kern w:val="0"/>
          <w:sz w:val="32"/>
          <w:szCs w:val="32"/>
          <w:lang w:val="en-US" w:eastAsia="zh-CN" w:bidi="ar"/>
        </w:rPr>
        <w:t>（责任单位：县卫生健康委）</w:t>
      </w:r>
    </w:p>
    <w:p w14:paraId="1331D334">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9.</w:t>
      </w:r>
      <w:r>
        <w:rPr>
          <w:rFonts w:hint="eastAsia" w:ascii="方正仿宋_GBK" w:hAnsi="方正仿宋_GBK" w:eastAsia="方正仿宋_GBK" w:cs="方正仿宋_GBK"/>
          <w:color w:val="000000"/>
          <w:kern w:val="0"/>
          <w:sz w:val="32"/>
          <w:szCs w:val="32"/>
          <w:lang w:val="en-US" w:eastAsia="zh-CN" w:bidi="ar"/>
        </w:rPr>
        <w:t xml:space="preserve"> 统一业务管理。强化县域医共体医疗质量和安全管理，完善查房、病案管理、处方点评等工作流程和标准。落实分级诊疗制度，统一双向转诊标准，建立医共体内“效益共享”机制。探索统一县域医共体内多病种临床路径管理，统筹调剂使用县域医共体内床位、号源。推进上下级医疗机构用药衔接，坚持共用一张清单，利用信息化手段对药品采购、储存、使用等全过程进行实时监控与追溯。开展基层急诊急救服务能力提升、“6S”管理和胸痛、卒中单元建设行动，提升基层医务人员医疗服务能力。</w:t>
      </w:r>
      <w:r>
        <w:rPr>
          <w:rFonts w:hint="eastAsia" w:ascii="方正楷体_GBK" w:hAnsi="方正楷体_GBK" w:eastAsia="方正楷体_GBK" w:cs="方正楷体_GBK"/>
          <w:color w:val="000000"/>
          <w:kern w:val="0"/>
          <w:sz w:val="32"/>
          <w:szCs w:val="32"/>
          <w:lang w:val="en-US" w:eastAsia="zh-CN" w:bidi="ar"/>
        </w:rPr>
        <w:t>（责任单位：县卫生健康委；配合单位：县市场监管局、县医保局）</w:t>
      </w:r>
      <w:r>
        <w:rPr>
          <w:rFonts w:hint="eastAsia" w:ascii="方正楷体_GBK" w:hAnsi="方正楷体_GBK" w:eastAsia="方正楷体_GBK" w:cs="方正楷体_GBK"/>
          <w:color w:val="000000"/>
          <w:kern w:val="0"/>
          <w:sz w:val="32"/>
          <w:szCs w:val="32"/>
          <w:lang w:val="en-US" w:eastAsia="zh-CN" w:bidi="ar"/>
        </w:rPr>
        <w:tab/>
      </w:r>
    </w:p>
    <w:p w14:paraId="340689C3">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10.</w:t>
      </w:r>
      <w:r>
        <w:rPr>
          <w:rFonts w:hint="eastAsia" w:ascii="方正仿宋_GBK" w:hAnsi="方正仿宋_GBK" w:eastAsia="方正仿宋_GBK" w:cs="方正仿宋_GBK"/>
          <w:color w:val="000000"/>
          <w:kern w:val="0"/>
          <w:sz w:val="32"/>
          <w:szCs w:val="32"/>
          <w:lang w:val="en-US" w:eastAsia="zh-CN" w:bidi="ar"/>
        </w:rPr>
        <w:t xml:space="preserve"> 统一绩效管理。落实“两个允许”要求，统筹平衡县、乡两级医疗机构绩效工资水平，合理调控各医疗机构间人员收入差距，建立多劳多得、优绩优酬的内部分配机制，收入分配重点向工作任务较重、条件相对艰苦的医护一线岗位倾斜。统一考核标准，将考核评价结果与财政补助资金、院长绩效、医院绩效工资总量、医保支付等挂钩，作为人事任免、晋升、评优评先等重要依据。建立健全县域医共体内部考核机制，考核指标向资源下沉、巡诊派驻、家庭医生签约、成本控制、群众健康等方面倾斜，合理确定医保基金结余留用收入、绩效工资等在成员单位中的分配。统一绩效审核，县域医共体成员单位必须保障基本工资、基础性绩效发放和缴纳各类社会保险，不得负债发放超额绩效，超额绩效水平控制在基础绩效</w:t>
      </w:r>
      <w:r>
        <w:rPr>
          <w:rFonts w:hint="eastAsia"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倍以内，牵头医院和成员单位对超额绩效精确核算，县卫生健康委每季度进行审核，超发部分下一季度扣除，每季度次月将上季度超额绩效发放情况在党委会上进行通报。</w:t>
      </w:r>
      <w:r>
        <w:rPr>
          <w:rFonts w:hint="eastAsia" w:ascii="方正楷体_GBK" w:hAnsi="方正楷体_GBK" w:eastAsia="方正楷体_GBK" w:cs="方正楷体_GBK"/>
          <w:color w:val="000000"/>
          <w:kern w:val="0"/>
          <w:sz w:val="32"/>
          <w:szCs w:val="32"/>
          <w:lang w:val="en-US" w:eastAsia="zh-CN" w:bidi="ar"/>
        </w:rPr>
        <w:t>（责任单位：县卫生健康委；配合单位：县财政局、县人力社保局、县医保局）</w:t>
      </w:r>
    </w:p>
    <w:p w14:paraId="7890EB41">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11.</w:t>
      </w:r>
      <w:r>
        <w:rPr>
          <w:rFonts w:hint="eastAsia" w:ascii="方正仿宋_GBK" w:hAnsi="方正仿宋_GBK" w:eastAsia="方正仿宋_GBK" w:cs="方正仿宋_GBK"/>
          <w:color w:val="000000"/>
          <w:kern w:val="0"/>
          <w:sz w:val="32"/>
          <w:szCs w:val="32"/>
          <w:lang w:val="en-US" w:eastAsia="zh-CN" w:bidi="ar"/>
        </w:rPr>
        <w:t xml:space="preserve"> 统一后勤管理。建立县域医共体“项目库”，统筹医疗卫生机构基本建设、房屋设施维修、医废收集处理、医用物品消毒洗涤等。建立县域医共体“设备库”，统筹县域医共体医疗设备采购配置，推动医疗设备以旧换新、循环利用等，提高资源配置和利用效率。</w:t>
      </w:r>
      <w:r>
        <w:rPr>
          <w:rFonts w:hint="eastAsia" w:ascii="方正楷体_GBK" w:hAnsi="方正楷体_GBK" w:eastAsia="方正楷体_GBK" w:cs="方正楷体_GBK"/>
          <w:color w:val="000000"/>
          <w:kern w:val="0"/>
          <w:sz w:val="32"/>
          <w:szCs w:val="32"/>
          <w:lang w:val="en-US" w:eastAsia="zh-CN" w:bidi="ar"/>
        </w:rPr>
        <w:t>（责任单位：县卫生健康委；配合单位：县发展改革委、县财政局）</w:t>
      </w:r>
    </w:p>
    <w:p w14:paraId="529972CA">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（三）强化信息建设，统筹建立县域医共体“七大智能平台”。</w:t>
      </w:r>
    </w:p>
    <w:p w14:paraId="602C1DCD">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12.</w:t>
      </w:r>
      <w:r>
        <w:rPr>
          <w:rFonts w:hint="eastAsia" w:ascii="方正仿宋_GBK" w:hAnsi="方正仿宋_GBK" w:eastAsia="方正仿宋_GBK" w:cs="方正仿宋_GBK"/>
          <w:color w:val="000000"/>
          <w:kern w:val="0"/>
          <w:sz w:val="32"/>
          <w:szCs w:val="32"/>
          <w:lang w:val="en-US" w:eastAsia="zh-CN" w:bidi="ar"/>
        </w:rPr>
        <w:t xml:space="preserve"> 统筹建立县域远程医疗服务平台。统筹建立县域远程医疗服务平台，连接</w:t>
      </w:r>
      <w:r>
        <w:rPr>
          <w:rFonts w:hint="eastAsia" w:ascii="Times New Roman" w:hAnsi="Times New Roman" w:eastAsia="方正仿宋_GBK" w:cs="Times New Roman"/>
          <w:color w:val="000000"/>
          <w:kern w:val="0"/>
          <w:sz w:val="32"/>
          <w:szCs w:val="32"/>
          <w:lang w:val="en-US" w:eastAsia="zh-CN" w:bidi="ar"/>
        </w:rPr>
        <w:t>36</w:t>
      </w:r>
      <w:r>
        <w:rPr>
          <w:rFonts w:hint="eastAsia" w:ascii="方正仿宋_GBK" w:hAnsi="方正仿宋_GBK" w:eastAsia="方正仿宋_GBK" w:cs="方正仿宋_GBK"/>
          <w:color w:val="000000"/>
          <w:kern w:val="0"/>
          <w:sz w:val="32"/>
          <w:szCs w:val="32"/>
          <w:lang w:val="en-US" w:eastAsia="zh-CN" w:bidi="ar"/>
        </w:rPr>
        <w:t>家公立医疗机构，实现县级医院与基层医疗机构双向转诊，逐步延伸远程诊疗会诊、手术指导、查房监护、教学培训等服务。</w:t>
      </w:r>
      <w:r>
        <w:rPr>
          <w:rFonts w:hint="eastAsia" w:ascii="方正楷体_GBK" w:hAnsi="方正楷体_GBK" w:eastAsia="方正楷体_GBK" w:cs="方正楷体_GBK"/>
          <w:color w:val="000000"/>
          <w:kern w:val="0"/>
          <w:sz w:val="32"/>
          <w:szCs w:val="32"/>
          <w:lang w:val="en-US" w:eastAsia="zh-CN" w:bidi="ar"/>
        </w:rPr>
        <w:t>（责任单位：县卫生健康委）</w:t>
      </w:r>
    </w:p>
    <w:p w14:paraId="168FC67A">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13.</w:t>
      </w:r>
      <w:r>
        <w:rPr>
          <w:rFonts w:hint="eastAsia" w:ascii="方正仿宋_GBK" w:hAnsi="方正仿宋_GBK" w:eastAsia="方正仿宋_GBK" w:cs="方正仿宋_GBK"/>
          <w:color w:val="000000"/>
          <w:kern w:val="0"/>
          <w:sz w:val="32"/>
          <w:szCs w:val="32"/>
          <w:lang w:val="en-US" w:eastAsia="zh-CN" w:bidi="ar"/>
        </w:rPr>
        <w:t xml:space="preserve"> 统筹建立县域互联网医院服务平台。结合“社会—渝悦—云医”重大场景运用，将县人民医院、县中医院纳入市级互联网医院平台，建立县域互联网医院平台，为常见病、多发病复诊患者提供健康咨询、诊疗等互联网医疗服务。探索结合电子处方流转将互联网医院平台连接各大药店，让患者就近拿药或送药上门，增强服务效率。</w:t>
      </w:r>
      <w:r>
        <w:rPr>
          <w:rFonts w:hint="eastAsia" w:ascii="方正楷体_GBK" w:hAnsi="方正楷体_GBK" w:eastAsia="方正楷体_GBK" w:cs="方正楷体_GBK"/>
          <w:color w:val="000000"/>
          <w:kern w:val="0"/>
          <w:sz w:val="32"/>
          <w:szCs w:val="32"/>
          <w:lang w:val="en-US" w:eastAsia="zh-CN" w:bidi="ar"/>
        </w:rPr>
        <w:t>（责任单位：县卫生健康委；配合单位：县市场监管局、县医保局）</w:t>
      </w:r>
    </w:p>
    <w:p w14:paraId="509C09E0">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14.</w:t>
      </w:r>
      <w:r>
        <w:rPr>
          <w:rFonts w:hint="eastAsia" w:ascii="方正仿宋_GBK" w:hAnsi="方正仿宋_GBK" w:eastAsia="方正仿宋_GBK" w:cs="方正仿宋_GBK"/>
          <w:color w:val="000000"/>
          <w:kern w:val="0"/>
          <w:sz w:val="32"/>
          <w:szCs w:val="32"/>
          <w:lang w:val="en-US" w:eastAsia="zh-CN" w:bidi="ar"/>
        </w:rPr>
        <w:t xml:space="preserve"> 统筹建立县域医护调度平台。依托“互联网+护理上门”服务平台，整合县域其他公立医疗机构资源，统筹建立县域医护调度平台，为有需求的老年人或行动不便的居家患者提供送医、送护、送药上门服务。加强风险管理，建立保障体系和互评机制，精准对接患者多样化、多层次健康需求。</w:t>
      </w:r>
      <w:r>
        <w:rPr>
          <w:rFonts w:hint="eastAsia" w:ascii="方正楷体_GBK" w:hAnsi="方正楷体_GBK" w:eastAsia="方正楷体_GBK" w:cs="方正楷体_GBK"/>
          <w:color w:val="000000"/>
          <w:kern w:val="0"/>
          <w:sz w:val="32"/>
          <w:szCs w:val="32"/>
          <w:lang w:val="en-US" w:eastAsia="zh-CN" w:bidi="ar"/>
        </w:rPr>
        <w:t>（责任单位：县卫生健康委；配合单位：县市场监管局、县医保局）</w:t>
      </w:r>
    </w:p>
    <w:p w14:paraId="290DCB17">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15. </w:t>
      </w:r>
      <w:r>
        <w:rPr>
          <w:rFonts w:hint="eastAsia" w:ascii="方正仿宋_GBK" w:hAnsi="方正仿宋_GBK" w:eastAsia="方正仿宋_GBK" w:cs="方正仿宋_GBK"/>
          <w:color w:val="000000"/>
          <w:kern w:val="0"/>
          <w:sz w:val="32"/>
          <w:szCs w:val="32"/>
          <w:lang w:val="en-US" w:eastAsia="zh-CN" w:bidi="ar"/>
        </w:rPr>
        <w:t>统筹建立县域疫情应急处置平台。将县域疫情应急处置平台贯通城市三级治理中心，实现“多渠道监测、多点触发预警、多部门协同处置、多维度总结评估”场景应用。完善</w:t>
      </w:r>
      <w:r>
        <w:rPr>
          <w:rFonts w:hint="eastAsia" w:ascii="Times New Roman" w:hAnsi="Times New Roman" w:eastAsia="方正仿宋_GBK" w:cs="Times New Roman"/>
          <w:color w:val="000000"/>
          <w:kern w:val="0"/>
          <w:sz w:val="32"/>
          <w:szCs w:val="32"/>
          <w:lang w:val="en-US" w:eastAsia="zh-CN" w:bidi="ar"/>
        </w:rPr>
        <w:t>24</w:t>
      </w:r>
      <w:r>
        <w:rPr>
          <w:rFonts w:hint="eastAsia" w:ascii="方正仿宋_GBK" w:hAnsi="方正仿宋_GBK" w:eastAsia="方正仿宋_GBK" w:cs="方正仿宋_GBK"/>
          <w:color w:val="000000"/>
          <w:kern w:val="0"/>
          <w:sz w:val="32"/>
          <w:szCs w:val="32"/>
          <w:lang w:val="en-US" w:eastAsia="zh-CN" w:bidi="ar"/>
        </w:rPr>
        <w:t>小时上报处理机制，县卫生健康委协同教委、民政、街道（乡镇）等完成感知、上报、应急高效闭环，提升城市传染病风险感知、预警预判和应急指挥调度能力。</w:t>
      </w:r>
      <w:r>
        <w:rPr>
          <w:rFonts w:hint="eastAsia" w:ascii="方正楷体_GBK" w:hAnsi="方正楷体_GBK" w:eastAsia="方正楷体_GBK" w:cs="方正楷体_GBK"/>
          <w:color w:val="000000"/>
          <w:kern w:val="0"/>
          <w:sz w:val="32"/>
          <w:szCs w:val="32"/>
          <w:lang w:val="en-US" w:eastAsia="zh-CN" w:bidi="ar"/>
        </w:rPr>
        <w:t>（责任单位：县卫生健康委；配合单位：县教委、县民政局、各乡镇〔街道〕）</w:t>
      </w:r>
    </w:p>
    <w:p w14:paraId="0629B4D2">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16. </w:t>
      </w:r>
      <w:r>
        <w:rPr>
          <w:rFonts w:hint="eastAsia" w:ascii="方正仿宋_GBK" w:hAnsi="方正仿宋_GBK" w:eastAsia="方正仿宋_GBK" w:cs="方正仿宋_GBK"/>
          <w:color w:val="000000"/>
          <w:kern w:val="0"/>
          <w:sz w:val="32"/>
          <w:szCs w:val="32"/>
          <w:lang w:val="en-US" w:eastAsia="zh-CN" w:bidi="ar"/>
        </w:rPr>
        <w:t>统筹建立县域医疗应急调度平台。将县域医疗应急调度平台贯通城市三级治理中心，协同公安、消防等部门实现高效救援。县</w:t>
      </w:r>
      <w:r>
        <w:rPr>
          <w:rFonts w:hint="eastAsia" w:ascii="Times New Roman" w:hAnsi="Times New Roman" w:eastAsia="方正仿宋_GBK" w:cs="Times New Roman"/>
          <w:color w:val="000000"/>
          <w:kern w:val="0"/>
          <w:sz w:val="32"/>
          <w:szCs w:val="32"/>
          <w:lang w:val="en-US" w:eastAsia="zh-CN" w:bidi="ar"/>
        </w:rPr>
        <w:t>120</w:t>
      </w:r>
      <w:r>
        <w:rPr>
          <w:rFonts w:hint="eastAsia" w:ascii="方正仿宋_GBK" w:hAnsi="方正仿宋_GBK" w:eastAsia="方正仿宋_GBK" w:cs="方正仿宋_GBK"/>
          <w:color w:val="000000"/>
          <w:kern w:val="0"/>
          <w:sz w:val="32"/>
          <w:szCs w:val="32"/>
          <w:lang w:val="en-US" w:eastAsia="zh-CN" w:bidi="ar"/>
        </w:rPr>
        <w:t>调度指挥中心连接县域</w:t>
      </w:r>
      <w:r>
        <w:rPr>
          <w:rFonts w:hint="eastAsia" w:ascii="Times New Roman" w:hAnsi="Times New Roman" w:eastAsia="方正仿宋_GBK" w:cs="Times New Roman"/>
          <w:color w:val="000000"/>
          <w:kern w:val="0"/>
          <w:sz w:val="32"/>
          <w:szCs w:val="32"/>
          <w:lang w:val="en-US" w:eastAsia="zh-CN" w:bidi="ar"/>
        </w:rPr>
        <w:t>36</w:t>
      </w:r>
      <w:r>
        <w:rPr>
          <w:rFonts w:hint="eastAsia" w:ascii="方正仿宋_GBK" w:hAnsi="方正仿宋_GBK" w:eastAsia="方正仿宋_GBK" w:cs="方正仿宋_GBK"/>
          <w:color w:val="000000"/>
          <w:kern w:val="0"/>
          <w:sz w:val="32"/>
          <w:szCs w:val="32"/>
          <w:lang w:val="en-US" w:eastAsia="zh-CN" w:bidi="ar"/>
        </w:rPr>
        <w:t>家公立医疗机构，建立</w:t>
      </w:r>
      <w:r>
        <w:rPr>
          <w:rFonts w:hint="eastAsia" w:ascii="Times New Roman" w:hAnsi="Times New Roman" w:eastAsia="方正仿宋_GBK" w:cs="Times New Roman"/>
          <w:color w:val="000000"/>
          <w:kern w:val="0"/>
          <w:sz w:val="32"/>
          <w:szCs w:val="32"/>
          <w:lang w:val="en-US" w:eastAsia="zh-CN" w:bidi="ar"/>
        </w:rPr>
        <w:t>4</w:t>
      </w:r>
      <w:r>
        <w:rPr>
          <w:rFonts w:hint="eastAsia" w:ascii="方正仿宋_GBK" w:hAnsi="方正仿宋_GBK" w:eastAsia="方正仿宋_GBK" w:cs="方正仿宋_GBK"/>
          <w:color w:val="000000"/>
          <w:kern w:val="0"/>
          <w:sz w:val="32"/>
          <w:szCs w:val="32"/>
          <w:lang w:val="en-US" w:eastAsia="zh-CN" w:bidi="ar"/>
        </w:rPr>
        <w:t>支县级标准化卫生应急队伍，加强急救队伍、急救专家、应急物资和应急车辆管理，提升医疗应急效率。</w:t>
      </w:r>
      <w:r>
        <w:rPr>
          <w:rFonts w:hint="eastAsia" w:ascii="方正楷体_GBK" w:hAnsi="方正楷体_GBK" w:eastAsia="方正楷体_GBK" w:cs="方正楷体_GBK"/>
          <w:color w:val="000000"/>
          <w:kern w:val="0"/>
          <w:sz w:val="32"/>
          <w:szCs w:val="32"/>
          <w:lang w:val="en-US" w:eastAsia="zh-CN" w:bidi="ar"/>
        </w:rPr>
        <w:t>（责任单位：县卫生健康委；配合单位：县公安局、县消防救援局）</w:t>
      </w:r>
    </w:p>
    <w:p w14:paraId="388C9A61">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17. </w:t>
      </w:r>
      <w:r>
        <w:rPr>
          <w:rFonts w:hint="eastAsia" w:ascii="方正仿宋_GBK" w:hAnsi="方正仿宋_GBK" w:eastAsia="方正仿宋_GBK" w:cs="方正仿宋_GBK"/>
          <w:color w:val="000000"/>
          <w:kern w:val="0"/>
          <w:sz w:val="32"/>
          <w:szCs w:val="32"/>
          <w:lang w:val="en-US" w:eastAsia="zh-CN" w:bidi="ar"/>
        </w:rPr>
        <w:t>统筹建立县域健康管理平台。依托“渝悦—健康一生”“渝悦—家医有约”应用，建立县域健康管理平台，为居民建立“一人一码一档”的全生命周期电子健康档案，按照“精准化、差异化、特色化”工作思路，对慢病患者、老年人、儿童、孕产妇、重大传染病患者等重点人群进行精准摸排，建立工作台账，实行分类分色管理。</w:t>
      </w:r>
      <w:r>
        <w:rPr>
          <w:rFonts w:hint="eastAsia" w:ascii="方正楷体_GBK" w:hAnsi="方正楷体_GBK" w:eastAsia="方正楷体_GBK" w:cs="方正楷体_GBK"/>
          <w:color w:val="000000"/>
          <w:kern w:val="0"/>
          <w:sz w:val="32"/>
          <w:szCs w:val="32"/>
          <w:lang w:val="en-US" w:eastAsia="zh-CN" w:bidi="ar"/>
        </w:rPr>
        <w:t>（责任单位：县卫生健康委）</w:t>
      </w:r>
    </w:p>
    <w:p w14:paraId="0CCE5415">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18.</w:t>
      </w:r>
      <w:r>
        <w:rPr>
          <w:rFonts w:hint="eastAsia" w:ascii="方正仿宋_GBK" w:hAnsi="方正仿宋_GBK" w:eastAsia="方正仿宋_GBK" w:cs="方正仿宋_GBK"/>
          <w:color w:val="000000"/>
          <w:kern w:val="0"/>
          <w:sz w:val="32"/>
          <w:szCs w:val="32"/>
          <w:lang w:val="en-US" w:eastAsia="zh-CN" w:bidi="ar"/>
        </w:rPr>
        <w:t xml:space="preserve"> 统筹建立县域药事管理和处方前置审核平台。建立县域药事管理平台，建立健全区域处方集中审核制度。县人民医院和县中医院配备数量和能力足够的药学人员参与审方工作，开展处方点评和用药指导。县人民医院探索建立县域中心药房，建立缺药登记和配送制度，解决乡村居民用药问题。县中医院探索建设县域智慧中药房，实现中药饮片煎制标准化、智慧化、规范化，提升用药质量和安全。</w:t>
      </w:r>
      <w:r>
        <w:rPr>
          <w:rFonts w:hint="eastAsia" w:ascii="方正楷体_GBK" w:hAnsi="方正楷体_GBK" w:eastAsia="方正楷体_GBK" w:cs="方正楷体_GBK"/>
          <w:color w:val="000000"/>
          <w:kern w:val="0"/>
          <w:sz w:val="32"/>
          <w:szCs w:val="32"/>
          <w:lang w:val="en-US" w:eastAsia="zh-CN" w:bidi="ar"/>
        </w:rPr>
        <w:t>（责任单位：县卫生健康委；配合单位：县市场监管局、县医保局）</w:t>
      </w:r>
    </w:p>
    <w:p w14:paraId="6D2A1F2E">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（四）强化资源共享，完善县域医共体“六大共享中心”。</w:t>
      </w:r>
    </w:p>
    <w:p w14:paraId="23644812">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19.</w:t>
      </w:r>
      <w:r>
        <w:rPr>
          <w:rFonts w:hint="eastAsia" w:ascii="方正仿宋_GBK" w:hAnsi="方正仿宋_GBK" w:eastAsia="方正仿宋_GBK" w:cs="方正仿宋_GBK"/>
          <w:color w:val="000000"/>
          <w:kern w:val="0"/>
          <w:sz w:val="32"/>
          <w:szCs w:val="32"/>
          <w:lang w:val="en-US" w:eastAsia="zh-CN" w:bidi="ar"/>
        </w:rPr>
        <w:t xml:space="preserve"> 完善县域医学影像远程诊断中心。健全县域医学影像远程诊断中心管理机制，各医疗机构完成检查后，统一由中心阅片审核。加强对成员单位DR、CT操作技术培训，选定</w:t>
      </w:r>
      <w:r>
        <w:rPr>
          <w:rFonts w:hint="eastAsia"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家基层医疗机构开展CT适宜技术推广。</w:t>
      </w:r>
      <w:r>
        <w:rPr>
          <w:rFonts w:hint="eastAsia" w:ascii="方正楷体_GBK" w:hAnsi="方正楷体_GBK" w:eastAsia="方正楷体_GBK" w:cs="方正楷体_GBK"/>
          <w:color w:val="000000"/>
          <w:kern w:val="0"/>
          <w:sz w:val="32"/>
          <w:szCs w:val="32"/>
          <w:lang w:val="en-US" w:eastAsia="zh-CN" w:bidi="ar"/>
        </w:rPr>
        <w:t>（责任单位：县卫生健康委）</w:t>
      </w:r>
    </w:p>
    <w:p w14:paraId="24C01100">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20.</w:t>
      </w:r>
      <w:r>
        <w:rPr>
          <w:rFonts w:hint="eastAsia" w:ascii="方正仿宋_GBK" w:hAnsi="方正仿宋_GBK" w:eastAsia="方正仿宋_GBK" w:cs="方正仿宋_GBK"/>
          <w:color w:val="000000"/>
          <w:kern w:val="0"/>
          <w:sz w:val="32"/>
          <w:szCs w:val="32"/>
          <w:lang w:val="en-US" w:eastAsia="zh-CN" w:bidi="ar"/>
        </w:rPr>
        <w:t xml:space="preserve"> 完善县域医学检验远程诊断中心。推进县域医学检验远程诊断中心实现</w:t>
      </w:r>
      <w:r>
        <w:rPr>
          <w:rFonts w:hint="eastAsia" w:ascii="Times New Roman" w:hAnsi="Times New Roman" w:eastAsia="方正仿宋_GBK" w:cs="Times New Roman"/>
          <w:color w:val="000000"/>
          <w:kern w:val="0"/>
          <w:sz w:val="32"/>
          <w:szCs w:val="32"/>
          <w:lang w:val="en-US" w:eastAsia="zh-CN" w:bidi="ar"/>
        </w:rPr>
        <w:t>33</w:t>
      </w:r>
      <w:r>
        <w:rPr>
          <w:rFonts w:hint="eastAsia" w:ascii="方正仿宋_GBK" w:hAnsi="方正仿宋_GBK" w:eastAsia="方正仿宋_GBK" w:cs="方正仿宋_GBK"/>
          <w:color w:val="000000"/>
          <w:kern w:val="0"/>
          <w:sz w:val="32"/>
          <w:szCs w:val="32"/>
          <w:lang w:val="en-US" w:eastAsia="zh-CN" w:bidi="ar"/>
        </w:rPr>
        <w:t>家基层医疗机构全覆盖，各医疗机构外送检验项目全部送中心统一诊断。优化操作流程，创建县域LIS系统。完善质量控制体系和设备耗材使用标准，实现县域内检验设备、试剂耗材、操作规范和流程“三统一”。</w:t>
      </w:r>
      <w:r>
        <w:rPr>
          <w:rFonts w:hint="eastAsia" w:ascii="方正楷体_GBK" w:hAnsi="方正楷体_GBK" w:eastAsia="方正楷体_GBK" w:cs="方正楷体_GBK"/>
          <w:color w:val="000000"/>
          <w:kern w:val="0"/>
          <w:sz w:val="32"/>
          <w:szCs w:val="32"/>
          <w:lang w:val="en-US" w:eastAsia="zh-CN" w:bidi="ar"/>
        </w:rPr>
        <w:t>（责任单位：县卫生健康委）</w:t>
      </w:r>
    </w:p>
    <w:p w14:paraId="510BF02D">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21. </w:t>
      </w:r>
      <w:r>
        <w:rPr>
          <w:rFonts w:hint="eastAsia" w:ascii="方正仿宋_GBK" w:hAnsi="方正仿宋_GBK" w:eastAsia="方正仿宋_GBK" w:cs="方正仿宋_GBK"/>
          <w:color w:val="000000"/>
          <w:kern w:val="0"/>
          <w:sz w:val="32"/>
          <w:szCs w:val="32"/>
          <w:lang w:val="en-US" w:eastAsia="zh-CN" w:bidi="ar"/>
        </w:rPr>
        <w:t>完善县域心电远程诊断中心。推进县域心电远程诊断中心实现33家基层医疗机构全覆盖，中心完善质量控制体系，对基层医疗机构加强技术指导。探索建立“心电一张网”，实现心血管疾病防治全程信息实时采集、自动传输、数据共享，缩短患者救治时间、提高救治效果。</w:t>
      </w:r>
      <w:r>
        <w:rPr>
          <w:rFonts w:hint="eastAsia" w:ascii="方正楷体_GBK" w:hAnsi="方正楷体_GBK" w:eastAsia="方正楷体_GBK" w:cs="方正楷体_GBK"/>
          <w:color w:val="000000"/>
          <w:kern w:val="0"/>
          <w:sz w:val="32"/>
          <w:szCs w:val="32"/>
          <w:lang w:val="en-US" w:eastAsia="zh-CN" w:bidi="ar"/>
        </w:rPr>
        <w:t>（责任单位：县卫生健康委）</w:t>
      </w:r>
    </w:p>
    <w:p w14:paraId="2C6A8E88">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22. </w:t>
      </w:r>
      <w:r>
        <w:rPr>
          <w:rFonts w:hint="eastAsia" w:ascii="方正仿宋_GBK" w:hAnsi="方正仿宋_GBK" w:eastAsia="方正仿宋_GBK" w:cs="方正仿宋_GBK"/>
          <w:color w:val="000000"/>
          <w:kern w:val="0"/>
          <w:sz w:val="32"/>
          <w:szCs w:val="32"/>
          <w:lang w:val="en-US" w:eastAsia="zh-CN" w:bidi="ar"/>
        </w:rPr>
        <w:t>完善县域病理诊断共享中心。推进县域病理诊断共享中心实现</w:t>
      </w:r>
      <w:r>
        <w:rPr>
          <w:rFonts w:hint="eastAsia" w:ascii="Times New Roman" w:hAnsi="Times New Roman" w:eastAsia="方正仿宋_GBK" w:cs="Times New Roman"/>
          <w:color w:val="000000"/>
          <w:kern w:val="0"/>
          <w:sz w:val="32"/>
          <w:szCs w:val="32"/>
          <w:lang w:val="en-US" w:eastAsia="zh-CN" w:bidi="ar"/>
        </w:rPr>
        <w:t>33</w:t>
      </w:r>
      <w:r>
        <w:rPr>
          <w:rFonts w:hint="eastAsia" w:ascii="方正仿宋_GBK" w:hAnsi="方正仿宋_GBK" w:eastAsia="方正仿宋_GBK" w:cs="方正仿宋_GBK"/>
          <w:color w:val="000000"/>
          <w:kern w:val="0"/>
          <w:sz w:val="32"/>
          <w:szCs w:val="32"/>
          <w:lang w:val="en-US" w:eastAsia="zh-CN" w:bidi="ar"/>
        </w:rPr>
        <w:t>家基层医疗机构全覆盖，各医疗机构外送病理项目全部送中心统一诊断。完善规范化、标准化、同质化质量管理体系和利益分配机制。建立完善病检标本物流通道，保障安全送检。</w:t>
      </w:r>
      <w:r>
        <w:rPr>
          <w:rFonts w:hint="eastAsia" w:ascii="方正楷体_GBK" w:hAnsi="方正楷体_GBK" w:eastAsia="方正楷体_GBK" w:cs="方正楷体_GBK"/>
          <w:color w:val="000000"/>
          <w:kern w:val="0"/>
          <w:sz w:val="32"/>
          <w:szCs w:val="32"/>
          <w:lang w:val="en-US" w:eastAsia="zh-CN" w:bidi="ar"/>
        </w:rPr>
        <w:t>（责任单位：县卫生健康委）</w:t>
      </w:r>
    </w:p>
    <w:p w14:paraId="5FE3244E">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23.</w:t>
      </w:r>
      <w:r>
        <w:rPr>
          <w:rFonts w:hint="eastAsia" w:ascii="方正仿宋_GBK" w:hAnsi="方正仿宋_GBK" w:eastAsia="方正仿宋_GBK" w:cs="方正仿宋_GBK"/>
          <w:color w:val="000000"/>
          <w:kern w:val="0"/>
          <w:sz w:val="32"/>
          <w:szCs w:val="32"/>
          <w:lang w:val="en-US" w:eastAsia="zh-CN" w:bidi="ar"/>
        </w:rPr>
        <w:t xml:space="preserve"> 完善县域消毒供应共享中心。推进县域消毒供应共享中心实现33家基层医疗机构全覆盖，各医疗机构外送消毒物品全部送中心统一消毒。中心提供可重复使用手术器械、检查器械、植入耗材的清洗、消毒、灭菌服务及一次性无菌物品供应服务，实现消毒物品采购、申领、发放、使用、回收等全流程追溯，提高消毒供应服务效率和质量。</w:t>
      </w:r>
      <w:r>
        <w:rPr>
          <w:rFonts w:hint="eastAsia" w:ascii="方正楷体_GBK" w:hAnsi="方正楷体_GBK" w:eastAsia="方正楷体_GBK" w:cs="方正楷体_GBK"/>
          <w:color w:val="000000"/>
          <w:kern w:val="0"/>
          <w:sz w:val="32"/>
          <w:szCs w:val="32"/>
          <w:lang w:val="en-US" w:eastAsia="zh-CN" w:bidi="ar"/>
        </w:rPr>
        <w:t>（责任单位：县卫生健康委）</w:t>
      </w:r>
    </w:p>
    <w:p w14:paraId="6CF6FAC7">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24. </w:t>
      </w:r>
      <w:r>
        <w:rPr>
          <w:rFonts w:hint="eastAsia" w:ascii="方正仿宋_GBK" w:hAnsi="方正仿宋_GBK" w:eastAsia="方正仿宋_GBK" w:cs="方正仿宋_GBK"/>
          <w:color w:val="000000"/>
          <w:kern w:val="0"/>
          <w:sz w:val="32"/>
          <w:szCs w:val="32"/>
          <w:lang w:val="en-US" w:eastAsia="zh-CN" w:bidi="ar"/>
        </w:rPr>
        <w:t>统筹建立县域病案编码中心。建立县域病案编码中心并覆盖全县</w:t>
      </w:r>
      <w:r>
        <w:rPr>
          <w:rFonts w:hint="eastAsia" w:ascii="Times New Roman" w:hAnsi="Times New Roman" w:eastAsia="方正仿宋_GBK" w:cs="Times New Roman"/>
          <w:color w:val="000000"/>
          <w:kern w:val="0"/>
          <w:sz w:val="32"/>
          <w:szCs w:val="32"/>
          <w:lang w:val="en-US" w:eastAsia="zh-CN" w:bidi="ar"/>
        </w:rPr>
        <w:t>33</w:t>
      </w:r>
      <w:r>
        <w:rPr>
          <w:rFonts w:hint="eastAsia" w:ascii="方正仿宋_GBK" w:hAnsi="方正仿宋_GBK" w:eastAsia="方正仿宋_GBK" w:cs="方正仿宋_GBK"/>
          <w:color w:val="000000"/>
          <w:kern w:val="0"/>
          <w:sz w:val="32"/>
          <w:szCs w:val="32"/>
          <w:lang w:val="en-US" w:eastAsia="zh-CN" w:bidi="ar"/>
        </w:rPr>
        <w:t>家基层医疗机构，通过统一编码标准，确保病案信息的准确性和规范性，帮助各基层医疗机构顺利开展DRG医保支付方式改革工作，保障医保基金合理使用，提升基层医疗服务质量和效率。整合县域医疗机构病案数据，实现资源共享，助力疾病监测、流行病学研究和医疗决策，提升基层医疗管理水平。</w:t>
      </w:r>
      <w:r>
        <w:rPr>
          <w:rFonts w:hint="eastAsia" w:ascii="方正楷体_GBK" w:hAnsi="方正楷体_GBK" w:eastAsia="方正楷体_GBK" w:cs="方正楷体_GBK"/>
          <w:color w:val="000000"/>
          <w:kern w:val="0"/>
          <w:sz w:val="32"/>
          <w:szCs w:val="32"/>
          <w:lang w:val="en-US" w:eastAsia="zh-CN" w:bidi="ar"/>
        </w:rPr>
        <w:t>（责任单位：县卫生健康委；配合单位：县医保局）</w:t>
      </w:r>
    </w:p>
    <w:p w14:paraId="202E8AFF">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（五）创新医防融合，加强农村传染病防控和应急处置能力建设。</w:t>
      </w:r>
    </w:p>
    <w:p w14:paraId="5A752CE2">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25. </w:t>
      </w:r>
      <w:r>
        <w:rPr>
          <w:rFonts w:hint="eastAsia" w:ascii="方正仿宋_GBK" w:hAnsi="方正仿宋_GBK" w:eastAsia="方正仿宋_GBK" w:cs="方正仿宋_GBK"/>
          <w:color w:val="000000"/>
          <w:kern w:val="0"/>
          <w:sz w:val="32"/>
          <w:szCs w:val="32"/>
          <w:lang w:val="en-US" w:eastAsia="zh-CN" w:bidi="ar"/>
        </w:rPr>
        <w:t>加强医防协同。县疾控中心、县妇幼保健院通过派驻疾控监督员、制定公共卫生责任清单等方式，参与县域医共体公共卫生工作的监督管理。围绕慢病患者、老年人、儿童、孕产妇、重大传染病患者等重点人群，开展疾病预防、筛查、诊治、护理、康复等一体化服务。选定</w:t>
      </w:r>
      <w:r>
        <w:rPr>
          <w:rFonts w:hint="eastAsia"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个基层医疗机构，试点开展医防融合，强化医务人员医防融合服务意识，将预防融入临床诊治全过程。统筹医保结算基金和公共卫生服务资金使用，实现公共卫生服务和医疗服务的有效衔接。</w:t>
      </w:r>
      <w:r>
        <w:rPr>
          <w:rFonts w:hint="eastAsia" w:ascii="方正楷体_GBK" w:hAnsi="方正楷体_GBK" w:eastAsia="方正楷体_GBK" w:cs="方正楷体_GBK"/>
          <w:color w:val="000000"/>
          <w:kern w:val="0"/>
          <w:sz w:val="32"/>
          <w:szCs w:val="32"/>
          <w:lang w:val="en-US" w:eastAsia="zh-CN" w:bidi="ar"/>
        </w:rPr>
        <w:t>（责任单位：县卫生健康委；配合单位：县财政局、县医保局，各乡镇〔街道〕）</w:t>
      </w:r>
    </w:p>
    <w:p w14:paraId="79995596">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26.</w:t>
      </w:r>
      <w:r>
        <w:rPr>
          <w:rFonts w:hint="eastAsia" w:ascii="方正仿宋_GBK" w:hAnsi="方正仿宋_GBK" w:eastAsia="方正仿宋_GBK" w:cs="方正仿宋_GBK"/>
          <w:color w:val="000000"/>
          <w:kern w:val="0"/>
          <w:sz w:val="32"/>
          <w:szCs w:val="32"/>
          <w:lang w:val="en-US" w:eastAsia="zh-CN" w:bidi="ar"/>
        </w:rPr>
        <w:t xml:space="preserve"> 提升基层传染病防控和应急处置能力。建立以县疾控中心为骨干，以上级医疗机构为支撑，以基层医疗机构为“网底”的“三位一体”传染病防控体系，统筹推进传染病防、治、管整体融合发展。规范、及时、准确报告传染病病例，确保第一时间掌握传染病发生和发展态势。各医疗机构要制定突发传染病事件应急预案，加强“平战两用”应急物资储备，修订完善储备目录和管理调度机制。</w:t>
      </w:r>
      <w:r>
        <w:rPr>
          <w:rFonts w:hint="eastAsia" w:ascii="方正楷体_GBK" w:hAnsi="方正楷体_GBK" w:eastAsia="方正楷体_GBK" w:cs="方正楷体_GBK"/>
          <w:color w:val="000000"/>
          <w:kern w:val="0"/>
          <w:sz w:val="32"/>
          <w:szCs w:val="32"/>
          <w:lang w:val="en-US" w:eastAsia="zh-CN" w:bidi="ar"/>
        </w:rPr>
        <w:t>（责任单位：县卫生健康委；配合单位：各乡镇〔街道〕）</w:t>
      </w:r>
    </w:p>
    <w:p w14:paraId="581DDC28">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27. </w:t>
      </w:r>
      <w:r>
        <w:rPr>
          <w:rFonts w:hint="eastAsia" w:ascii="方正仿宋_GBK" w:hAnsi="方正仿宋_GBK" w:eastAsia="方正仿宋_GBK" w:cs="方正仿宋_GBK"/>
          <w:color w:val="000000"/>
          <w:kern w:val="0"/>
          <w:sz w:val="32"/>
          <w:szCs w:val="32"/>
          <w:lang w:val="en-US" w:eastAsia="zh-CN" w:bidi="ar"/>
        </w:rPr>
        <w:t>深入开展全民健身和爱国卫生运动。积极推行国家体育锻炼标准活动，开展常态化国民体质监测，引导群众转变健身观念、增强健身意识。从持续改善人居环境、强化病媒生物防制、普及健康生活方式等方面拓展，控制主要健康影响因素和危害人类健康重大疾病，全面巩固“国家慢性病综合防控示范区”成效。</w:t>
      </w:r>
      <w:r>
        <w:rPr>
          <w:rFonts w:hint="eastAsia" w:ascii="方正楷体_GBK" w:hAnsi="方正楷体_GBK" w:eastAsia="方正楷体_GBK" w:cs="方正楷体_GBK"/>
          <w:color w:val="000000"/>
          <w:kern w:val="0"/>
          <w:sz w:val="32"/>
          <w:szCs w:val="32"/>
          <w:lang w:val="en-US" w:eastAsia="zh-CN" w:bidi="ar"/>
        </w:rPr>
        <w:t>（责任单位：县卫生健康委；配合单位：县农业农村委、县文化旅游委）</w:t>
      </w:r>
    </w:p>
    <w:p w14:paraId="5ADC7232">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（六）提升中医药服务能力。</w:t>
      </w:r>
    </w:p>
    <w:p w14:paraId="60A7C768">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28.</w:t>
      </w:r>
      <w:r>
        <w:rPr>
          <w:rFonts w:hint="eastAsia" w:ascii="方正仿宋_GBK" w:hAnsi="方正仿宋_GBK" w:eastAsia="方正仿宋_GBK" w:cs="方正仿宋_GBK"/>
          <w:color w:val="000000"/>
          <w:kern w:val="0"/>
          <w:sz w:val="32"/>
          <w:szCs w:val="32"/>
          <w:lang w:val="en-US" w:eastAsia="zh-CN" w:bidi="ar"/>
        </w:rPr>
        <w:t xml:space="preserve"> 加强中医药服务能力。县中医院统筹县域中医药服务资源，发挥县域中医医疗、预防保健、特色康复、人才培养、适宜技术推广和中医药健康宣教龙头作用。鼓励县中医院与中药企业合作，探索研发院内制剂，在基层医疗机构内调剂使用。加快推进县中医院三级医院创建，提升县中医院区域影响力。在基层医疗机构新打造</w:t>
      </w:r>
      <w:r>
        <w:rPr>
          <w:rFonts w:hint="eastAsia"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个“精品中医馆”，推动村卫生室“中医阁”建设。</w:t>
      </w:r>
      <w:r>
        <w:rPr>
          <w:rFonts w:hint="eastAsia" w:ascii="方正楷体_GBK" w:hAnsi="方正楷体_GBK" w:eastAsia="方正楷体_GBK" w:cs="方正楷体_GBK"/>
          <w:color w:val="000000"/>
          <w:kern w:val="0"/>
          <w:sz w:val="32"/>
          <w:szCs w:val="32"/>
          <w:lang w:val="en-US" w:eastAsia="zh-CN" w:bidi="ar"/>
        </w:rPr>
        <w:t>（责任单位：县卫生健康委；配合单位：县市场监管局）</w:t>
      </w:r>
    </w:p>
    <w:p w14:paraId="7B2D1643">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三、组织实施</w:t>
      </w:r>
    </w:p>
    <w:p w14:paraId="518576DB">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（一）健全县域医共体领导机制。</w:t>
      </w:r>
      <w:r>
        <w:rPr>
          <w:rFonts w:hint="eastAsia" w:ascii="方正仿宋_GBK" w:hAnsi="方正仿宋_GBK" w:eastAsia="方正仿宋_GBK" w:cs="方正仿宋_GBK"/>
          <w:color w:val="000000"/>
          <w:kern w:val="0"/>
          <w:sz w:val="32"/>
          <w:szCs w:val="32"/>
          <w:lang w:val="en-US" w:eastAsia="zh-CN" w:bidi="ar"/>
        </w:rPr>
        <w:t>建立由县政府主导，机构编制、发展改革、财政、人力社保、住建、农业农村、卫生健康、市场监管、医保等部门和单位为成员的县域医共体工作专班，统筹县域医共体规划建设、投入保障、人事制度安排等重大事项。工作专班下设办公室在县卫生健康委，办公室主任由县卫生健康委主要负责人担任，负责研究制定县域医共体相关政策，制定“效益共享”实施方案，解决建设中的具体问题，统筹绩效考核和监管等。</w:t>
      </w:r>
    </w:p>
    <w:p w14:paraId="5DFD4268">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（二）落实政府投入保障。</w:t>
      </w:r>
      <w:r>
        <w:rPr>
          <w:rFonts w:hint="eastAsia" w:ascii="方正仿宋_GBK" w:hAnsi="方正仿宋_GBK" w:eastAsia="方正仿宋_GBK" w:cs="方正仿宋_GBK"/>
          <w:color w:val="000000"/>
          <w:kern w:val="0"/>
          <w:sz w:val="32"/>
          <w:szCs w:val="32"/>
          <w:lang w:val="en-US" w:eastAsia="zh-CN" w:bidi="ar"/>
        </w:rPr>
        <w:t>基层医疗卫生机构基本建设和设备购置等发展建设支出，由县政府根据发展建设规划足额安排；人员经费和业务经费等运行成本通过服务收费和政府补助补偿。按规定落实政府对符合区域卫生规划的公立医院投入政策，落实对专业公共卫生机构的投入责任。积极争取中央资金，加大对县域医共体内符合条件的项目支持力度。政府新增卫生健康财政支出向县域医共体内基层医疗卫生机构适当倾斜。</w:t>
      </w:r>
    </w:p>
    <w:p w14:paraId="7938C867">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（三）落实医保相关政策。</w:t>
      </w:r>
      <w:r>
        <w:rPr>
          <w:rFonts w:hint="eastAsia" w:ascii="方正仿宋_GBK" w:hAnsi="方正仿宋_GBK" w:eastAsia="方正仿宋_GBK" w:cs="方正仿宋_GBK"/>
          <w:color w:val="000000"/>
          <w:kern w:val="0"/>
          <w:sz w:val="32"/>
          <w:szCs w:val="32"/>
          <w:lang w:val="en-US" w:eastAsia="zh-CN" w:bidi="ar"/>
        </w:rPr>
        <w:t>对县域医共体实行医保基金总额付费，落实结余留用制度。落实县域医共体医保基金内部监督管理责任。对中医院牵头组建的医共体在总额预算上适当倾斜。落实“互联网+”医疗服务价格政策，促进互联网诊疗、远程会诊等医疗服务向基层延伸。</w:t>
      </w:r>
    </w:p>
    <w:p w14:paraId="0D454923">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（四）建立考核评价体系。</w:t>
      </w:r>
      <w:r>
        <w:rPr>
          <w:rFonts w:hint="eastAsia" w:ascii="方正仿宋_GBK" w:hAnsi="方正仿宋_GBK" w:eastAsia="方正仿宋_GBK" w:cs="方正仿宋_GBK"/>
          <w:color w:val="000000"/>
          <w:kern w:val="0"/>
          <w:sz w:val="32"/>
          <w:szCs w:val="32"/>
          <w:lang w:val="en-US" w:eastAsia="zh-CN" w:bidi="ar"/>
        </w:rPr>
        <w:t>按照紧密型、同质化、控费用、促分工、保健康发展要求，突出就诊率、服务能力、医疗质量和费用、医保基金使用绩效、群众健康改善和满意度等核心指标，建立健全医共体建设监测评价机制，强化数据分析和督促指导，务求改革取得实效。</w:t>
      </w:r>
    </w:p>
    <w:p w14:paraId="3B25333F">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14:paraId="7A3EAB0C">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附件：</w:t>
      </w:r>
      <w:r>
        <w:rPr>
          <w:rFonts w:hint="eastAsia" w:ascii="Times New Roman" w:hAnsi="Times New Roman" w:eastAsia="方正仿宋_GBK" w:cs="Times New Roman"/>
          <w:bCs/>
          <w:color w:val="000000"/>
          <w:sz w:val="32"/>
          <w:szCs w:val="20"/>
          <w:lang w:val="en-US" w:eastAsia="zh-CN"/>
        </w:rPr>
        <w:t>1.</w:t>
      </w:r>
      <w:r>
        <w:rPr>
          <w:rFonts w:hint="eastAsia" w:ascii="方正仿宋_GBK" w:hAnsi="方正仿宋_GBK" w:eastAsia="方正仿宋_GBK" w:cs="方正仿宋_GBK"/>
          <w:color w:val="000000"/>
          <w:kern w:val="0"/>
          <w:sz w:val="32"/>
          <w:szCs w:val="32"/>
          <w:lang w:val="en-US" w:eastAsia="zh-CN" w:bidi="ar"/>
        </w:rPr>
        <w:t xml:space="preserve"> 奉节县紧密型县域医疗卫生共同体建设工作专班</w:t>
      </w:r>
    </w:p>
    <w:p w14:paraId="3226D5F3">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2. </w:t>
      </w:r>
      <w:r>
        <w:rPr>
          <w:rFonts w:hint="eastAsia" w:ascii="方正仿宋_GBK" w:hAnsi="方正仿宋_GBK" w:eastAsia="方正仿宋_GBK" w:cs="方正仿宋_GBK"/>
          <w:color w:val="000000"/>
          <w:kern w:val="0"/>
          <w:sz w:val="32"/>
          <w:szCs w:val="32"/>
          <w:lang w:val="en-US" w:eastAsia="zh-CN" w:bidi="ar"/>
        </w:rPr>
        <w:t>主要核心绩效指标表</w:t>
      </w:r>
    </w:p>
    <w:p w14:paraId="70C33636">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3. </w:t>
      </w:r>
      <w:r>
        <w:rPr>
          <w:rFonts w:hint="eastAsia" w:ascii="方正仿宋_GBK" w:hAnsi="方正仿宋_GBK" w:eastAsia="方正仿宋_GBK" w:cs="方正仿宋_GBK"/>
          <w:color w:val="000000"/>
          <w:kern w:val="0"/>
          <w:sz w:val="32"/>
          <w:szCs w:val="32"/>
          <w:lang w:val="en-US" w:eastAsia="zh-CN" w:bidi="ar"/>
        </w:rPr>
        <w:t>紧密型县域医共体建设监测指标体系（试行）</w:t>
      </w:r>
    </w:p>
    <w:p w14:paraId="1F9FF078">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ind w:firstLine="1600" w:firstLineChars="5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仿宋_GBK" w:cs="Times New Roman"/>
          <w:bCs/>
          <w:color w:val="000000"/>
          <w:sz w:val="32"/>
          <w:szCs w:val="20"/>
          <w:lang w:val="en-US" w:eastAsia="zh-CN"/>
        </w:rPr>
        <w:t xml:space="preserve">4. </w:t>
      </w:r>
      <w:r>
        <w:rPr>
          <w:rFonts w:hint="eastAsia" w:ascii="方正仿宋_GBK" w:hAnsi="方正仿宋_GBK" w:eastAsia="方正仿宋_GBK" w:cs="方正仿宋_GBK"/>
          <w:color w:val="000000"/>
          <w:kern w:val="0"/>
          <w:sz w:val="32"/>
          <w:szCs w:val="32"/>
          <w:lang w:val="en-US" w:eastAsia="zh-CN" w:bidi="ar"/>
        </w:rPr>
        <w:t>紧密型县域医共体核心业务架构图</w:t>
      </w:r>
    </w:p>
    <w:p w14:paraId="11B2BA80">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3F73CC1C">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693B8AF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315B8EE5">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1F137C26">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2E1AC5ED">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30E9A85B">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53B40253">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7C922E56">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37A924F3">
      <w:pPr>
        <w:pStyle w:val="2"/>
        <w:rPr>
          <w:rFonts w:hint="eastAsia"/>
          <w:lang w:val="en-US" w:eastAsia="zh-CN"/>
        </w:rPr>
      </w:pPr>
    </w:p>
    <w:p w14:paraId="768A0341">
      <w:pPr>
        <w:rPr>
          <w:rFonts w:hint="eastAsia"/>
          <w:lang w:val="en-US" w:eastAsia="zh-CN"/>
        </w:rPr>
      </w:pPr>
    </w:p>
    <w:p w14:paraId="4AB1E658">
      <w:pPr>
        <w:pStyle w:val="2"/>
        <w:rPr>
          <w:rFonts w:hint="eastAsia"/>
          <w:lang w:val="en-US" w:eastAsia="zh-CN"/>
        </w:rPr>
      </w:pPr>
    </w:p>
    <w:p w14:paraId="30EE1121">
      <w:pPr>
        <w:rPr>
          <w:rFonts w:hint="eastAsia"/>
          <w:lang w:val="en-US" w:eastAsia="zh-CN"/>
        </w:rPr>
      </w:pPr>
    </w:p>
    <w:p w14:paraId="07487568">
      <w:pPr>
        <w:pStyle w:val="2"/>
        <w:rPr>
          <w:rFonts w:hint="eastAsia"/>
          <w:lang w:val="en-US" w:eastAsia="zh-CN"/>
        </w:rPr>
      </w:pPr>
    </w:p>
    <w:p w14:paraId="0D97C59B">
      <w:pPr>
        <w:rPr>
          <w:rFonts w:hint="eastAsia"/>
          <w:lang w:val="en-US" w:eastAsia="zh-CN"/>
        </w:rPr>
      </w:pPr>
    </w:p>
    <w:p w14:paraId="62103AD1">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46C4D78F">
      <w:pPr>
        <w:pStyle w:val="2"/>
        <w:rPr>
          <w:rFonts w:hint="eastAsia"/>
          <w:lang w:val="en-US" w:eastAsia="zh-CN"/>
        </w:rPr>
      </w:pPr>
    </w:p>
    <w:p w14:paraId="1E99C617">
      <w:pPr>
        <w:rPr>
          <w:rFonts w:hint="eastAsia"/>
          <w:lang w:val="en-US" w:eastAsia="zh-CN"/>
        </w:rPr>
      </w:pPr>
    </w:p>
    <w:p w14:paraId="0BFB159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p w14:paraId="38869C0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rPr>
      </w:pPr>
    </w:p>
    <w:p w14:paraId="1C942AC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奉节县紧密型县域医疗卫生共同体建设</w:t>
      </w:r>
    </w:p>
    <w:p w14:paraId="4E69FF8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工作专班</w:t>
      </w:r>
    </w:p>
    <w:p w14:paraId="7C99D5D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黑体_GBK" w:hAnsi="方正黑体_GBK" w:eastAsia="方正黑体_GBK" w:cs="方正黑体_GBK"/>
          <w:b w:val="0"/>
          <w:bCs w:val="0"/>
          <w:sz w:val="32"/>
          <w:szCs w:val="32"/>
        </w:rPr>
      </w:pPr>
    </w:p>
    <w:p w14:paraId="171B35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一、工作专班组长</w:t>
      </w:r>
    </w:p>
    <w:p w14:paraId="3407ED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巩义胜  县委书记、县政府县长</w:t>
      </w:r>
    </w:p>
    <w:p w14:paraId="2BCC18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二、工作专班副组长</w:t>
      </w:r>
    </w:p>
    <w:p w14:paraId="291C42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黄双双  县委常委、县委组织部部长</w:t>
      </w:r>
    </w:p>
    <w:p w14:paraId="4538707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刘木平  县政府副县长</w:t>
      </w:r>
    </w:p>
    <w:p w14:paraId="30F6B61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三、工作专班成员</w:t>
      </w:r>
    </w:p>
    <w:p w14:paraId="4537D8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唐瑜渝  县委改革办主任</w:t>
      </w:r>
    </w:p>
    <w:p w14:paraId="27444F4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古  鹏  县政府办公室副主任</w:t>
      </w:r>
    </w:p>
    <w:p w14:paraId="31BC3C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郭登慧  县委编办主任</w:t>
      </w:r>
    </w:p>
    <w:p w14:paraId="30D062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谢文涛  县发展改革委党组书记</w:t>
      </w:r>
    </w:p>
    <w:p w14:paraId="443112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沈建华  县财政局局长</w:t>
      </w:r>
    </w:p>
    <w:p w14:paraId="041B4D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余立金  县人力社保局局长</w:t>
      </w:r>
    </w:p>
    <w:p w14:paraId="2427D5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邹远江  县住房城乡建委主任</w:t>
      </w:r>
    </w:p>
    <w:p w14:paraId="746483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刘方令  县农业农村委主任</w:t>
      </w:r>
    </w:p>
    <w:p w14:paraId="58ED62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杨锦江  县卫生健康委党委书记</w:t>
      </w:r>
    </w:p>
    <w:p w14:paraId="30CD61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雷  涛  县卫生健康委主任</w:t>
      </w:r>
    </w:p>
    <w:p w14:paraId="21F8092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易容华  县市场监管局局长</w:t>
      </w:r>
    </w:p>
    <w:p w14:paraId="26B3D6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王锦龙  县医保局局长</w:t>
      </w:r>
    </w:p>
    <w:p w14:paraId="1899B8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工作专班负责研究制定县域医共体相关政策，解决建设中的具体问题，工作专班下设办公室在县卫生健康委，由县卫生健康委主任雷涛任办公室主任，具体负责医共体建设日常工作。</w:t>
      </w:r>
    </w:p>
    <w:p w14:paraId="18ECD66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49566A4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2AFEDF1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7CF5ACC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1F7986E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3C5295A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6D54F2B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543151E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5611AF5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341A1A2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0C6F631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15B7F49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66530CC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47EA3F60">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3D8E01C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b w:val="0"/>
          <w:bCs w:val="0"/>
          <w:sz w:val="32"/>
          <w:szCs w:val="32"/>
        </w:rPr>
      </w:pPr>
    </w:p>
    <w:p w14:paraId="576AB04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2</w:t>
      </w:r>
    </w:p>
    <w:p w14:paraId="64D96DF4">
      <w:pPr>
        <w:widowControl/>
        <w:spacing w:line="594" w:lineRule="exact"/>
        <w:jc w:val="center"/>
        <w:rPr>
          <w:rFonts w:eastAsia="方正小标宋_GBK"/>
          <w:snapToGrid w:val="0"/>
          <w:color w:val="000000"/>
          <w:kern w:val="0"/>
          <w:sz w:val="44"/>
          <w:szCs w:val="44"/>
          <w:lang w:val="en"/>
        </w:rPr>
      </w:pPr>
      <w:r>
        <w:rPr>
          <w:rFonts w:eastAsia="方正小标宋_GBK"/>
          <w:snapToGrid w:val="0"/>
          <w:color w:val="000000"/>
          <w:kern w:val="0"/>
          <w:sz w:val="44"/>
          <w:szCs w:val="44"/>
          <w:lang w:val="en"/>
        </w:rPr>
        <w:t>主要核心绩效指标表</w:t>
      </w:r>
    </w:p>
    <w:p w14:paraId="2451F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p>
    <w:tbl>
      <w:tblPr>
        <w:tblStyle w:val="11"/>
        <w:tblW w:w="9234" w:type="dxa"/>
        <w:jc w:val="center"/>
        <w:tblLayout w:type="fixed"/>
        <w:tblCellMar>
          <w:top w:w="0" w:type="dxa"/>
          <w:left w:w="108" w:type="dxa"/>
          <w:bottom w:w="0" w:type="dxa"/>
          <w:right w:w="108" w:type="dxa"/>
        </w:tblCellMar>
      </w:tblPr>
      <w:tblGrid>
        <w:gridCol w:w="862"/>
        <w:gridCol w:w="3887"/>
        <w:gridCol w:w="788"/>
        <w:gridCol w:w="1350"/>
        <w:gridCol w:w="1097"/>
        <w:gridCol w:w="1250"/>
      </w:tblGrid>
      <w:tr w14:paraId="32C172B4">
        <w:tblPrEx>
          <w:tblCellMar>
            <w:top w:w="0" w:type="dxa"/>
            <w:left w:w="108" w:type="dxa"/>
            <w:bottom w:w="0" w:type="dxa"/>
            <w:right w:w="108" w:type="dxa"/>
          </w:tblCellMar>
        </w:tblPrEx>
        <w:trPr>
          <w:trHeight w:val="720" w:hRule="atLeast"/>
          <w:jc w:val="center"/>
        </w:trPr>
        <w:tc>
          <w:tcPr>
            <w:tcW w:w="862" w:type="dxa"/>
            <w:vMerge w:val="restart"/>
            <w:tcBorders>
              <w:top w:val="single" w:color="000000" w:sz="8" w:space="0"/>
              <w:left w:val="single" w:color="000000" w:sz="8" w:space="0"/>
              <w:bottom w:val="single" w:color="000000" w:sz="8" w:space="0"/>
              <w:right w:val="single" w:color="000000" w:sz="8" w:space="0"/>
            </w:tcBorders>
            <w:noWrap/>
            <w:vAlign w:val="center"/>
          </w:tcPr>
          <w:p w14:paraId="56EFE047">
            <w:pPr>
              <w:widowControl/>
              <w:spacing w:line="380" w:lineRule="exact"/>
              <w:jc w:val="center"/>
              <w:textAlignment w:val="center"/>
              <w:rPr>
                <w:rFonts w:eastAsia="方正黑体_GBK"/>
                <w:color w:val="000000"/>
                <w:sz w:val="24"/>
              </w:rPr>
            </w:pPr>
            <w:r>
              <w:rPr>
                <w:rFonts w:hAnsi="方正黑体_GBK" w:eastAsia="方正黑体_GBK"/>
                <w:color w:val="000000"/>
                <w:kern w:val="0"/>
                <w:sz w:val="24"/>
                <w:lang w:bidi="ar"/>
              </w:rPr>
              <w:t>序号</w:t>
            </w:r>
          </w:p>
        </w:tc>
        <w:tc>
          <w:tcPr>
            <w:tcW w:w="3887" w:type="dxa"/>
            <w:vMerge w:val="restart"/>
            <w:tcBorders>
              <w:top w:val="single" w:color="000000" w:sz="8" w:space="0"/>
              <w:left w:val="nil"/>
              <w:bottom w:val="single" w:color="000000" w:sz="8" w:space="0"/>
              <w:right w:val="single" w:color="000000" w:sz="8" w:space="0"/>
            </w:tcBorders>
            <w:noWrap w:val="0"/>
            <w:vAlign w:val="center"/>
          </w:tcPr>
          <w:p w14:paraId="7908D4F1">
            <w:pPr>
              <w:widowControl/>
              <w:spacing w:line="380" w:lineRule="exact"/>
              <w:jc w:val="center"/>
              <w:textAlignment w:val="center"/>
              <w:rPr>
                <w:rFonts w:eastAsia="方正黑体_GBK"/>
                <w:color w:val="000000"/>
                <w:sz w:val="24"/>
              </w:rPr>
            </w:pPr>
            <w:r>
              <w:rPr>
                <w:rFonts w:hAnsi="方正黑体_GBK" w:eastAsia="方正黑体_GBK"/>
                <w:color w:val="000000"/>
                <w:kern w:val="0"/>
                <w:sz w:val="24"/>
                <w:lang w:bidi="ar"/>
              </w:rPr>
              <w:t>指标名称</w:t>
            </w:r>
          </w:p>
        </w:tc>
        <w:tc>
          <w:tcPr>
            <w:tcW w:w="788" w:type="dxa"/>
            <w:vMerge w:val="restart"/>
            <w:tcBorders>
              <w:top w:val="single" w:color="000000" w:sz="8" w:space="0"/>
              <w:left w:val="nil"/>
              <w:bottom w:val="single" w:color="000000" w:sz="8" w:space="0"/>
              <w:right w:val="single" w:color="000000" w:sz="8" w:space="0"/>
            </w:tcBorders>
            <w:noWrap w:val="0"/>
            <w:vAlign w:val="center"/>
          </w:tcPr>
          <w:p w14:paraId="6740D33C">
            <w:pPr>
              <w:widowControl/>
              <w:spacing w:line="380" w:lineRule="exact"/>
              <w:jc w:val="center"/>
              <w:textAlignment w:val="center"/>
              <w:rPr>
                <w:rFonts w:eastAsia="方正黑体_GBK"/>
                <w:color w:val="000000"/>
                <w:sz w:val="24"/>
              </w:rPr>
            </w:pPr>
            <w:r>
              <w:rPr>
                <w:rFonts w:hAnsi="方正黑体_GBK" w:eastAsia="方正黑体_GBK"/>
                <w:color w:val="000000"/>
                <w:kern w:val="0"/>
                <w:sz w:val="24"/>
                <w:lang w:bidi="ar"/>
              </w:rPr>
              <w:t>单位</w:t>
            </w:r>
          </w:p>
        </w:tc>
        <w:tc>
          <w:tcPr>
            <w:tcW w:w="1350" w:type="dxa"/>
            <w:vMerge w:val="restart"/>
            <w:tcBorders>
              <w:top w:val="single" w:color="000000" w:sz="8" w:space="0"/>
              <w:left w:val="nil"/>
              <w:bottom w:val="single" w:color="000000" w:sz="8" w:space="0"/>
              <w:right w:val="single" w:color="000000" w:sz="8" w:space="0"/>
            </w:tcBorders>
            <w:noWrap w:val="0"/>
            <w:vAlign w:val="center"/>
          </w:tcPr>
          <w:p w14:paraId="0EAD3422">
            <w:pPr>
              <w:widowControl/>
              <w:spacing w:line="380" w:lineRule="exact"/>
              <w:jc w:val="center"/>
              <w:textAlignment w:val="center"/>
              <w:rPr>
                <w:rFonts w:eastAsia="方正黑体_GBK"/>
                <w:color w:val="000000"/>
                <w:kern w:val="0"/>
                <w:sz w:val="24"/>
                <w:lang w:bidi="ar"/>
              </w:rPr>
            </w:pPr>
            <w:r>
              <w:rPr>
                <w:rFonts w:eastAsia="方正黑体_GBK"/>
                <w:color w:val="000000"/>
                <w:kern w:val="0"/>
                <w:sz w:val="24"/>
                <w:lang w:bidi="ar"/>
              </w:rPr>
              <w:t>2024</w:t>
            </w:r>
            <w:r>
              <w:rPr>
                <w:rFonts w:hAnsi="方正黑体_GBK" w:eastAsia="方正黑体_GBK"/>
                <w:color w:val="000000"/>
                <w:kern w:val="0"/>
                <w:sz w:val="24"/>
                <w:lang w:bidi="ar"/>
              </w:rPr>
              <w:t>年</w:t>
            </w:r>
          </w:p>
          <w:p w14:paraId="3E3276A4">
            <w:pPr>
              <w:widowControl/>
              <w:spacing w:line="380" w:lineRule="exact"/>
              <w:jc w:val="center"/>
              <w:textAlignment w:val="center"/>
              <w:rPr>
                <w:rFonts w:eastAsia="方正黑体_GBK"/>
                <w:color w:val="000000"/>
                <w:sz w:val="24"/>
              </w:rPr>
            </w:pPr>
            <w:r>
              <w:rPr>
                <w:rFonts w:hAnsi="方正黑体_GBK" w:eastAsia="方正黑体_GBK"/>
                <w:color w:val="000000"/>
                <w:kern w:val="0"/>
                <w:sz w:val="24"/>
                <w:lang w:bidi="ar"/>
              </w:rPr>
              <w:t>完成值</w:t>
            </w:r>
          </w:p>
        </w:tc>
        <w:tc>
          <w:tcPr>
            <w:tcW w:w="1097" w:type="dxa"/>
            <w:vMerge w:val="restart"/>
            <w:tcBorders>
              <w:top w:val="single" w:color="000000" w:sz="8" w:space="0"/>
              <w:left w:val="nil"/>
              <w:bottom w:val="single" w:color="000000" w:sz="8" w:space="0"/>
              <w:right w:val="single" w:color="000000" w:sz="8" w:space="0"/>
            </w:tcBorders>
            <w:noWrap w:val="0"/>
            <w:vAlign w:val="center"/>
          </w:tcPr>
          <w:p w14:paraId="3FEA4529">
            <w:pPr>
              <w:widowControl/>
              <w:spacing w:line="380" w:lineRule="exact"/>
              <w:jc w:val="center"/>
              <w:textAlignment w:val="center"/>
              <w:rPr>
                <w:color w:val="000000"/>
                <w:sz w:val="24"/>
              </w:rPr>
            </w:pPr>
            <w:r>
              <w:rPr>
                <w:color w:val="000000"/>
                <w:kern w:val="0"/>
                <w:sz w:val="24"/>
                <w:lang w:bidi="ar"/>
              </w:rPr>
              <w:t>2025</w:t>
            </w:r>
            <w:r>
              <w:rPr>
                <w:rFonts w:hAnsi="方正黑体_GBK" w:eastAsia="方正黑体_GBK"/>
                <w:color w:val="000000"/>
                <w:kern w:val="0"/>
                <w:sz w:val="24"/>
                <w:lang w:bidi="ar"/>
              </w:rPr>
              <w:t>年目标值</w:t>
            </w:r>
          </w:p>
        </w:tc>
        <w:tc>
          <w:tcPr>
            <w:tcW w:w="1250" w:type="dxa"/>
            <w:vMerge w:val="restart"/>
            <w:tcBorders>
              <w:top w:val="single" w:color="000000" w:sz="8" w:space="0"/>
              <w:left w:val="nil"/>
              <w:bottom w:val="single" w:color="000000" w:sz="8" w:space="0"/>
              <w:right w:val="single" w:color="000000" w:sz="8" w:space="0"/>
            </w:tcBorders>
            <w:noWrap w:val="0"/>
            <w:vAlign w:val="center"/>
          </w:tcPr>
          <w:p w14:paraId="1051CD60">
            <w:pPr>
              <w:widowControl/>
              <w:spacing w:line="380" w:lineRule="exact"/>
              <w:jc w:val="center"/>
              <w:textAlignment w:val="center"/>
              <w:rPr>
                <w:rFonts w:eastAsia="方正黑体_GBK"/>
                <w:color w:val="000000"/>
                <w:kern w:val="0"/>
                <w:sz w:val="24"/>
                <w:lang w:bidi="ar"/>
              </w:rPr>
            </w:pPr>
            <w:r>
              <w:rPr>
                <w:color w:val="000000"/>
                <w:kern w:val="0"/>
                <w:sz w:val="24"/>
                <w:lang w:bidi="ar"/>
              </w:rPr>
              <w:t>2027</w:t>
            </w:r>
            <w:r>
              <w:rPr>
                <w:rFonts w:hAnsi="方正黑体_GBK" w:eastAsia="方正黑体_GBK"/>
                <w:color w:val="000000"/>
                <w:kern w:val="0"/>
                <w:sz w:val="24"/>
                <w:lang w:bidi="ar"/>
              </w:rPr>
              <w:t>年</w:t>
            </w:r>
          </w:p>
          <w:p w14:paraId="1634C3E3">
            <w:pPr>
              <w:widowControl/>
              <w:spacing w:line="380" w:lineRule="exact"/>
              <w:jc w:val="center"/>
              <w:textAlignment w:val="center"/>
              <w:rPr>
                <w:color w:val="000000"/>
                <w:sz w:val="24"/>
              </w:rPr>
            </w:pPr>
            <w:r>
              <w:rPr>
                <w:rFonts w:hAnsi="方正黑体_GBK" w:eastAsia="方正黑体_GBK"/>
                <w:color w:val="000000"/>
                <w:kern w:val="0"/>
                <w:sz w:val="24"/>
                <w:lang w:bidi="ar"/>
              </w:rPr>
              <w:t>目标值</w:t>
            </w:r>
          </w:p>
        </w:tc>
      </w:tr>
      <w:tr w14:paraId="405A46F7">
        <w:tblPrEx>
          <w:tblCellMar>
            <w:top w:w="0" w:type="dxa"/>
            <w:left w:w="108" w:type="dxa"/>
            <w:bottom w:w="0" w:type="dxa"/>
            <w:right w:w="108" w:type="dxa"/>
          </w:tblCellMar>
        </w:tblPrEx>
        <w:trPr>
          <w:trHeight w:val="380" w:hRule="atLeast"/>
          <w:jc w:val="center"/>
        </w:trPr>
        <w:tc>
          <w:tcPr>
            <w:tcW w:w="862" w:type="dxa"/>
            <w:vMerge w:val="continue"/>
            <w:tcBorders>
              <w:top w:val="single" w:color="000000" w:sz="8" w:space="0"/>
              <w:left w:val="single" w:color="000000" w:sz="8" w:space="0"/>
              <w:bottom w:val="single" w:color="000000" w:sz="8" w:space="0"/>
              <w:right w:val="single" w:color="000000" w:sz="8" w:space="0"/>
            </w:tcBorders>
            <w:noWrap/>
            <w:vAlign w:val="center"/>
          </w:tcPr>
          <w:p w14:paraId="057F3091">
            <w:pPr>
              <w:spacing w:line="380" w:lineRule="exact"/>
              <w:jc w:val="center"/>
              <w:rPr>
                <w:rFonts w:eastAsia="方正黑体_GBK"/>
                <w:color w:val="000000"/>
                <w:sz w:val="24"/>
              </w:rPr>
            </w:pPr>
          </w:p>
        </w:tc>
        <w:tc>
          <w:tcPr>
            <w:tcW w:w="3887" w:type="dxa"/>
            <w:vMerge w:val="continue"/>
            <w:tcBorders>
              <w:top w:val="single" w:color="000000" w:sz="8" w:space="0"/>
              <w:left w:val="nil"/>
              <w:bottom w:val="single" w:color="000000" w:sz="8" w:space="0"/>
              <w:right w:val="single" w:color="000000" w:sz="8" w:space="0"/>
            </w:tcBorders>
            <w:noWrap w:val="0"/>
            <w:vAlign w:val="center"/>
          </w:tcPr>
          <w:p w14:paraId="45D0496A">
            <w:pPr>
              <w:spacing w:line="380" w:lineRule="exact"/>
              <w:jc w:val="center"/>
              <w:rPr>
                <w:rFonts w:eastAsia="方正黑体_GBK"/>
                <w:color w:val="000000"/>
                <w:sz w:val="24"/>
              </w:rPr>
            </w:pPr>
          </w:p>
        </w:tc>
        <w:tc>
          <w:tcPr>
            <w:tcW w:w="788" w:type="dxa"/>
            <w:vMerge w:val="continue"/>
            <w:tcBorders>
              <w:top w:val="single" w:color="000000" w:sz="8" w:space="0"/>
              <w:left w:val="nil"/>
              <w:bottom w:val="single" w:color="000000" w:sz="8" w:space="0"/>
              <w:right w:val="single" w:color="000000" w:sz="8" w:space="0"/>
            </w:tcBorders>
            <w:noWrap w:val="0"/>
            <w:vAlign w:val="center"/>
          </w:tcPr>
          <w:p w14:paraId="60534390">
            <w:pPr>
              <w:spacing w:line="380" w:lineRule="exact"/>
              <w:jc w:val="center"/>
              <w:rPr>
                <w:rFonts w:eastAsia="方正黑体_GBK"/>
                <w:color w:val="000000"/>
                <w:sz w:val="24"/>
              </w:rPr>
            </w:pPr>
          </w:p>
        </w:tc>
        <w:tc>
          <w:tcPr>
            <w:tcW w:w="1350" w:type="dxa"/>
            <w:vMerge w:val="continue"/>
            <w:tcBorders>
              <w:top w:val="single" w:color="000000" w:sz="8" w:space="0"/>
              <w:left w:val="nil"/>
              <w:bottom w:val="single" w:color="000000" w:sz="8" w:space="0"/>
              <w:right w:val="single" w:color="000000" w:sz="8" w:space="0"/>
            </w:tcBorders>
            <w:noWrap w:val="0"/>
            <w:vAlign w:val="center"/>
          </w:tcPr>
          <w:p w14:paraId="53B71CED">
            <w:pPr>
              <w:spacing w:line="380" w:lineRule="exact"/>
              <w:jc w:val="center"/>
              <w:rPr>
                <w:rFonts w:eastAsia="方正黑体_GBK"/>
                <w:color w:val="000000"/>
                <w:sz w:val="24"/>
              </w:rPr>
            </w:pPr>
          </w:p>
        </w:tc>
        <w:tc>
          <w:tcPr>
            <w:tcW w:w="1097" w:type="dxa"/>
            <w:vMerge w:val="continue"/>
            <w:tcBorders>
              <w:top w:val="single" w:color="000000" w:sz="8" w:space="0"/>
              <w:left w:val="nil"/>
              <w:bottom w:val="single" w:color="000000" w:sz="8" w:space="0"/>
              <w:right w:val="single" w:color="000000" w:sz="8" w:space="0"/>
            </w:tcBorders>
            <w:noWrap w:val="0"/>
            <w:vAlign w:val="center"/>
          </w:tcPr>
          <w:p w14:paraId="74A7C841">
            <w:pPr>
              <w:spacing w:line="380" w:lineRule="exact"/>
              <w:jc w:val="center"/>
              <w:rPr>
                <w:color w:val="000000"/>
                <w:sz w:val="24"/>
              </w:rPr>
            </w:pPr>
          </w:p>
        </w:tc>
        <w:tc>
          <w:tcPr>
            <w:tcW w:w="1250" w:type="dxa"/>
            <w:vMerge w:val="continue"/>
            <w:tcBorders>
              <w:top w:val="single" w:color="000000" w:sz="8" w:space="0"/>
              <w:left w:val="nil"/>
              <w:bottom w:val="single" w:color="000000" w:sz="8" w:space="0"/>
              <w:right w:val="single" w:color="000000" w:sz="8" w:space="0"/>
            </w:tcBorders>
            <w:noWrap w:val="0"/>
            <w:vAlign w:val="center"/>
          </w:tcPr>
          <w:p w14:paraId="0138A50C">
            <w:pPr>
              <w:spacing w:line="380" w:lineRule="exact"/>
              <w:jc w:val="center"/>
              <w:rPr>
                <w:color w:val="000000"/>
                <w:sz w:val="24"/>
              </w:rPr>
            </w:pPr>
          </w:p>
        </w:tc>
      </w:tr>
      <w:tr w14:paraId="48043774">
        <w:tblPrEx>
          <w:tblCellMar>
            <w:top w:w="0" w:type="dxa"/>
            <w:left w:w="108" w:type="dxa"/>
            <w:bottom w:w="0" w:type="dxa"/>
            <w:right w:w="108" w:type="dxa"/>
          </w:tblCellMar>
        </w:tblPrEx>
        <w:trPr>
          <w:trHeight w:val="830" w:hRule="atLeast"/>
          <w:jc w:val="center"/>
        </w:trPr>
        <w:tc>
          <w:tcPr>
            <w:tcW w:w="862" w:type="dxa"/>
            <w:tcBorders>
              <w:top w:val="nil"/>
              <w:left w:val="single" w:color="000000" w:sz="8" w:space="0"/>
              <w:bottom w:val="single" w:color="000000" w:sz="8" w:space="0"/>
              <w:right w:val="single" w:color="000000" w:sz="8" w:space="0"/>
            </w:tcBorders>
            <w:noWrap/>
            <w:vAlign w:val="center"/>
          </w:tcPr>
          <w:p w14:paraId="4729AD6D">
            <w:pPr>
              <w:widowControl/>
              <w:spacing w:line="380" w:lineRule="exact"/>
              <w:jc w:val="center"/>
              <w:textAlignment w:val="center"/>
              <w:rPr>
                <w:color w:val="000000"/>
                <w:sz w:val="24"/>
              </w:rPr>
            </w:pPr>
            <w:r>
              <w:rPr>
                <w:color w:val="000000"/>
                <w:kern w:val="0"/>
                <w:sz w:val="24"/>
                <w:lang w:bidi="ar"/>
              </w:rPr>
              <w:t>1</w:t>
            </w:r>
          </w:p>
        </w:tc>
        <w:tc>
          <w:tcPr>
            <w:tcW w:w="3887" w:type="dxa"/>
            <w:tcBorders>
              <w:top w:val="nil"/>
              <w:left w:val="nil"/>
              <w:bottom w:val="single" w:color="000000" w:sz="8" w:space="0"/>
              <w:right w:val="single" w:color="000000" w:sz="8" w:space="0"/>
            </w:tcBorders>
            <w:noWrap w:val="0"/>
            <w:vAlign w:val="center"/>
          </w:tcPr>
          <w:p w14:paraId="0098A3DB">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紧密型县域医共体建设成员单位覆盖率（</w:t>
            </w:r>
            <w:r>
              <w:rPr>
                <w:rFonts w:eastAsia="方正仿宋_GBK"/>
                <w:color w:val="000000"/>
                <w:kern w:val="0"/>
                <w:sz w:val="24"/>
                <w:lang w:bidi="ar"/>
              </w:rPr>
              <w:t>%</w:t>
            </w:r>
            <w:r>
              <w:rPr>
                <w:rFonts w:hAnsi="方正仿宋_GBK" w:eastAsia="方正仿宋_GBK"/>
                <w:color w:val="000000"/>
                <w:kern w:val="0"/>
                <w:sz w:val="24"/>
                <w:lang w:bidi="ar"/>
              </w:rPr>
              <w:t>）</w:t>
            </w:r>
          </w:p>
        </w:tc>
        <w:tc>
          <w:tcPr>
            <w:tcW w:w="788" w:type="dxa"/>
            <w:tcBorders>
              <w:top w:val="nil"/>
              <w:left w:val="nil"/>
              <w:bottom w:val="single" w:color="000000" w:sz="8" w:space="0"/>
              <w:right w:val="single" w:color="000000" w:sz="8" w:space="0"/>
            </w:tcBorders>
            <w:noWrap w:val="0"/>
            <w:vAlign w:val="center"/>
          </w:tcPr>
          <w:p w14:paraId="7AE928DE">
            <w:pPr>
              <w:widowControl/>
              <w:spacing w:line="380" w:lineRule="exact"/>
              <w:jc w:val="center"/>
              <w:textAlignment w:val="center"/>
              <w:rPr>
                <w:color w:val="000000"/>
                <w:sz w:val="24"/>
              </w:rPr>
            </w:pPr>
            <w:r>
              <w:rPr>
                <w:color w:val="000000"/>
                <w:kern w:val="0"/>
                <w:sz w:val="24"/>
                <w:lang w:bidi="ar"/>
              </w:rPr>
              <w:t>%</w:t>
            </w:r>
          </w:p>
        </w:tc>
        <w:tc>
          <w:tcPr>
            <w:tcW w:w="1350" w:type="dxa"/>
            <w:tcBorders>
              <w:top w:val="nil"/>
              <w:left w:val="nil"/>
              <w:bottom w:val="single" w:color="000000" w:sz="8" w:space="0"/>
              <w:right w:val="single" w:color="000000" w:sz="8" w:space="0"/>
            </w:tcBorders>
            <w:noWrap/>
            <w:vAlign w:val="center"/>
          </w:tcPr>
          <w:p w14:paraId="094F8B2C">
            <w:pPr>
              <w:widowControl/>
              <w:spacing w:line="380" w:lineRule="exact"/>
              <w:jc w:val="center"/>
              <w:textAlignment w:val="center"/>
              <w:rPr>
                <w:color w:val="000000"/>
                <w:sz w:val="24"/>
              </w:rPr>
            </w:pPr>
            <w:r>
              <w:rPr>
                <w:color w:val="000000"/>
                <w:kern w:val="0"/>
                <w:sz w:val="24"/>
                <w:lang w:bidi="ar"/>
              </w:rPr>
              <w:t>100</w:t>
            </w:r>
          </w:p>
        </w:tc>
        <w:tc>
          <w:tcPr>
            <w:tcW w:w="1097" w:type="dxa"/>
            <w:tcBorders>
              <w:top w:val="nil"/>
              <w:left w:val="nil"/>
              <w:bottom w:val="single" w:color="000000" w:sz="8" w:space="0"/>
              <w:right w:val="single" w:color="000000" w:sz="8" w:space="0"/>
            </w:tcBorders>
            <w:noWrap w:val="0"/>
            <w:vAlign w:val="center"/>
          </w:tcPr>
          <w:p w14:paraId="244C7891">
            <w:pPr>
              <w:widowControl/>
              <w:spacing w:line="380" w:lineRule="exact"/>
              <w:jc w:val="center"/>
              <w:textAlignment w:val="center"/>
              <w:rPr>
                <w:color w:val="000000"/>
                <w:sz w:val="24"/>
              </w:rPr>
            </w:pPr>
            <w:r>
              <w:rPr>
                <w:color w:val="000000"/>
                <w:kern w:val="0"/>
                <w:sz w:val="24"/>
                <w:lang w:bidi="ar"/>
              </w:rPr>
              <w:t>100</w:t>
            </w:r>
          </w:p>
        </w:tc>
        <w:tc>
          <w:tcPr>
            <w:tcW w:w="1250" w:type="dxa"/>
            <w:tcBorders>
              <w:top w:val="nil"/>
              <w:left w:val="nil"/>
              <w:bottom w:val="single" w:color="000000" w:sz="8" w:space="0"/>
              <w:right w:val="single" w:color="000000" w:sz="8" w:space="0"/>
            </w:tcBorders>
            <w:noWrap w:val="0"/>
            <w:vAlign w:val="center"/>
          </w:tcPr>
          <w:p w14:paraId="3A6D61F4">
            <w:pPr>
              <w:widowControl/>
              <w:spacing w:line="380" w:lineRule="exact"/>
              <w:jc w:val="center"/>
              <w:textAlignment w:val="center"/>
              <w:rPr>
                <w:color w:val="000000"/>
                <w:sz w:val="24"/>
              </w:rPr>
            </w:pPr>
            <w:r>
              <w:rPr>
                <w:color w:val="000000"/>
                <w:kern w:val="0"/>
                <w:sz w:val="24"/>
                <w:lang w:bidi="ar"/>
              </w:rPr>
              <w:t>100</w:t>
            </w:r>
          </w:p>
        </w:tc>
      </w:tr>
      <w:tr w14:paraId="71EC8907">
        <w:tblPrEx>
          <w:tblCellMar>
            <w:top w:w="0" w:type="dxa"/>
            <w:left w:w="108" w:type="dxa"/>
            <w:bottom w:w="0" w:type="dxa"/>
            <w:right w:w="108" w:type="dxa"/>
          </w:tblCellMar>
        </w:tblPrEx>
        <w:trPr>
          <w:trHeight w:val="550" w:hRule="atLeast"/>
          <w:jc w:val="center"/>
        </w:trPr>
        <w:tc>
          <w:tcPr>
            <w:tcW w:w="862" w:type="dxa"/>
            <w:tcBorders>
              <w:top w:val="single" w:color="000000" w:sz="8" w:space="0"/>
              <w:left w:val="single" w:color="000000" w:sz="8" w:space="0"/>
              <w:bottom w:val="single" w:color="000000" w:sz="8" w:space="0"/>
              <w:right w:val="single" w:color="000000" w:sz="8" w:space="0"/>
            </w:tcBorders>
            <w:noWrap/>
            <w:vAlign w:val="center"/>
          </w:tcPr>
          <w:p w14:paraId="491351B2">
            <w:pPr>
              <w:widowControl/>
              <w:spacing w:line="380" w:lineRule="exact"/>
              <w:jc w:val="center"/>
              <w:textAlignment w:val="center"/>
              <w:rPr>
                <w:color w:val="000000"/>
                <w:sz w:val="24"/>
              </w:rPr>
            </w:pPr>
            <w:r>
              <w:rPr>
                <w:color w:val="000000"/>
                <w:kern w:val="0"/>
                <w:sz w:val="24"/>
                <w:lang w:bidi="ar"/>
              </w:rPr>
              <w:t>2</w:t>
            </w:r>
          </w:p>
        </w:tc>
        <w:tc>
          <w:tcPr>
            <w:tcW w:w="3887" w:type="dxa"/>
            <w:tcBorders>
              <w:top w:val="single" w:color="000000" w:sz="8" w:space="0"/>
              <w:left w:val="single" w:color="000000" w:sz="8" w:space="0"/>
              <w:bottom w:val="single" w:color="000000" w:sz="8" w:space="0"/>
              <w:right w:val="single" w:color="000000" w:sz="8" w:space="0"/>
            </w:tcBorders>
            <w:noWrap w:val="0"/>
            <w:vAlign w:val="center"/>
          </w:tcPr>
          <w:p w14:paraId="09EDE704">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下派</w:t>
            </w:r>
            <w:r>
              <w:rPr>
                <w:rFonts w:eastAsia="方正仿宋_GBK"/>
                <w:color w:val="000000"/>
                <w:kern w:val="0"/>
                <w:sz w:val="24"/>
                <w:lang w:bidi="ar"/>
              </w:rPr>
              <w:t>“</w:t>
            </w:r>
            <w:r>
              <w:rPr>
                <w:rFonts w:hAnsi="方正仿宋_GBK" w:eastAsia="方正仿宋_GBK"/>
                <w:color w:val="000000"/>
                <w:kern w:val="0"/>
                <w:sz w:val="24"/>
                <w:lang w:bidi="ar"/>
              </w:rPr>
              <w:t>县聘乡用</w:t>
            </w:r>
            <w:r>
              <w:rPr>
                <w:rFonts w:eastAsia="方正仿宋_GBK"/>
                <w:color w:val="000000"/>
                <w:kern w:val="0"/>
                <w:sz w:val="24"/>
                <w:lang w:bidi="ar"/>
              </w:rPr>
              <w:t>”</w:t>
            </w:r>
            <w:r>
              <w:rPr>
                <w:rFonts w:hAnsi="方正仿宋_GBK" w:eastAsia="方正仿宋_GBK"/>
                <w:color w:val="000000"/>
                <w:kern w:val="0"/>
                <w:sz w:val="24"/>
                <w:lang w:bidi="ar"/>
              </w:rPr>
              <w:t>人员累计数量</w:t>
            </w:r>
          </w:p>
        </w:tc>
        <w:tc>
          <w:tcPr>
            <w:tcW w:w="788" w:type="dxa"/>
            <w:tcBorders>
              <w:top w:val="single" w:color="000000" w:sz="8" w:space="0"/>
              <w:left w:val="single" w:color="000000" w:sz="8" w:space="0"/>
              <w:bottom w:val="single" w:color="000000" w:sz="8" w:space="0"/>
              <w:right w:val="single" w:color="000000" w:sz="8" w:space="0"/>
            </w:tcBorders>
            <w:noWrap w:val="0"/>
            <w:vAlign w:val="center"/>
          </w:tcPr>
          <w:p w14:paraId="7FBB329F">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人</w:t>
            </w:r>
          </w:p>
        </w:tc>
        <w:tc>
          <w:tcPr>
            <w:tcW w:w="1350" w:type="dxa"/>
            <w:tcBorders>
              <w:top w:val="single" w:color="000000" w:sz="8" w:space="0"/>
              <w:left w:val="single" w:color="000000" w:sz="8" w:space="0"/>
              <w:bottom w:val="single" w:color="000000" w:sz="8" w:space="0"/>
              <w:right w:val="single" w:color="000000" w:sz="8" w:space="0"/>
            </w:tcBorders>
            <w:noWrap/>
            <w:vAlign w:val="center"/>
          </w:tcPr>
          <w:p w14:paraId="545304D5">
            <w:pPr>
              <w:widowControl/>
              <w:spacing w:line="380" w:lineRule="exact"/>
              <w:jc w:val="center"/>
              <w:textAlignment w:val="center"/>
              <w:rPr>
                <w:color w:val="000000"/>
                <w:sz w:val="24"/>
              </w:rPr>
            </w:pPr>
            <w:r>
              <w:rPr>
                <w:color w:val="000000"/>
                <w:kern w:val="0"/>
                <w:sz w:val="24"/>
                <w:lang w:bidi="ar"/>
              </w:rPr>
              <w:t>63</w:t>
            </w:r>
          </w:p>
        </w:tc>
        <w:tc>
          <w:tcPr>
            <w:tcW w:w="1097" w:type="dxa"/>
            <w:tcBorders>
              <w:top w:val="single" w:color="000000" w:sz="8" w:space="0"/>
              <w:left w:val="single" w:color="000000" w:sz="8" w:space="0"/>
              <w:bottom w:val="single" w:color="000000" w:sz="8" w:space="0"/>
              <w:right w:val="single" w:color="000000" w:sz="8" w:space="0"/>
            </w:tcBorders>
            <w:noWrap/>
            <w:vAlign w:val="center"/>
          </w:tcPr>
          <w:p w14:paraId="726CB55A">
            <w:pPr>
              <w:widowControl/>
              <w:spacing w:line="380" w:lineRule="exact"/>
              <w:jc w:val="center"/>
              <w:textAlignment w:val="center"/>
              <w:rPr>
                <w:color w:val="000000"/>
                <w:sz w:val="24"/>
              </w:rPr>
            </w:pPr>
            <w:r>
              <w:rPr>
                <w:color w:val="000000"/>
                <w:kern w:val="0"/>
                <w:sz w:val="24"/>
                <w:lang w:bidi="ar"/>
              </w:rPr>
              <w:t>81</w:t>
            </w:r>
          </w:p>
        </w:tc>
        <w:tc>
          <w:tcPr>
            <w:tcW w:w="1250" w:type="dxa"/>
            <w:tcBorders>
              <w:top w:val="single" w:color="000000" w:sz="8" w:space="0"/>
              <w:left w:val="single" w:color="000000" w:sz="8" w:space="0"/>
              <w:bottom w:val="single" w:color="000000" w:sz="8" w:space="0"/>
              <w:right w:val="single" w:color="000000" w:sz="8" w:space="0"/>
            </w:tcBorders>
            <w:noWrap/>
            <w:vAlign w:val="center"/>
          </w:tcPr>
          <w:p w14:paraId="286471B3">
            <w:pPr>
              <w:widowControl/>
              <w:spacing w:line="380" w:lineRule="exact"/>
              <w:jc w:val="center"/>
              <w:textAlignment w:val="center"/>
              <w:rPr>
                <w:color w:val="000000"/>
                <w:sz w:val="24"/>
              </w:rPr>
            </w:pPr>
            <w:r>
              <w:rPr>
                <w:color w:val="000000"/>
                <w:kern w:val="0"/>
                <w:sz w:val="24"/>
                <w:lang w:bidi="ar"/>
              </w:rPr>
              <w:t>111</w:t>
            </w:r>
          </w:p>
        </w:tc>
      </w:tr>
      <w:tr w14:paraId="539A92DD">
        <w:tblPrEx>
          <w:tblCellMar>
            <w:top w:w="0" w:type="dxa"/>
            <w:left w:w="108" w:type="dxa"/>
            <w:bottom w:w="0" w:type="dxa"/>
            <w:right w:w="108" w:type="dxa"/>
          </w:tblCellMar>
        </w:tblPrEx>
        <w:trPr>
          <w:trHeight w:val="650" w:hRule="atLeast"/>
          <w:jc w:val="center"/>
        </w:trPr>
        <w:tc>
          <w:tcPr>
            <w:tcW w:w="862" w:type="dxa"/>
            <w:tcBorders>
              <w:top w:val="single" w:color="000000" w:sz="8" w:space="0"/>
              <w:left w:val="single" w:color="000000" w:sz="8" w:space="0"/>
              <w:bottom w:val="single" w:color="000000" w:sz="8" w:space="0"/>
              <w:right w:val="single" w:color="000000" w:sz="8" w:space="0"/>
            </w:tcBorders>
            <w:noWrap/>
            <w:vAlign w:val="center"/>
          </w:tcPr>
          <w:p w14:paraId="4D27F60F">
            <w:pPr>
              <w:widowControl/>
              <w:spacing w:line="380" w:lineRule="exact"/>
              <w:jc w:val="center"/>
              <w:textAlignment w:val="center"/>
              <w:rPr>
                <w:color w:val="000000"/>
                <w:sz w:val="24"/>
              </w:rPr>
            </w:pPr>
            <w:r>
              <w:rPr>
                <w:color w:val="000000"/>
                <w:kern w:val="0"/>
                <w:sz w:val="24"/>
                <w:lang w:bidi="ar"/>
              </w:rPr>
              <w:t>3</w:t>
            </w:r>
          </w:p>
        </w:tc>
        <w:tc>
          <w:tcPr>
            <w:tcW w:w="3887" w:type="dxa"/>
            <w:tcBorders>
              <w:top w:val="single" w:color="000000" w:sz="8" w:space="0"/>
              <w:left w:val="single" w:color="000000" w:sz="8" w:space="0"/>
              <w:bottom w:val="single" w:color="000000" w:sz="8" w:space="0"/>
              <w:right w:val="single" w:color="000000" w:sz="8" w:space="0"/>
            </w:tcBorders>
            <w:noWrap w:val="0"/>
            <w:vAlign w:val="center"/>
          </w:tcPr>
          <w:p w14:paraId="1AF691D9">
            <w:pPr>
              <w:widowControl/>
              <w:spacing w:line="380" w:lineRule="exact"/>
              <w:jc w:val="center"/>
              <w:textAlignment w:val="center"/>
              <w:rPr>
                <w:rFonts w:eastAsia="方正仿宋_GBK"/>
                <w:b/>
                <w:bCs/>
                <w:color w:val="000000"/>
                <w:sz w:val="24"/>
                <w:u w:val="single"/>
              </w:rPr>
            </w:pPr>
            <w:r>
              <w:rPr>
                <w:rFonts w:hint="eastAsia" w:hAnsi="方正仿宋_GBK" w:eastAsia="方正仿宋_GBK"/>
                <w:color w:val="000000"/>
                <w:kern w:val="0"/>
                <w:sz w:val="24"/>
                <w:lang w:bidi="ar"/>
              </w:rPr>
              <w:t>下派“乡聘村用”人员累计数量（招聘“大学生乡村医生”）</w:t>
            </w:r>
          </w:p>
        </w:tc>
        <w:tc>
          <w:tcPr>
            <w:tcW w:w="788" w:type="dxa"/>
            <w:tcBorders>
              <w:top w:val="single" w:color="000000" w:sz="8" w:space="0"/>
              <w:left w:val="single" w:color="000000" w:sz="8" w:space="0"/>
              <w:bottom w:val="single" w:color="000000" w:sz="8" w:space="0"/>
              <w:right w:val="single" w:color="000000" w:sz="8" w:space="0"/>
            </w:tcBorders>
            <w:noWrap w:val="0"/>
            <w:vAlign w:val="center"/>
          </w:tcPr>
          <w:p w14:paraId="139FE701">
            <w:pPr>
              <w:widowControl/>
              <w:spacing w:line="380" w:lineRule="exact"/>
              <w:jc w:val="center"/>
              <w:textAlignment w:val="center"/>
              <w:rPr>
                <w:rFonts w:eastAsia="方正仿宋_GBK"/>
                <w:b/>
                <w:bCs/>
                <w:color w:val="000000"/>
                <w:sz w:val="24"/>
                <w:u w:val="single"/>
              </w:rPr>
            </w:pPr>
            <w:r>
              <w:rPr>
                <w:rFonts w:hint="eastAsia" w:hAnsi="方正仿宋_GBK" w:eastAsia="方正仿宋_GBK"/>
                <w:color w:val="000000"/>
                <w:kern w:val="0"/>
                <w:sz w:val="24"/>
                <w:lang w:bidi="ar"/>
              </w:rPr>
              <w:t>人</w:t>
            </w:r>
          </w:p>
        </w:tc>
        <w:tc>
          <w:tcPr>
            <w:tcW w:w="1350" w:type="dxa"/>
            <w:tcBorders>
              <w:top w:val="single" w:color="000000" w:sz="8" w:space="0"/>
              <w:left w:val="single" w:color="000000" w:sz="8" w:space="0"/>
              <w:bottom w:val="single" w:color="000000" w:sz="8" w:space="0"/>
              <w:right w:val="single" w:color="000000" w:sz="8" w:space="0"/>
            </w:tcBorders>
            <w:noWrap/>
            <w:vAlign w:val="center"/>
          </w:tcPr>
          <w:p w14:paraId="6CBC58FD">
            <w:pPr>
              <w:widowControl/>
              <w:spacing w:line="380" w:lineRule="exact"/>
              <w:jc w:val="center"/>
              <w:textAlignment w:val="center"/>
              <w:rPr>
                <w:rFonts w:hAnsi="方正仿宋_GBK" w:eastAsia="方正仿宋_GBK"/>
                <w:color w:val="000000"/>
                <w:kern w:val="0"/>
                <w:sz w:val="24"/>
                <w:lang w:bidi="ar"/>
              </w:rPr>
            </w:pPr>
            <w:r>
              <w:rPr>
                <w:rFonts w:hint="eastAsia" w:hAnsi="方正仿宋_GBK" w:eastAsia="方正仿宋_GBK"/>
                <w:color w:val="000000"/>
                <w:kern w:val="0"/>
                <w:sz w:val="24"/>
                <w:lang w:bidi="ar"/>
              </w:rPr>
              <w:t>7</w:t>
            </w:r>
          </w:p>
        </w:tc>
        <w:tc>
          <w:tcPr>
            <w:tcW w:w="1097" w:type="dxa"/>
            <w:tcBorders>
              <w:top w:val="single" w:color="000000" w:sz="8" w:space="0"/>
              <w:left w:val="single" w:color="000000" w:sz="8" w:space="0"/>
              <w:bottom w:val="single" w:color="000000" w:sz="8" w:space="0"/>
              <w:right w:val="single" w:color="000000" w:sz="8" w:space="0"/>
            </w:tcBorders>
            <w:noWrap/>
            <w:vAlign w:val="center"/>
          </w:tcPr>
          <w:p w14:paraId="250ADE0D">
            <w:pPr>
              <w:widowControl/>
              <w:spacing w:line="380" w:lineRule="exact"/>
              <w:jc w:val="center"/>
              <w:textAlignment w:val="center"/>
              <w:rPr>
                <w:rFonts w:hint="eastAsia" w:hAnsi="方正仿宋_GBK" w:eastAsia="方正仿宋_GBK"/>
                <w:color w:val="000000"/>
                <w:kern w:val="0"/>
                <w:sz w:val="24"/>
                <w:lang w:bidi="ar"/>
              </w:rPr>
            </w:pPr>
            <w:r>
              <w:rPr>
                <w:rFonts w:hint="eastAsia" w:hAnsi="方正仿宋_GBK" w:eastAsia="方正仿宋_GBK"/>
                <w:color w:val="000000"/>
                <w:kern w:val="0"/>
                <w:sz w:val="24"/>
                <w:lang w:bidi="ar"/>
              </w:rPr>
              <w:t>12</w:t>
            </w:r>
          </w:p>
        </w:tc>
        <w:tc>
          <w:tcPr>
            <w:tcW w:w="1250" w:type="dxa"/>
            <w:tcBorders>
              <w:top w:val="single" w:color="000000" w:sz="8" w:space="0"/>
              <w:left w:val="single" w:color="000000" w:sz="8" w:space="0"/>
              <w:bottom w:val="single" w:color="000000" w:sz="8" w:space="0"/>
              <w:right w:val="single" w:color="000000" w:sz="8" w:space="0"/>
            </w:tcBorders>
            <w:noWrap w:val="0"/>
            <w:vAlign w:val="center"/>
          </w:tcPr>
          <w:p w14:paraId="33EEA546">
            <w:pPr>
              <w:widowControl/>
              <w:spacing w:line="380" w:lineRule="exact"/>
              <w:jc w:val="center"/>
              <w:textAlignment w:val="center"/>
              <w:rPr>
                <w:rFonts w:hint="eastAsia" w:hAnsi="方正仿宋_GBK" w:eastAsia="方正仿宋_GBK"/>
                <w:color w:val="000000"/>
                <w:kern w:val="0"/>
                <w:sz w:val="24"/>
                <w:lang w:bidi="ar"/>
              </w:rPr>
            </w:pPr>
            <w:r>
              <w:rPr>
                <w:rFonts w:hint="eastAsia" w:hAnsi="方正仿宋_GBK" w:eastAsia="方正仿宋_GBK"/>
                <w:color w:val="000000"/>
                <w:kern w:val="0"/>
                <w:sz w:val="24"/>
                <w:lang w:bidi="ar"/>
              </w:rPr>
              <w:t>18</w:t>
            </w:r>
          </w:p>
        </w:tc>
      </w:tr>
      <w:tr w14:paraId="3F834A98">
        <w:tblPrEx>
          <w:tblCellMar>
            <w:top w:w="0" w:type="dxa"/>
            <w:left w:w="108" w:type="dxa"/>
            <w:bottom w:w="0" w:type="dxa"/>
            <w:right w:w="108" w:type="dxa"/>
          </w:tblCellMar>
        </w:tblPrEx>
        <w:trPr>
          <w:trHeight w:val="595" w:hRule="atLeast"/>
          <w:jc w:val="center"/>
        </w:trPr>
        <w:tc>
          <w:tcPr>
            <w:tcW w:w="862" w:type="dxa"/>
            <w:tcBorders>
              <w:top w:val="single" w:color="000000" w:sz="8" w:space="0"/>
              <w:left w:val="single" w:color="000000" w:sz="8" w:space="0"/>
              <w:bottom w:val="single" w:color="000000" w:sz="8" w:space="0"/>
              <w:right w:val="single" w:color="000000" w:sz="8" w:space="0"/>
            </w:tcBorders>
            <w:noWrap/>
            <w:vAlign w:val="center"/>
          </w:tcPr>
          <w:p w14:paraId="1FA4A78D">
            <w:pPr>
              <w:widowControl/>
              <w:spacing w:line="380" w:lineRule="exact"/>
              <w:jc w:val="center"/>
              <w:textAlignment w:val="center"/>
              <w:rPr>
                <w:rFonts w:hint="eastAsia" w:eastAsia="方正仿宋_GBK"/>
                <w:color w:val="000000"/>
                <w:szCs w:val="20"/>
              </w:rPr>
            </w:pPr>
            <w:r>
              <w:rPr>
                <w:color w:val="000000"/>
                <w:kern w:val="0"/>
                <w:sz w:val="24"/>
                <w:lang w:bidi="ar"/>
              </w:rPr>
              <w:t>4</w:t>
            </w:r>
          </w:p>
        </w:tc>
        <w:tc>
          <w:tcPr>
            <w:tcW w:w="3887" w:type="dxa"/>
            <w:tcBorders>
              <w:top w:val="single" w:color="000000" w:sz="8" w:space="0"/>
              <w:left w:val="nil"/>
              <w:bottom w:val="single" w:color="000000" w:sz="8" w:space="0"/>
              <w:right w:val="single" w:color="000000" w:sz="8" w:space="0"/>
            </w:tcBorders>
            <w:noWrap w:val="0"/>
            <w:vAlign w:val="center"/>
          </w:tcPr>
          <w:p w14:paraId="290319C4">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县域</w:t>
            </w:r>
            <w:r>
              <w:rPr>
                <w:rFonts w:eastAsia="方正仿宋_GBK"/>
                <w:color w:val="000000"/>
                <w:kern w:val="0"/>
                <w:sz w:val="24"/>
                <w:lang w:bidi="ar"/>
              </w:rPr>
              <w:t>“</w:t>
            </w:r>
            <w:r>
              <w:rPr>
                <w:rFonts w:hAnsi="方正仿宋_GBK" w:eastAsia="方正仿宋_GBK"/>
                <w:color w:val="000000"/>
                <w:kern w:val="0"/>
                <w:sz w:val="24"/>
                <w:lang w:bidi="ar"/>
              </w:rPr>
              <w:t>七大智能平台</w:t>
            </w:r>
            <w:r>
              <w:rPr>
                <w:rFonts w:eastAsia="方正仿宋_GBK"/>
                <w:color w:val="000000"/>
                <w:kern w:val="0"/>
                <w:sz w:val="24"/>
                <w:lang w:bidi="ar"/>
              </w:rPr>
              <w:t>”</w:t>
            </w:r>
            <w:r>
              <w:rPr>
                <w:rFonts w:hAnsi="方正仿宋_GBK" w:eastAsia="方正仿宋_GBK"/>
                <w:color w:val="000000"/>
                <w:kern w:val="0"/>
                <w:sz w:val="24"/>
                <w:lang w:bidi="ar"/>
              </w:rPr>
              <w:t>建设覆盖率</w:t>
            </w:r>
          </w:p>
        </w:tc>
        <w:tc>
          <w:tcPr>
            <w:tcW w:w="788" w:type="dxa"/>
            <w:tcBorders>
              <w:top w:val="single" w:color="000000" w:sz="8" w:space="0"/>
              <w:left w:val="nil"/>
              <w:bottom w:val="single" w:color="000000" w:sz="8" w:space="0"/>
              <w:right w:val="single" w:color="000000" w:sz="8" w:space="0"/>
            </w:tcBorders>
            <w:noWrap w:val="0"/>
            <w:vAlign w:val="center"/>
          </w:tcPr>
          <w:p w14:paraId="20FA5777">
            <w:pPr>
              <w:widowControl/>
              <w:spacing w:line="380" w:lineRule="exact"/>
              <w:jc w:val="center"/>
              <w:textAlignment w:val="center"/>
              <w:rPr>
                <w:color w:val="000000"/>
                <w:sz w:val="24"/>
              </w:rPr>
            </w:pPr>
            <w:r>
              <w:rPr>
                <w:color w:val="000000"/>
                <w:kern w:val="0"/>
                <w:sz w:val="24"/>
                <w:lang w:bidi="ar"/>
              </w:rPr>
              <w:t>%</w:t>
            </w:r>
          </w:p>
        </w:tc>
        <w:tc>
          <w:tcPr>
            <w:tcW w:w="1350" w:type="dxa"/>
            <w:tcBorders>
              <w:top w:val="single" w:color="000000" w:sz="8" w:space="0"/>
              <w:left w:val="nil"/>
              <w:bottom w:val="single" w:color="000000" w:sz="8" w:space="0"/>
              <w:right w:val="single" w:color="000000" w:sz="8" w:space="0"/>
            </w:tcBorders>
            <w:noWrap/>
            <w:vAlign w:val="center"/>
          </w:tcPr>
          <w:p w14:paraId="4D83BCBA">
            <w:pPr>
              <w:widowControl/>
              <w:spacing w:line="380" w:lineRule="exact"/>
              <w:jc w:val="center"/>
              <w:textAlignment w:val="center"/>
              <w:rPr>
                <w:color w:val="000000"/>
                <w:sz w:val="24"/>
              </w:rPr>
            </w:pPr>
            <w:r>
              <w:rPr>
                <w:color w:val="000000"/>
                <w:kern w:val="0"/>
                <w:sz w:val="24"/>
                <w:lang w:bidi="ar"/>
              </w:rPr>
              <w:t>57</w:t>
            </w:r>
          </w:p>
        </w:tc>
        <w:tc>
          <w:tcPr>
            <w:tcW w:w="1097" w:type="dxa"/>
            <w:tcBorders>
              <w:top w:val="single" w:color="000000" w:sz="8" w:space="0"/>
              <w:left w:val="nil"/>
              <w:bottom w:val="single" w:color="000000" w:sz="8" w:space="0"/>
              <w:right w:val="single" w:color="000000" w:sz="8" w:space="0"/>
            </w:tcBorders>
            <w:noWrap/>
            <w:vAlign w:val="center"/>
          </w:tcPr>
          <w:p w14:paraId="3835FDCC">
            <w:pPr>
              <w:widowControl/>
              <w:spacing w:line="380" w:lineRule="exact"/>
              <w:jc w:val="center"/>
              <w:textAlignment w:val="center"/>
              <w:rPr>
                <w:color w:val="000000"/>
                <w:sz w:val="24"/>
              </w:rPr>
            </w:pPr>
            <w:r>
              <w:rPr>
                <w:color w:val="000000"/>
                <w:kern w:val="0"/>
                <w:sz w:val="24"/>
                <w:lang w:bidi="ar"/>
              </w:rPr>
              <w:t>100</w:t>
            </w:r>
          </w:p>
        </w:tc>
        <w:tc>
          <w:tcPr>
            <w:tcW w:w="1250" w:type="dxa"/>
            <w:tcBorders>
              <w:top w:val="single" w:color="000000" w:sz="8" w:space="0"/>
              <w:left w:val="nil"/>
              <w:bottom w:val="single" w:color="000000" w:sz="8" w:space="0"/>
              <w:right w:val="single" w:color="000000" w:sz="8" w:space="0"/>
            </w:tcBorders>
            <w:noWrap w:val="0"/>
            <w:vAlign w:val="center"/>
          </w:tcPr>
          <w:p w14:paraId="6C306A10">
            <w:pPr>
              <w:widowControl/>
              <w:spacing w:line="380" w:lineRule="exact"/>
              <w:jc w:val="center"/>
              <w:textAlignment w:val="center"/>
              <w:rPr>
                <w:color w:val="000000"/>
                <w:sz w:val="24"/>
              </w:rPr>
            </w:pPr>
            <w:r>
              <w:rPr>
                <w:color w:val="000000"/>
                <w:kern w:val="0"/>
                <w:sz w:val="24"/>
                <w:lang w:bidi="ar"/>
              </w:rPr>
              <w:t>100</w:t>
            </w:r>
          </w:p>
        </w:tc>
      </w:tr>
      <w:tr w14:paraId="3DD018E2">
        <w:tblPrEx>
          <w:tblCellMar>
            <w:top w:w="0" w:type="dxa"/>
            <w:left w:w="108" w:type="dxa"/>
            <w:bottom w:w="0" w:type="dxa"/>
            <w:right w:w="108" w:type="dxa"/>
          </w:tblCellMar>
        </w:tblPrEx>
        <w:trPr>
          <w:trHeight w:val="585" w:hRule="atLeast"/>
          <w:jc w:val="center"/>
        </w:trPr>
        <w:tc>
          <w:tcPr>
            <w:tcW w:w="862" w:type="dxa"/>
            <w:tcBorders>
              <w:top w:val="nil"/>
              <w:left w:val="single" w:color="000000" w:sz="8" w:space="0"/>
              <w:bottom w:val="single" w:color="000000" w:sz="8" w:space="0"/>
              <w:right w:val="single" w:color="000000" w:sz="8" w:space="0"/>
            </w:tcBorders>
            <w:noWrap/>
            <w:vAlign w:val="center"/>
          </w:tcPr>
          <w:p w14:paraId="5C22E681">
            <w:pPr>
              <w:widowControl/>
              <w:spacing w:line="380" w:lineRule="exact"/>
              <w:jc w:val="center"/>
              <w:textAlignment w:val="center"/>
              <w:rPr>
                <w:rFonts w:hint="eastAsia"/>
                <w:color w:val="000000"/>
                <w:sz w:val="24"/>
              </w:rPr>
            </w:pPr>
            <w:r>
              <w:rPr>
                <w:rFonts w:hint="eastAsia"/>
                <w:color w:val="000000"/>
                <w:sz w:val="24"/>
              </w:rPr>
              <w:t>5</w:t>
            </w:r>
          </w:p>
        </w:tc>
        <w:tc>
          <w:tcPr>
            <w:tcW w:w="3887" w:type="dxa"/>
            <w:tcBorders>
              <w:top w:val="nil"/>
              <w:left w:val="nil"/>
              <w:bottom w:val="single" w:color="000000" w:sz="8" w:space="0"/>
              <w:right w:val="single" w:color="000000" w:sz="8" w:space="0"/>
            </w:tcBorders>
            <w:noWrap w:val="0"/>
            <w:vAlign w:val="center"/>
          </w:tcPr>
          <w:p w14:paraId="17E31528">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县域</w:t>
            </w:r>
            <w:r>
              <w:rPr>
                <w:rFonts w:eastAsia="方正仿宋_GBK"/>
                <w:color w:val="000000"/>
                <w:kern w:val="0"/>
                <w:sz w:val="24"/>
                <w:lang w:bidi="ar"/>
              </w:rPr>
              <w:t>“</w:t>
            </w:r>
            <w:r>
              <w:rPr>
                <w:rFonts w:hAnsi="方正仿宋_GBK" w:eastAsia="方正仿宋_GBK"/>
                <w:color w:val="000000"/>
                <w:kern w:val="0"/>
                <w:sz w:val="24"/>
                <w:lang w:bidi="ar"/>
              </w:rPr>
              <w:t>六大共享中心</w:t>
            </w:r>
            <w:r>
              <w:rPr>
                <w:rFonts w:eastAsia="方正仿宋_GBK"/>
                <w:color w:val="000000"/>
                <w:kern w:val="0"/>
                <w:sz w:val="24"/>
                <w:lang w:bidi="ar"/>
              </w:rPr>
              <w:t>”</w:t>
            </w:r>
            <w:r>
              <w:rPr>
                <w:rFonts w:hAnsi="方正仿宋_GBK" w:eastAsia="方正仿宋_GBK"/>
                <w:color w:val="000000"/>
                <w:kern w:val="0"/>
                <w:sz w:val="24"/>
                <w:lang w:bidi="ar"/>
              </w:rPr>
              <w:t>建设覆盖率</w:t>
            </w:r>
          </w:p>
        </w:tc>
        <w:tc>
          <w:tcPr>
            <w:tcW w:w="788" w:type="dxa"/>
            <w:tcBorders>
              <w:top w:val="nil"/>
              <w:left w:val="nil"/>
              <w:bottom w:val="single" w:color="000000" w:sz="8" w:space="0"/>
              <w:right w:val="single" w:color="000000" w:sz="8" w:space="0"/>
            </w:tcBorders>
            <w:noWrap w:val="0"/>
            <w:vAlign w:val="center"/>
          </w:tcPr>
          <w:p w14:paraId="0DDF435A">
            <w:pPr>
              <w:widowControl/>
              <w:spacing w:line="380" w:lineRule="exact"/>
              <w:jc w:val="center"/>
              <w:textAlignment w:val="center"/>
              <w:rPr>
                <w:color w:val="000000"/>
                <w:sz w:val="24"/>
              </w:rPr>
            </w:pPr>
            <w:r>
              <w:rPr>
                <w:color w:val="000000"/>
                <w:kern w:val="0"/>
                <w:sz w:val="24"/>
                <w:lang w:bidi="ar"/>
              </w:rPr>
              <w:t>%</w:t>
            </w:r>
          </w:p>
        </w:tc>
        <w:tc>
          <w:tcPr>
            <w:tcW w:w="1350" w:type="dxa"/>
            <w:tcBorders>
              <w:top w:val="nil"/>
              <w:left w:val="nil"/>
              <w:bottom w:val="single" w:color="000000" w:sz="8" w:space="0"/>
              <w:right w:val="single" w:color="000000" w:sz="8" w:space="0"/>
            </w:tcBorders>
            <w:noWrap/>
            <w:vAlign w:val="center"/>
          </w:tcPr>
          <w:p w14:paraId="4BFC8406">
            <w:pPr>
              <w:widowControl/>
              <w:spacing w:line="380" w:lineRule="exact"/>
              <w:jc w:val="center"/>
              <w:textAlignment w:val="center"/>
              <w:rPr>
                <w:color w:val="000000"/>
                <w:sz w:val="24"/>
              </w:rPr>
            </w:pPr>
            <w:r>
              <w:rPr>
                <w:color w:val="000000"/>
                <w:sz w:val="24"/>
              </w:rPr>
              <w:t>83</w:t>
            </w:r>
          </w:p>
        </w:tc>
        <w:tc>
          <w:tcPr>
            <w:tcW w:w="1097" w:type="dxa"/>
            <w:tcBorders>
              <w:top w:val="nil"/>
              <w:left w:val="nil"/>
              <w:bottom w:val="single" w:color="000000" w:sz="8" w:space="0"/>
              <w:right w:val="single" w:color="000000" w:sz="8" w:space="0"/>
            </w:tcBorders>
            <w:noWrap/>
            <w:vAlign w:val="center"/>
          </w:tcPr>
          <w:p w14:paraId="72FEA3BA">
            <w:pPr>
              <w:widowControl/>
              <w:spacing w:line="380" w:lineRule="exact"/>
              <w:jc w:val="center"/>
              <w:textAlignment w:val="center"/>
              <w:rPr>
                <w:color w:val="000000"/>
                <w:sz w:val="24"/>
              </w:rPr>
            </w:pPr>
            <w:r>
              <w:rPr>
                <w:color w:val="000000"/>
                <w:kern w:val="0"/>
                <w:sz w:val="24"/>
                <w:lang w:bidi="ar"/>
              </w:rPr>
              <w:t>100</w:t>
            </w:r>
          </w:p>
        </w:tc>
        <w:tc>
          <w:tcPr>
            <w:tcW w:w="1250" w:type="dxa"/>
            <w:tcBorders>
              <w:top w:val="nil"/>
              <w:left w:val="nil"/>
              <w:bottom w:val="single" w:color="000000" w:sz="8" w:space="0"/>
              <w:right w:val="single" w:color="000000" w:sz="8" w:space="0"/>
            </w:tcBorders>
            <w:noWrap w:val="0"/>
            <w:vAlign w:val="center"/>
          </w:tcPr>
          <w:p w14:paraId="5A30CBE9">
            <w:pPr>
              <w:widowControl/>
              <w:spacing w:line="380" w:lineRule="exact"/>
              <w:jc w:val="center"/>
              <w:textAlignment w:val="center"/>
              <w:rPr>
                <w:color w:val="000000"/>
                <w:sz w:val="24"/>
              </w:rPr>
            </w:pPr>
            <w:r>
              <w:rPr>
                <w:color w:val="000000"/>
                <w:kern w:val="0"/>
                <w:sz w:val="24"/>
                <w:lang w:bidi="ar"/>
              </w:rPr>
              <w:t>100</w:t>
            </w:r>
          </w:p>
        </w:tc>
      </w:tr>
      <w:tr w14:paraId="7AC1F5EC">
        <w:tblPrEx>
          <w:tblCellMar>
            <w:top w:w="0" w:type="dxa"/>
            <w:left w:w="108" w:type="dxa"/>
            <w:bottom w:w="0" w:type="dxa"/>
            <w:right w:w="108" w:type="dxa"/>
          </w:tblCellMar>
        </w:tblPrEx>
        <w:trPr>
          <w:trHeight w:val="720" w:hRule="atLeast"/>
          <w:jc w:val="center"/>
        </w:trPr>
        <w:tc>
          <w:tcPr>
            <w:tcW w:w="862" w:type="dxa"/>
            <w:tcBorders>
              <w:top w:val="nil"/>
              <w:left w:val="single" w:color="000000" w:sz="8" w:space="0"/>
              <w:bottom w:val="single" w:color="000000" w:sz="8" w:space="0"/>
              <w:right w:val="single" w:color="000000" w:sz="8" w:space="0"/>
            </w:tcBorders>
            <w:noWrap/>
            <w:vAlign w:val="center"/>
          </w:tcPr>
          <w:p w14:paraId="7F6A603A">
            <w:pPr>
              <w:widowControl/>
              <w:spacing w:line="380" w:lineRule="exact"/>
              <w:jc w:val="center"/>
              <w:textAlignment w:val="center"/>
              <w:rPr>
                <w:rFonts w:hint="eastAsia"/>
                <w:color w:val="000000"/>
                <w:sz w:val="24"/>
              </w:rPr>
            </w:pPr>
            <w:r>
              <w:rPr>
                <w:rFonts w:hint="eastAsia"/>
                <w:color w:val="000000"/>
                <w:sz w:val="24"/>
              </w:rPr>
              <w:t>6</w:t>
            </w:r>
          </w:p>
        </w:tc>
        <w:tc>
          <w:tcPr>
            <w:tcW w:w="3887" w:type="dxa"/>
            <w:tcBorders>
              <w:top w:val="nil"/>
              <w:left w:val="nil"/>
              <w:bottom w:val="single" w:color="000000" w:sz="8" w:space="0"/>
              <w:right w:val="single" w:color="000000" w:sz="8" w:space="0"/>
            </w:tcBorders>
            <w:noWrap w:val="0"/>
            <w:vAlign w:val="center"/>
          </w:tcPr>
          <w:p w14:paraId="0A3460AA">
            <w:pPr>
              <w:widowControl/>
              <w:spacing w:line="380" w:lineRule="exact"/>
              <w:jc w:val="center"/>
              <w:textAlignment w:val="center"/>
              <w:rPr>
                <w:rFonts w:eastAsia="方正仿宋_GBK"/>
                <w:color w:val="000000"/>
                <w:sz w:val="24"/>
              </w:rPr>
            </w:pPr>
            <w:r>
              <w:rPr>
                <w:rFonts w:eastAsia="方正仿宋_GBK"/>
                <w:color w:val="000000"/>
                <w:kern w:val="0"/>
                <w:sz w:val="24"/>
                <w:lang w:bidi="ar"/>
              </w:rPr>
              <w:t>“</w:t>
            </w:r>
            <w:r>
              <w:rPr>
                <w:rFonts w:hAnsi="方正仿宋_GBK" w:eastAsia="方正仿宋_GBK"/>
                <w:color w:val="000000"/>
                <w:kern w:val="0"/>
                <w:sz w:val="24"/>
                <w:lang w:bidi="ar"/>
              </w:rPr>
              <w:t>基层检查、上级诊断</w:t>
            </w:r>
            <w:r>
              <w:rPr>
                <w:rFonts w:eastAsia="方正仿宋_GBK"/>
                <w:color w:val="000000"/>
                <w:kern w:val="0"/>
                <w:sz w:val="24"/>
                <w:lang w:bidi="ar"/>
              </w:rPr>
              <w:t>”</w:t>
            </w:r>
            <w:r>
              <w:rPr>
                <w:rFonts w:hAnsi="方正仿宋_GBK" w:eastAsia="方正仿宋_GBK"/>
                <w:color w:val="000000"/>
                <w:kern w:val="0"/>
                <w:sz w:val="24"/>
                <w:lang w:bidi="ar"/>
              </w:rPr>
              <w:t>患者数</w:t>
            </w:r>
          </w:p>
        </w:tc>
        <w:tc>
          <w:tcPr>
            <w:tcW w:w="788" w:type="dxa"/>
            <w:tcBorders>
              <w:top w:val="nil"/>
              <w:left w:val="nil"/>
              <w:bottom w:val="single" w:color="000000" w:sz="8" w:space="0"/>
              <w:right w:val="single" w:color="000000" w:sz="8" w:space="0"/>
            </w:tcBorders>
            <w:noWrap w:val="0"/>
            <w:vAlign w:val="center"/>
          </w:tcPr>
          <w:p w14:paraId="231EEBD2">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万人</w:t>
            </w:r>
          </w:p>
        </w:tc>
        <w:tc>
          <w:tcPr>
            <w:tcW w:w="1350" w:type="dxa"/>
            <w:tcBorders>
              <w:top w:val="nil"/>
              <w:left w:val="nil"/>
              <w:bottom w:val="single" w:color="000000" w:sz="8" w:space="0"/>
              <w:right w:val="single" w:color="000000" w:sz="8" w:space="0"/>
            </w:tcBorders>
            <w:noWrap/>
            <w:vAlign w:val="center"/>
          </w:tcPr>
          <w:p w14:paraId="128F61F2">
            <w:pPr>
              <w:widowControl/>
              <w:spacing w:line="380" w:lineRule="exact"/>
              <w:jc w:val="center"/>
              <w:textAlignment w:val="center"/>
              <w:rPr>
                <w:color w:val="000000"/>
                <w:sz w:val="24"/>
              </w:rPr>
            </w:pPr>
            <w:r>
              <w:rPr>
                <w:color w:val="000000"/>
                <w:kern w:val="0"/>
                <w:sz w:val="24"/>
                <w:lang w:bidi="ar"/>
              </w:rPr>
              <w:t>18.1</w:t>
            </w:r>
          </w:p>
        </w:tc>
        <w:tc>
          <w:tcPr>
            <w:tcW w:w="1097" w:type="dxa"/>
            <w:tcBorders>
              <w:top w:val="nil"/>
              <w:left w:val="nil"/>
              <w:bottom w:val="single" w:color="000000" w:sz="8" w:space="0"/>
              <w:right w:val="single" w:color="000000" w:sz="8" w:space="0"/>
            </w:tcBorders>
            <w:noWrap/>
            <w:vAlign w:val="center"/>
          </w:tcPr>
          <w:p w14:paraId="2C212D87">
            <w:pPr>
              <w:widowControl/>
              <w:spacing w:line="380" w:lineRule="exact"/>
              <w:jc w:val="center"/>
              <w:textAlignment w:val="center"/>
              <w:rPr>
                <w:color w:val="000000"/>
                <w:sz w:val="24"/>
              </w:rPr>
            </w:pPr>
            <w:r>
              <w:rPr>
                <w:color w:val="000000"/>
                <w:kern w:val="0"/>
                <w:sz w:val="24"/>
                <w:lang w:bidi="ar"/>
              </w:rPr>
              <w:t>20</w:t>
            </w:r>
          </w:p>
        </w:tc>
        <w:tc>
          <w:tcPr>
            <w:tcW w:w="1250" w:type="dxa"/>
            <w:tcBorders>
              <w:top w:val="nil"/>
              <w:left w:val="nil"/>
              <w:bottom w:val="single" w:color="000000" w:sz="8" w:space="0"/>
              <w:right w:val="single" w:color="000000" w:sz="8" w:space="0"/>
            </w:tcBorders>
            <w:noWrap w:val="0"/>
            <w:vAlign w:val="center"/>
          </w:tcPr>
          <w:p w14:paraId="4FB3515D">
            <w:pPr>
              <w:widowControl/>
              <w:spacing w:line="380" w:lineRule="exact"/>
              <w:jc w:val="center"/>
              <w:textAlignment w:val="center"/>
              <w:rPr>
                <w:color w:val="000000"/>
                <w:sz w:val="24"/>
              </w:rPr>
            </w:pPr>
            <w:r>
              <w:rPr>
                <w:color w:val="000000"/>
                <w:kern w:val="0"/>
                <w:sz w:val="24"/>
                <w:lang w:bidi="ar"/>
              </w:rPr>
              <w:t>25</w:t>
            </w:r>
          </w:p>
        </w:tc>
      </w:tr>
      <w:tr w14:paraId="5A6C5B9A">
        <w:tblPrEx>
          <w:tblCellMar>
            <w:top w:w="0" w:type="dxa"/>
            <w:left w:w="108" w:type="dxa"/>
            <w:bottom w:w="0" w:type="dxa"/>
            <w:right w:w="108" w:type="dxa"/>
          </w:tblCellMar>
        </w:tblPrEx>
        <w:trPr>
          <w:trHeight w:val="720" w:hRule="atLeast"/>
          <w:jc w:val="center"/>
        </w:trPr>
        <w:tc>
          <w:tcPr>
            <w:tcW w:w="862" w:type="dxa"/>
            <w:tcBorders>
              <w:top w:val="nil"/>
              <w:left w:val="single" w:color="000000" w:sz="8" w:space="0"/>
              <w:bottom w:val="single" w:color="000000" w:sz="8" w:space="0"/>
              <w:right w:val="single" w:color="000000" w:sz="8" w:space="0"/>
            </w:tcBorders>
            <w:noWrap/>
            <w:vAlign w:val="center"/>
          </w:tcPr>
          <w:p w14:paraId="4A3D187C">
            <w:pPr>
              <w:widowControl/>
              <w:spacing w:line="380" w:lineRule="exact"/>
              <w:jc w:val="center"/>
              <w:textAlignment w:val="center"/>
              <w:rPr>
                <w:rFonts w:hint="eastAsia"/>
                <w:color w:val="000000"/>
                <w:sz w:val="24"/>
              </w:rPr>
            </w:pPr>
            <w:r>
              <w:rPr>
                <w:rFonts w:hint="eastAsia"/>
                <w:color w:val="000000"/>
                <w:kern w:val="0"/>
                <w:sz w:val="24"/>
                <w:lang w:bidi="ar"/>
              </w:rPr>
              <w:t>7</w:t>
            </w:r>
          </w:p>
        </w:tc>
        <w:tc>
          <w:tcPr>
            <w:tcW w:w="3887" w:type="dxa"/>
            <w:tcBorders>
              <w:top w:val="nil"/>
              <w:left w:val="nil"/>
              <w:bottom w:val="single" w:color="000000" w:sz="8" w:space="0"/>
              <w:right w:val="single" w:color="000000" w:sz="8" w:space="0"/>
            </w:tcBorders>
            <w:noWrap w:val="0"/>
            <w:vAlign w:val="center"/>
          </w:tcPr>
          <w:p w14:paraId="1F00FAEF">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乡镇卫生院（社区卫生服务中心）医务人员与区县级医院医务人员收入比值</w:t>
            </w:r>
          </w:p>
        </w:tc>
        <w:tc>
          <w:tcPr>
            <w:tcW w:w="788" w:type="dxa"/>
            <w:tcBorders>
              <w:top w:val="nil"/>
              <w:left w:val="nil"/>
              <w:bottom w:val="single" w:color="000000" w:sz="8" w:space="0"/>
              <w:right w:val="single" w:color="000000" w:sz="8" w:space="0"/>
            </w:tcBorders>
            <w:noWrap w:val="0"/>
            <w:vAlign w:val="center"/>
          </w:tcPr>
          <w:p w14:paraId="6C6234F6">
            <w:pPr>
              <w:widowControl/>
              <w:spacing w:line="380" w:lineRule="exact"/>
              <w:jc w:val="center"/>
              <w:textAlignment w:val="center"/>
              <w:rPr>
                <w:color w:val="000000"/>
                <w:sz w:val="24"/>
              </w:rPr>
            </w:pPr>
            <w:r>
              <w:rPr>
                <w:color w:val="000000"/>
                <w:kern w:val="0"/>
                <w:sz w:val="24"/>
                <w:lang w:bidi="ar"/>
              </w:rPr>
              <w:t>%</w:t>
            </w:r>
          </w:p>
        </w:tc>
        <w:tc>
          <w:tcPr>
            <w:tcW w:w="1350" w:type="dxa"/>
            <w:tcBorders>
              <w:top w:val="nil"/>
              <w:left w:val="nil"/>
              <w:bottom w:val="single" w:color="000000" w:sz="8" w:space="0"/>
              <w:right w:val="single" w:color="000000" w:sz="8" w:space="0"/>
            </w:tcBorders>
            <w:noWrap/>
            <w:vAlign w:val="center"/>
          </w:tcPr>
          <w:p w14:paraId="1FCCA8C4">
            <w:pPr>
              <w:widowControl/>
              <w:spacing w:line="380" w:lineRule="exact"/>
              <w:jc w:val="center"/>
              <w:textAlignment w:val="center"/>
              <w:rPr>
                <w:color w:val="000000"/>
                <w:sz w:val="24"/>
              </w:rPr>
            </w:pPr>
            <w:r>
              <w:rPr>
                <w:color w:val="000000"/>
                <w:kern w:val="0"/>
                <w:sz w:val="24"/>
                <w:lang w:bidi="ar"/>
              </w:rPr>
              <w:t>0.8</w:t>
            </w:r>
          </w:p>
        </w:tc>
        <w:tc>
          <w:tcPr>
            <w:tcW w:w="1097" w:type="dxa"/>
            <w:tcBorders>
              <w:top w:val="nil"/>
              <w:left w:val="nil"/>
              <w:bottom w:val="single" w:color="000000" w:sz="8" w:space="0"/>
              <w:right w:val="single" w:color="000000" w:sz="8" w:space="0"/>
            </w:tcBorders>
            <w:noWrap/>
            <w:vAlign w:val="center"/>
          </w:tcPr>
          <w:p w14:paraId="20EF0123">
            <w:pPr>
              <w:widowControl/>
              <w:spacing w:line="380" w:lineRule="exact"/>
              <w:jc w:val="center"/>
              <w:textAlignment w:val="center"/>
              <w:rPr>
                <w:color w:val="000000"/>
                <w:sz w:val="24"/>
              </w:rPr>
            </w:pPr>
            <w:r>
              <w:rPr>
                <w:rFonts w:eastAsia="方正仿宋_GBK"/>
                <w:color w:val="000000"/>
                <w:kern w:val="0"/>
                <w:sz w:val="24"/>
                <w:lang w:bidi="ar"/>
              </w:rPr>
              <w:t>≥</w:t>
            </w:r>
            <w:r>
              <w:rPr>
                <w:color w:val="000000"/>
                <w:kern w:val="0"/>
                <w:sz w:val="24"/>
                <w:lang w:bidi="ar"/>
              </w:rPr>
              <w:t>0.85</w:t>
            </w:r>
          </w:p>
        </w:tc>
        <w:tc>
          <w:tcPr>
            <w:tcW w:w="1250" w:type="dxa"/>
            <w:tcBorders>
              <w:top w:val="nil"/>
              <w:left w:val="nil"/>
              <w:bottom w:val="single" w:color="000000" w:sz="8" w:space="0"/>
              <w:right w:val="single" w:color="000000" w:sz="8" w:space="0"/>
            </w:tcBorders>
            <w:noWrap w:val="0"/>
            <w:vAlign w:val="center"/>
          </w:tcPr>
          <w:p w14:paraId="4363D7BF">
            <w:pPr>
              <w:widowControl/>
              <w:spacing w:line="380" w:lineRule="exact"/>
              <w:jc w:val="center"/>
              <w:textAlignment w:val="center"/>
              <w:rPr>
                <w:rFonts w:eastAsia="方正仿宋_GBK"/>
                <w:color w:val="000000"/>
                <w:sz w:val="24"/>
              </w:rPr>
            </w:pPr>
            <w:r>
              <w:rPr>
                <w:rFonts w:eastAsia="方正仿宋_GBK"/>
                <w:color w:val="000000"/>
                <w:kern w:val="0"/>
                <w:sz w:val="24"/>
                <w:lang w:bidi="ar"/>
              </w:rPr>
              <w:t>≥0.90</w:t>
            </w:r>
          </w:p>
        </w:tc>
      </w:tr>
      <w:tr w14:paraId="21B11E03">
        <w:tblPrEx>
          <w:tblCellMar>
            <w:top w:w="0" w:type="dxa"/>
            <w:left w:w="108" w:type="dxa"/>
            <w:bottom w:w="0" w:type="dxa"/>
            <w:right w:w="108" w:type="dxa"/>
          </w:tblCellMar>
        </w:tblPrEx>
        <w:trPr>
          <w:trHeight w:val="720" w:hRule="atLeast"/>
          <w:jc w:val="center"/>
        </w:trPr>
        <w:tc>
          <w:tcPr>
            <w:tcW w:w="862" w:type="dxa"/>
            <w:tcBorders>
              <w:top w:val="nil"/>
              <w:left w:val="single" w:color="000000" w:sz="8" w:space="0"/>
              <w:bottom w:val="single" w:color="000000" w:sz="8" w:space="0"/>
              <w:right w:val="single" w:color="000000" w:sz="8" w:space="0"/>
            </w:tcBorders>
            <w:noWrap/>
            <w:vAlign w:val="center"/>
          </w:tcPr>
          <w:p w14:paraId="600A7DF5">
            <w:pPr>
              <w:widowControl/>
              <w:spacing w:line="380" w:lineRule="exact"/>
              <w:jc w:val="center"/>
              <w:textAlignment w:val="center"/>
              <w:rPr>
                <w:rFonts w:hint="eastAsia"/>
                <w:color w:val="000000"/>
                <w:sz w:val="24"/>
              </w:rPr>
            </w:pPr>
            <w:r>
              <w:rPr>
                <w:rFonts w:hint="eastAsia"/>
                <w:color w:val="000000"/>
                <w:kern w:val="0"/>
                <w:sz w:val="24"/>
                <w:lang w:bidi="ar"/>
              </w:rPr>
              <w:t>8</w:t>
            </w:r>
          </w:p>
        </w:tc>
        <w:tc>
          <w:tcPr>
            <w:tcW w:w="3887" w:type="dxa"/>
            <w:tcBorders>
              <w:top w:val="nil"/>
              <w:left w:val="nil"/>
              <w:bottom w:val="single" w:color="000000" w:sz="8" w:space="0"/>
              <w:right w:val="single" w:color="000000" w:sz="8" w:space="0"/>
            </w:tcBorders>
            <w:noWrap w:val="0"/>
            <w:vAlign w:val="center"/>
          </w:tcPr>
          <w:p w14:paraId="5F241A24">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县域内基层医疗卫生机构诊疗人次占比</w:t>
            </w:r>
          </w:p>
        </w:tc>
        <w:tc>
          <w:tcPr>
            <w:tcW w:w="788" w:type="dxa"/>
            <w:tcBorders>
              <w:top w:val="nil"/>
              <w:left w:val="nil"/>
              <w:bottom w:val="single" w:color="000000" w:sz="8" w:space="0"/>
              <w:right w:val="single" w:color="000000" w:sz="8" w:space="0"/>
            </w:tcBorders>
            <w:noWrap w:val="0"/>
            <w:vAlign w:val="center"/>
          </w:tcPr>
          <w:p w14:paraId="5F88F0D6">
            <w:pPr>
              <w:widowControl/>
              <w:spacing w:line="380" w:lineRule="exact"/>
              <w:jc w:val="center"/>
              <w:textAlignment w:val="center"/>
              <w:rPr>
                <w:color w:val="000000"/>
                <w:sz w:val="24"/>
              </w:rPr>
            </w:pPr>
            <w:r>
              <w:rPr>
                <w:color w:val="000000"/>
                <w:kern w:val="0"/>
                <w:sz w:val="24"/>
                <w:lang w:bidi="ar"/>
              </w:rPr>
              <w:t>%</w:t>
            </w:r>
          </w:p>
        </w:tc>
        <w:tc>
          <w:tcPr>
            <w:tcW w:w="1350" w:type="dxa"/>
            <w:tcBorders>
              <w:top w:val="nil"/>
              <w:left w:val="nil"/>
              <w:bottom w:val="single" w:color="000000" w:sz="8" w:space="0"/>
              <w:right w:val="single" w:color="000000" w:sz="8" w:space="0"/>
            </w:tcBorders>
            <w:noWrap/>
            <w:vAlign w:val="center"/>
          </w:tcPr>
          <w:p w14:paraId="792E4938">
            <w:pPr>
              <w:widowControl/>
              <w:spacing w:line="380" w:lineRule="exact"/>
              <w:jc w:val="center"/>
              <w:textAlignment w:val="center"/>
              <w:rPr>
                <w:color w:val="000000"/>
                <w:sz w:val="24"/>
              </w:rPr>
            </w:pPr>
            <w:r>
              <w:rPr>
                <w:color w:val="000000"/>
                <w:kern w:val="0"/>
                <w:sz w:val="24"/>
                <w:lang w:bidi="ar"/>
              </w:rPr>
              <w:t>60</w:t>
            </w:r>
          </w:p>
        </w:tc>
        <w:tc>
          <w:tcPr>
            <w:tcW w:w="1097" w:type="dxa"/>
            <w:tcBorders>
              <w:top w:val="nil"/>
              <w:left w:val="nil"/>
              <w:bottom w:val="single" w:color="000000" w:sz="8" w:space="0"/>
              <w:right w:val="single" w:color="000000" w:sz="8" w:space="0"/>
            </w:tcBorders>
            <w:noWrap/>
            <w:vAlign w:val="center"/>
          </w:tcPr>
          <w:p w14:paraId="47442D3D">
            <w:pPr>
              <w:widowControl/>
              <w:spacing w:line="380" w:lineRule="exact"/>
              <w:jc w:val="center"/>
              <w:textAlignment w:val="center"/>
              <w:rPr>
                <w:color w:val="000000"/>
                <w:sz w:val="24"/>
              </w:rPr>
            </w:pPr>
            <w:r>
              <w:rPr>
                <w:rFonts w:eastAsia="方正仿宋_GBK"/>
                <w:color w:val="000000"/>
                <w:kern w:val="0"/>
                <w:sz w:val="24"/>
                <w:lang w:bidi="ar"/>
              </w:rPr>
              <w:t>≥</w:t>
            </w:r>
            <w:r>
              <w:rPr>
                <w:color w:val="000000"/>
                <w:kern w:val="0"/>
                <w:sz w:val="24"/>
                <w:lang w:bidi="ar"/>
              </w:rPr>
              <w:t>62</w:t>
            </w:r>
          </w:p>
        </w:tc>
        <w:tc>
          <w:tcPr>
            <w:tcW w:w="1250" w:type="dxa"/>
            <w:tcBorders>
              <w:top w:val="nil"/>
              <w:left w:val="nil"/>
              <w:bottom w:val="single" w:color="000000" w:sz="8" w:space="0"/>
              <w:right w:val="single" w:color="000000" w:sz="8" w:space="0"/>
            </w:tcBorders>
            <w:noWrap w:val="0"/>
            <w:vAlign w:val="center"/>
          </w:tcPr>
          <w:p w14:paraId="6FF0947C">
            <w:pPr>
              <w:widowControl/>
              <w:spacing w:line="380" w:lineRule="exact"/>
              <w:jc w:val="center"/>
              <w:textAlignment w:val="center"/>
              <w:rPr>
                <w:rFonts w:eastAsia="方正仿宋_GBK"/>
                <w:color w:val="000000"/>
                <w:sz w:val="24"/>
              </w:rPr>
            </w:pPr>
            <w:r>
              <w:rPr>
                <w:rFonts w:eastAsia="方正仿宋_GBK"/>
                <w:color w:val="000000"/>
                <w:kern w:val="0"/>
                <w:sz w:val="24"/>
                <w:lang w:bidi="ar"/>
              </w:rPr>
              <w:t>≥65</w:t>
            </w:r>
          </w:p>
        </w:tc>
      </w:tr>
      <w:tr w14:paraId="5FEAA6F2">
        <w:tblPrEx>
          <w:tblCellMar>
            <w:top w:w="0" w:type="dxa"/>
            <w:left w:w="108" w:type="dxa"/>
            <w:bottom w:w="0" w:type="dxa"/>
            <w:right w:w="108" w:type="dxa"/>
          </w:tblCellMar>
        </w:tblPrEx>
        <w:trPr>
          <w:trHeight w:val="720" w:hRule="atLeast"/>
          <w:jc w:val="center"/>
        </w:trPr>
        <w:tc>
          <w:tcPr>
            <w:tcW w:w="862" w:type="dxa"/>
            <w:tcBorders>
              <w:top w:val="nil"/>
              <w:left w:val="single" w:color="000000" w:sz="8" w:space="0"/>
              <w:bottom w:val="single" w:color="000000" w:sz="8" w:space="0"/>
              <w:right w:val="single" w:color="000000" w:sz="8" w:space="0"/>
            </w:tcBorders>
            <w:noWrap/>
            <w:vAlign w:val="center"/>
          </w:tcPr>
          <w:p w14:paraId="6BC8B4FB">
            <w:pPr>
              <w:widowControl/>
              <w:spacing w:line="380" w:lineRule="exact"/>
              <w:jc w:val="center"/>
              <w:textAlignment w:val="center"/>
              <w:rPr>
                <w:color w:val="000000"/>
                <w:sz w:val="24"/>
              </w:rPr>
            </w:pPr>
            <w:r>
              <w:rPr>
                <w:rFonts w:hint="eastAsia"/>
                <w:color w:val="000000"/>
                <w:kern w:val="0"/>
                <w:sz w:val="24"/>
                <w:lang w:bidi="ar"/>
              </w:rPr>
              <w:t>9</w:t>
            </w:r>
          </w:p>
        </w:tc>
        <w:tc>
          <w:tcPr>
            <w:tcW w:w="3887" w:type="dxa"/>
            <w:tcBorders>
              <w:top w:val="nil"/>
              <w:left w:val="nil"/>
              <w:bottom w:val="single" w:color="000000" w:sz="8" w:space="0"/>
              <w:right w:val="single" w:color="000000" w:sz="8" w:space="0"/>
            </w:tcBorders>
            <w:noWrap w:val="0"/>
            <w:vAlign w:val="center"/>
          </w:tcPr>
          <w:p w14:paraId="092C289F">
            <w:pPr>
              <w:widowControl/>
              <w:spacing w:line="380" w:lineRule="exact"/>
              <w:jc w:val="center"/>
              <w:textAlignment w:val="center"/>
              <w:rPr>
                <w:rFonts w:eastAsia="方正仿宋_GBK"/>
                <w:color w:val="000000"/>
                <w:sz w:val="24"/>
              </w:rPr>
            </w:pPr>
            <w:r>
              <w:rPr>
                <w:rFonts w:eastAsia="方正仿宋_GBK"/>
                <w:color w:val="000000"/>
                <w:kern w:val="0"/>
                <w:sz w:val="24"/>
                <w:lang w:bidi="ar"/>
              </w:rPr>
              <w:t>“</w:t>
            </w:r>
            <w:r>
              <w:rPr>
                <w:rFonts w:hAnsi="方正仿宋_GBK" w:eastAsia="方正仿宋_GBK"/>
                <w:color w:val="000000"/>
                <w:kern w:val="0"/>
                <w:sz w:val="24"/>
                <w:lang w:bidi="ar"/>
              </w:rPr>
              <w:t>优质服务基层行</w:t>
            </w:r>
            <w:r>
              <w:rPr>
                <w:rFonts w:eastAsia="方正仿宋_GBK"/>
                <w:color w:val="000000"/>
                <w:kern w:val="0"/>
                <w:sz w:val="24"/>
                <w:lang w:bidi="ar"/>
              </w:rPr>
              <w:t>”</w:t>
            </w:r>
            <w:r>
              <w:rPr>
                <w:rFonts w:hAnsi="方正仿宋_GBK" w:eastAsia="方正仿宋_GBK"/>
                <w:color w:val="000000"/>
                <w:kern w:val="0"/>
                <w:sz w:val="24"/>
                <w:lang w:bidi="ar"/>
              </w:rPr>
              <w:t>活动达到国家基本标准以上的机构占比</w:t>
            </w:r>
          </w:p>
        </w:tc>
        <w:tc>
          <w:tcPr>
            <w:tcW w:w="788" w:type="dxa"/>
            <w:tcBorders>
              <w:top w:val="nil"/>
              <w:left w:val="nil"/>
              <w:bottom w:val="single" w:color="000000" w:sz="8" w:space="0"/>
              <w:right w:val="single" w:color="000000" w:sz="8" w:space="0"/>
            </w:tcBorders>
            <w:noWrap w:val="0"/>
            <w:vAlign w:val="center"/>
          </w:tcPr>
          <w:p w14:paraId="2138178D">
            <w:pPr>
              <w:widowControl/>
              <w:spacing w:line="380" w:lineRule="exact"/>
              <w:jc w:val="center"/>
              <w:textAlignment w:val="center"/>
              <w:rPr>
                <w:color w:val="000000"/>
                <w:sz w:val="24"/>
              </w:rPr>
            </w:pPr>
            <w:r>
              <w:rPr>
                <w:color w:val="000000"/>
                <w:kern w:val="0"/>
                <w:sz w:val="24"/>
                <w:lang w:bidi="ar"/>
              </w:rPr>
              <w:t>%</w:t>
            </w:r>
          </w:p>
        </w:tc>
        <w:tc>
          <w:tcPr>
            <w:tcW w:w="1350" w:type="dxa"/>
            <w:tcBorders>
              <w:top w:val="nil"/>
              <w:left w:val="nil"/>
              <w:bottom w:val="single" w:color="000000" w:sz="8" w:space="0"/>
              <w:right w:val="single" w:color="000000" w:sz="8" w:space="0"/>
            </w:tcBorders>
            <w:noWrap/>
            <w:vAlign w:val="center"/>
          </w:tcPr>
          <w:p w14:paraId="0CE75954">
            <w:pPr>
              <w:widowControl/>
              <w:spacing w:line="380" w:lineRule="exact"/>
              <w:jc w:val="center"/>
              <w:textAlignment w:val="center"/>
              <w:rPr>
                <w:color w:val="000000"/>
                <w:sz w:val="24"/>
              </w:rPr>
            </w:pPr>
            <w:r>
              <w:rPr>
                <w:color w:val="000000"/>
                <w:kern w:val="0"/>
                <w:sz w:val="24"/>
                <w:lang w:bidi="ar"/>
              </w:rPr>
              <w:t>84.8</w:t>
            </w:r>
          </w:p>
        </w:tc>
        <w:tc>
          <w:tcPr>
            <w:tcW w:w="1097" w:type="dxa"/>
            <w:tcBorders>
              <w:top w:val="nil"/>
              <w:left w:val="nil"/>
              <w:bottom w:val="single" w:color="000000" w:sz="8" w:space="0"/>
              <w:right w:val="single" w:color="000000" w:sz="8" w:space="0"/>
            </w:tcBorders>
            <w:noWrap/>
            <w:vAlign w:val="center"/>
          </w:tcPr>
          <w:p w14:paraId="54F5F6EA">
            <w:pPr>
              <w:widowControl/>
              <w:spacing w:line="380" w:lineRule="exact"/>
              <w:jc w:val="center"/>
              <w:textAlignment w:val="center"/>
              <w:rPr>
                <w:color w:val="000000"/>
                <w:sz w:val="24"/>
              </w:rPr>
            </w:pPr>
            <w:r>
              <w:rPr>
                <w:color w:val="000000"/>
                <w:kern w:val="0"/>
                <w:sz w:val="24"/>
                <w:lang w:bidi="ar"/>
              </w:rPr>
              <w:t>90</w:t>
            </w:r>
          </w:p>
        </w:tc>
        <w:tc>
          <w:tcPr>
            <w:tcW w:w="1250" w:type="dxa"/>
            <w:tcBorders>
              <w:top w:val="nil"/>
              <w:left w:val="nil"/>
              <w:bottom w:val="single" w:color="000000" w:sz="8" w:space="0"/>
              <w:right w:val="single" w:color="000000" w:sz="8" w:space="0"/>
            </w:tcBorders>
            <w:noWrap w:val="0"/>
            <w:vAlign w:val="center"/>
          </w:tcPr>
          <w:p w14:paraId="08B6FA3D">
            <w:pPr>
              <w:widowControl/>
              <w:spacing w:line="380" w:lineRule="exact"/>
              <w:jc w:val="center"/>
              <w:textAlignment w:val="center"/>
              <w:rPr>
                <w:rFonts w:eastAsia="方正仿宋_GBK"/>
                <w:color w:val="000000"/>
                <w:sz w:val="24"/>
              </w:rPr>
            </w:pPr>
            <w:r>
              <w:rPr>
                <w:rFonts w:hint="eastAsia" w:hAnsi="方正仿宋_GBK" w:eastAsia="方正仿宋_GBK"/>
                <w:color w:val="000000"/>
                <w:kern w:val="0"/>
                <w:sz w:val="24"/>
                <w:lang w:bidi="ar"/>
              </w:rPr>
              <w:t>&gt;</w:t>
            </w:r>
            <w:r>
              <w:rPr>
                <w:rFonts w:eastAsia="方正仿宋_GBK"/>
                <w:color w:val="000000"/>
                <w:kern w:val="0"/>
                <w:sz w:val="24"/>
                <w:lang w:bidi="ar"/>
              </w:rPr>
              <w:t>90</w:t>
            </w:r>
          </w:p>
        </w:tc>
      </w:tr>
      <w:tr w14:paraId="09FE87B0">
        <w:tblPrEx>
          <w:tblCellMar>
            <w:top w:w="0" w:type="dxa"/>
            <w:left w:w="108" w:type="dxa"/>
            <w:bottom w:w="0" w:type="dxa"/>
            <w:right w:w="108" w:type="dxa"/>
          </w:tblCellMar>
        </w:tblPrEx>
        <w:trPr>
          <w:trHeight w:val="720" w:hRule="atLeast"/>
          <w:jc w:val="center"/>
        </w:trPr>
        <w:tc>
          <w:tcPr>
            <w:tcW w:w="862" w:type="dxa"/>
            <w:tcBorders>
              <w:top w:val="nil"/>
              <w:left w:val="single" w:color="000000" w:sz="8" w:space="0"/>
              <w:bottom w:val="single" w:color="000000" w:sz="8" w:space="0"/>
              <w:right w:val="single" w:color="000000" w:sz="8" w:space="0"/>
            </w:tcBorders>
            <w:noWrap/>
            <w:vAlign w:val="center"/>
          </w:tcPr>
          <w:p w14:paraId="722E56C8">
            <w:pPr>
              <w:widowControl/>
              <w:spacing w:line="380" w:lineRule="exact"/>
              <w:jc w:val="center"/>
              <w:textAlignment w:val="center"/>
              <w:rPr>
                <w:rFonts w:hint="eastAsia"/>
                <w:color w:val="000000"/>
                <w:sz w:val="24"/>
              </w:rPr>
            </w:pPr>
            <w:r>
              <w:rPr>
                <w:rFonts w:hint="eastAsia"/>
                <w:color w:val="000000"/>
                <w:kern w:val="0"/>
                <w:sz w:val="24"/>
                <w:lang w:bidi="ar"/>
              </w:rPr>
              <w:t>10</w:t>
            </w:r>
          </w:p>
        </w:tc>
        <w:tc>
          <w:tcPr>
            <w:tcW w:w="3887" w:type="dxa"/>
            <w:tcBorders>
              <w:top w:val="nil"/>
              <w:left w:val="nil"/>
              <w:bottom w:val="single" w:color="000000" w:sz="8" w:space="0"/>
              <w:right w:val="single" w:color="000000" w:sz="8" w:space="0"/>
            </w:tcBorders>
            <w:noWrap w:val="0"/>
            <w:vAlign w:val="center"/>
          </w:tcPr>
          <w:p w14:paraId="46C6AE8E">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家庭医生全人群签约服务人数</w:t>
            </w:r>
          </w:p>
        </w:tc>
        <w:tc>
          <w:tcPr>
            <w:tcW w:w="788" w:type="dxa"/>
            <w:tcBorders>
              <w:top w:val="nil"/>
              <w:left w:val="nil"/>
              <w:bottom w:val="single" w:color="000000" w:sz="8" w:space="0"/>
              <w:right w:val="single" w:color="000000" w:sz="8" w:space="0"/>
            </w:tcBorders>
            <w:noWrap w:val="0"/>
            <w:vAlign w:val="center"/>
          </w:tcPr>
          <w:p w14:paraId="5EF9B8A7">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万人</w:t>
            </w:r>
          </w:p>
        </w:tc>
        <w:tc>
          <w:tcPr>
            <w:tcW w:w="1350" w:type="dxa"/>
            <w:tcBorders>
              <w:top w:val="nil"/>
              <w:left w:val="nil"/>
              <w:bottom w:val="single" w:color="000000" w:sz="8" w:space="0"/>
              <w:right w:val="single" w:color="000000" w:sz="8" w:space="0"/>
            </w:tcBorders>
            <w:noWrap/>
            <w:vAlign w:val="center"/>
          </w:tcPr>
          <w:p w14:paraId="3FB9E9A8">
            <w:pPr>
              <w:widowControl/>
              <w:spacing w:line="380" w:lineRule="exact"/>
              <w:jc w:val="center"/>
              <w:textAlignment w:val="center"/>
              <w:rPr>
                <w:color w:val="000000"/>
                <w:sz w:val="24"/>
              </w:rPr>
            </w:pPr>
            <w:r>
              <w:rPr>
                <w:color w:val="000000"/>
                <w:kern w:val="0"/>
                <w:sz w:val="24"/>
                <w:lang w:bidi="ar"/>
              </w:rPr>
              <w:t>30</w:t>
            </w:r>
          </w:p>
        </w:tc>
        <w:tc>
          <w:tcPr>
            <w:tcW w:w="1097" w:type="dxa"/>
            <w:tcBorders>
              <w:top w:val="nil"/>
              <w:left w:val="nil"/>
              <w:bottom w:val="single" w:color="000000" w:sz="8" w:space="0"/>
              <w:right w:val="single" w:color="000000" w:sz="8" w:space="0"/>
            </w:tcBorders>
            <w:noWrap/>
            <w:vAlign w:val="center"/>
          </w:tcPr>
          <w:p w14:paraId="5156DC3C">
            <w:pPr>
              <w:widowControl/>
              <w:spacing w:line="380" w:lineRule="exact"/>
              <w:jc w:val="center"/>
              <w:textAlignment w:val="center"/>
              <w:rPr>
                <w:color w:val="000000"/>
                <w:sz w:val="24"/>
              </w:rPr>
            </w:pPr>
            <w:r>
              <w:rPr>
                <w:color w:val="000000"/>
                <w:kern w:val="0"/>
                <w:sz w:val="24"/>
                <w:lang w:bidi="ar"/>
              </w:rPr>
              <w:t>31</w:t>
            </w:r>
          </w:p>
        </w:tc>
        <w:tc>
          <w:tcPr>
            <w:tcW w:w="1250" w:type="dxa"/>
            <w:tcBorders>
              <w:top w:val="nil"/>
              <w:left w:val="nil"/>
              <w:bottom w:val="single" w:color="000000" w:sz="8" w:space="0"/>
              <w:right w:val="single" w:color="000000" w:sz="8" w:space="0"/>
            </w:tcBorders>
            <w:noWrap w:val="0"/>
            <w:vAlign w:val="center"/>
          </w:tcPr>
          <w:p w14:paraId="490D84FD">
            <w:pPr>
              <w:widowControl/>
              <w:spacing w:line="380" w:lineRule="exact"/>
              <w:jc w:val="center"/>
              <w:textAlignment w:val="center"/>
              <w:rPr>
                <w:color w:val="000000"/>
                <w:sz w:val="24"/>
              </w:rPr>
            </w:pPr>
            <w:r>
              <w:rPr>
                <w:color w:val="000000"/>
                <w:kern w:val="0"/>
                <w:sz w:val="24"/>
                <w:lang w:bidi="ar"/>
              </w:rPr>
              <w:t>33</w:t>
            </w:r>
          </w:p>
        </w:tc>
      </w:tr>
      <w:tr w14:paraId="7DD23BC5">
        <w:tblPrEx>
          <w:tblCellMar>
            <w:top w:w="0" w:type="dxa"/>
            <w:left w:w="108" w:type="dxa"/>
            <w:bottom w:w="0" w:type="dxa"/>
            <w:right w:w="108" w:type="dxa"/>
          </w:tblCellMar>
        </w:tblPrEx>
        <w:trPr>
          <w:trHeight w:val="720" w:hRule="atLeast"/>
          <w:jc w:val="center"/>
        </w:trPr>
        <w:tc>
          <w:tcPr>
            <w:tcW w:w="862" w:type="dxa"/>
            <w:tcBorders>
              <w:top w:val="nil"/>
              <w:left w:val="single" w:color="000000" w:sz="8" w:space="0"/>
              <w:bottom w:val="single" w:color="000000" w:sz="8" w:space="0"/>
              <w:right w:val="single" w:color="000000" w:sz="8" w:space="0"/>
            </w:tcBorders>
            <w:noWrap/>
            <w:vAlign w:val="center"/>
          </w:tcPr>
          <w:p w14:paraId="466A8CD7">
            <w:pPr>
              <w:widowControl/>
              <w:spacing w:line="380" w:lineRule="exact"/>
              <w:jc w:val="center"/>
              <w:textAlignment w:val="center"/>
              <w:rPr>
                <w:rFonts w:hint="eastAsia"/>
                <w:color w:val="000000"/>
                <w:sz w:val="24"/>
              </w:rPr>
            </w:pPr>
            <w:r>
              <w:rPr>
                <w:color w:val="000000"/>
                <w:kern w:val="0"/>
                <w:sz w:val="24"/>
                <w:lang w:bidi="ar"/>
              </w:rPr>
              <w:t>1</w:t>
            </w:r>
            <w:r>
              <w:rPr>
                <w:rFonts w:hint="eastAsia"/>
                <w:color w:val="000000"/>
                <w:kern w:val="0"/>
                <w:sz w:val="24"/>
                <w:lang w:bidi="ar"/>
              </w:rPr>
              <w:t>1</w:t>
            </w:r>
          </w:p>
        </w:tc>
        <w:tc>
          <w:tcPr>
            <w:tcW w:w="3887" w:type="dxa"/>
            <w:tcBorders>
              <w:top w:val="nil"/>
              <w:left w:val="nil"/>
              <w:bottom w:val="single" w:color="000000" w:sz="8" w:space="0"/>
              <w:right w:val="single" w:color="000000" w:sz="8" w:space="0"/>
            </w:tcBorders>
            <w:noWrap w:val="0"/>
            <w:vAlign w:val="center"/>
          </w:tcPr>
          <w:p w14:paraId="7609466D">
            <w:pPr>
              <w:widowControl/>
              <w:spacing w:line="380" w:lineRule="exact"/>
              <w:jc w:val="center"/>
              <w:textAlignment w:val="center"/>
              <w:rPr>
                <w:color w:val="000000"/>
                <w:sz w:val="24"/>
              </w:rPr>
            </w:pPr>
            <w:r>
              <w:rPr>
                <w:color w:val="000000"/>
                <w:kern w:val="0"/>
                <w:sz w:val="24"/>
                <w:lang w:bidi="ar"/>
              </w:rPr>
              <w:t>65</w:t>
            </w:r>
            <w:r>
              <w:rPr>
                <w:rFonts w:hAnsi="方正仿宋_GBK" w:eastAsia="方正仿宋_GBK"/>
                <w:color w:val="000000"/>
                <w:kern w:val="0"/>
                <w:sz w:val="24"/>
                <w:lang w:bidi="ar"/>
              </w:rPr>
              <w:t>岁以上老年人城乡社区规范健康管理服务率</w:t>
            </w:r>
          </w:p>
        </w:tc>
        <w:tc>
          <w:tcPr>
            <w:tcW w:w="788" w:type="dxa"/>
            <w:tcBorders>
              <w:top w:val="nil"/>
              <w:left w:val="nil"/>
              <w:bottom w:val="single" w:color="000000" w:sz="8" w:space="0"/>
              <w:right w:val="single" w:color="000000" w:sz="8" w:space="0"/>
            </w:tcBorders>
            <w:noWrap w:val="0"/>
            <w:vAlign w:val="center"/>
          </w:tcPr>
          <w:p w14:paraId="351F5EB7">
            <w:pPr>
              <w:widowControl/>
              <w:spacing w:line="380" w:lineRule="exact"/>
              <w:jc w:val="center"/>
              <w:textAlignment w:val="center"/>
              <w:rPr>
                <w:color w:val="000000"/>
                <w:sz w:val="24"/>
              </w:rPr>
            </w:pPr>
            <w:r>
              <w:rPr>
                <w:color w:val="000000"/>
                <w:kern w:val="0"/>
                <w:sz w:val="24"/>
                <w:lang w:bidi="ar"/>
              </w:rPr>
              <w:t>%</w:t>
            </w:r>
          </w:p>
        </w:tc>
        <w:tc>
          <w:tcPr>
            <w:tcW w:w="1350" w:type="dxa"/>
            <w:tcBorders>
              <w:top w:val="nil"/>
              <w:left w:val="nil"/>
              <w:bottom w:val="single" w:color="000000" w:sz="8" w:space="0"/>
              <w:right w:val="single" w:color="000000" w:sz="8" w:space="0"/>
            </w:tcBorders>
            <w:noWrap/>
            <w:vAlign w:val="center"/>
          </w:tcPr>
          <w:p w14:paraId="316C7BF4">
            <w:pPr>
              <w:widowControl/>
              <w:spacing w:line="380" w:lineRule="exact"/>
              <w:jc w:val="center"/>
              <w:textAlignment w:val="center"/>
              <w:rPr>
                <w:color w:val="000000"/>
                <w:sz w:val="24"/>
              </w:rPr>
            </w:pPr>
            <w:r>
              <w:rPr>
                <w:color w:val="000000"/>
                <w:sz w:val="24"/>
              </w:rPr>
              <w:t>64.08</w:t>
            </w:r>
          </w:p>
        </w:tc>
        <w:tc>
          <w:tcPr>
            <w:tcW w:w="1097" w:type="dxa"/>
            <w:tcBorders>
              <w:top w:val="nil"/>
              <w:left w:val="nil"/>
              <w:bottom w:val="single" w:color="000000" w:sz="8" w:space="0"/>
              <w:right w:val="single" w:color="000000" w:sz="8" w:space="0"/>
            </w:tcBorders>
            <w:noWrap/>
            <w:vAlign w:val="center"/>
          </w:tcPr>
          <w:p w14:paraId="12625338">
            <w:pPr>
              <w:widowControl/>
              <w:spacing w:line="380" w:lineRule="exact"/>
              <w:jc w:val="center"/>
              <w:textAlignment w:val="center"/>
              <w:rPr>
                <w:rFonts w:eastAsia="方正仿宋_GBK"/>
                <w:color w:val="000000"/>
                <w:sz w:val="24"/>
              </w:rPr>
            </w:pPr>
            <w:r>
              <w:rPr>
                <w:rFonts w:eastAsia="方正仿宋_GBK"/>
                <w:color w:val="000000"/>
                <w:kern w:val="0"/>
                <w:sz w:val="24"/>
                <w:lang w:bidi="ar"/>
              </w:rPr>
              <w:t>≥65</w:t>
            </w:r>
          </w:p>
        </w:tc>
        <w:tc>
          <w:tcPr>
            <w:tcW w:w="1250" w:type="dxa"/>
            <w:tcBorders>
              <w:top w:val="nil"/>
              <w:left w:val="nil"/>
              <w:bottom w:val="single" w:color="000000" w:sz="8" w:space="0"/>
              <w:right w:val="single" w:color="000000" w:sz="8" w:space="0"/>
            </w:tcBorders>
            <w:noWrap w:val="0"/>
            <w:vAlign w:val="center"/>
          </w:tcPr>
          <w:p w14:paraId="6DCE8D4B">
            <w:pPr>
              <w:widowControl/>
              <w:spacing w:line="380" w:lineRule="exact"/>
              <w:jc w:val="center"/>
              <w:textAlignment w:val="center"/>
              <w:rPr>
                <w:rFonts w:eastAsia="方正仿宋_GBK"/>
                <w:color w:val="000000"/>
                <w:sz w:val="24"/>
              </w:rPr>
            </w:pPr>
            <w:r>
              <w:rPr>
                <w:rFonts w:eastAsia="方正仿宋_GBK"/>
                <w:color w:val="000000"/>
                <w:kern w:val="0"/>
                <w:sz w:val="24"/>
                <w:lang w:bidi="ar"/>
              </w:rPr>
              <w:t>≥67</w:t>
            </w:r>
          </w:p>
        </w:tc>
      </w:tr>
      <w:tr w14:paraId="1F76826D">
        <w:tblPrEx>
          <w:tblCellMar>
            <w:top w:w="0" w:type="dxa"/>
            <w:left w:w="108" w:type="dxa"/>
            <w:bottom w:w="0" w:type="dxa"/>
            <w:right w:w="108" w:type="dxa"/>
          </w:tblCellMar>
        </w:tblPrEx>
        <w:trPr>
          <w:trHeight w:val="720" w:hRule="atLeast"/>
          <w:jc w:val="center"/>
        </w:trPr>
        <w:tc>
          <w:tcPr>
            <w:tcW w:w="862" w:type="dxa"/>
            <w:tcBorders>
              <w:top w:val="nil"/>
              <w:left w:val="single" w:color="000000" w:sz="8" w:space="0"/>
              <w:bottom w:val="single" w:color="000000" w:sz="8" w:space="0"/>
              <w:right w:val="single" w:color="000000" w:sz="8" w:space="0"/>
            </w:tcBorders>
            <w:noWrap/>
            <w:vAlign w:val="center"/>
          </w:tcPr>
          <w:p w14:paraId="72A5F6C5">
            <w:pPr>
              <w:widowControl/>
              <w:spacing w:line="380" w:lineRule="exact"/>
              <w:jc w:val="center"/>
              <w:textAlignment w:val="center"/>
              <w:rPr>
                <w:rFonts w:hint="eastAsia"/>
                <w:color w:val="000000"/>
                <w:sz w:val="24"/>
              </w:rPr>
            </w:pPr>
            <w:r>
              <w:rPr>
                <w:color w:val="000000"/>
                <w:kern w:val="0"/>
                <w:sz w:val="24"/>
                <w:lang w:bidi="ar"/>
              </w:rPr>
              <w:t>1</w:t>
            </w:r>
            <w:r>
              <w:rPr>
                <w:rFonts w:hint="eastAsia"/>
                <w:color w:val="000000"/>
                <w:kern w:val="0"/>
                <w:sz w:val="24"/>
                <w:lang w:bidi="ar"/>
              </w:rPr>
              <w:t>2</w:t>
            </w:r>
          </w:p>
        </w:tc>
        <w:tc>
          <w:tcPr>
            <w:tcW w:w="3887" w:type="dxa"/>
            <w:tcBorders>
              <w:top w:val="nil"/>
              <w:left w:val="nil"/>
              <w:bottom w:val="single" w:color="000000" w:sz="8" w:space="0"/>
              <w:right w:val="single" w:color="000000" w:sz="8" w:space="0"/>
            </w:tcBorders>
            <w:noWrap w:val="0"/>
            <w:vAlign w:val="center"/>
          </w:tcPr>
          <w:p w14:paraId="0B8BA203">
            <w:pPr>
              <w:widowControl/>
              <w:spacing w:line="380" w:lineRule="exact"/>
              <w:jc w:val="center"/>
              <w:textAlignment w:val="center"/>
              <w:rPr>
                <w:rFonts w:eastAsia="方正仿宋_GBK"/>
                <w:color w:val="000000"/>
                <w:sz w:val="24"/>
              </w:rPr>
            </w:pPr>
            <w:r>
              <w:rPr>
                <w:rFonts w:hAnsi="方正仿宋_GBK" w:eastAsia="方正仿宋_GBK"/>
                <w:color w:val="000000"/>
                <w:kern w:val="0"/>
                <w:sz w:val="24"/>
                <w:lang w:bidi="ar"/>
              </w:rPr>
              <w:t>基本公共卫生服务知晓率</w:t>
            </w:r>
          </w:p>
        </w:tc>
        <w:tc>
          <w:tcPr>
            <w:tcW w:w="788" w:type="dxa"/>
            <w:tcBorders>
              <w:top w:val="nil"/>
              <w:left w:val="nil"/>
              <w:bottom w:val="single" w:color="000000" w:sz="8" w:space="0"/>
              <w:right w:val="single" w:color="000000" w:sz="8" w:space="0"/>
            </w:tcBorders>
            <w:noWrap w:val="0"/>
            <w:vAlign w:val="center"/>
          </w:tcPr>
          <w:p w14:paraId="0AD980E9">
            <w:pPr>
              <w:widowControl/>
              <w:spacing w:line="380" w:lineRule="exact"/>
              <w:jc w:val="center"/>
              <w:textAlignment w:val="center"/>
              <w:rPr>
                <w:color w:val="000000"/>
                <w:sz w:val="24"/>
              </w:rPr>
            </w:pPr>
            <w:r>
              <w:rPr>
                <w:color w:val="000000"/>
                <w:kern w:val="0"/>
                <w:sz w:val="24"/>
                <w:lang w:bidi="ar"/>
              </w:rPr>
              <w:t>%</w:t>
            </w:r>
          </w:p>
        </w:tc>
        <w:tc>
          <w:tcPr>
            <w:tcW w:w="1350" w:type="dxa"/>
            <w:tcBorders>
              <w:top w:val="nil"/>
              <w:left w:val="nil"/>
              <w:bottom w:val="single" w:color="000000" w:sz="8" w:space="0"/>
              <w:right w:val="single" w:color="000000" w:sz="8" w:space="0"/>
            </w:tcBorders>
            <w:noWrap/>
            <w:vAlign w:val="center"/>
          </w:tcPr>
          <w:p w14:paraId="1022B941">
            <w:pPr>
              <w:spacing w:line="380" w:lineRule="exact"/>
              <w:jc w:val="center"/>
              <w:rPr>
                <w:color w:val="000000"/>
                <w:sz w:val="24"/>
              </w:rPr>
            </w:pPr>
            <w:r>
              <w:rPr>
                <w:color w:val="000000"/>
                <w:sz w:val="24"/>
              </w:rPr>
              <w:t>71.5</w:t>
            </w:r>
          </w:p>
        </w:tc>
        <w:tc>
          <w:tcPr>
            <w:tcW w:w="1097" w:type="dxa"/>
            <w:tcBorders>
              <w:top w:val="nil"/>
              <w:left w:val="nil"/>
              <w:bottom w:val="single" w:color="000000" w:sz="8" w:space="0"/>
              <w:right w:val="single" w:color="000000" w:sz="8" w:space="0"/>
            </w:tcBorders>
            <w:noWrap/>
            <w:vAlign w:val="center"/>
          </w:tcPr>
          <w:p w14:paraId="156A774A">
            <w:pPr>
              <w:widowControl/>
              <w:spacing w:line="380" w:lineRule="exact"/>
              <w:jc w:val="center"/>
              <w:textAlignment w:val="center"/>
              <w:rPr>
                <w:rFonts w:eastAsia="方正仿宋_GBK"/>
                <w:color w:val="000000"/>
                <w:sz w:val="24"/>
              </w:rPr>
            </w:pPr>
            <w:r>
              <w:rPr>
                <w:rFonts w:eastAsia="方正仿宋_GBK"/>
                <w:color w:val="000000"/>
                <w:kern w:val="0"/>
                <w:sz w:val="24"/>
                <w:lang w:bidi="ar"/>
              </w:rPr>
              <w:t>≥72</w:t>
            </w:r>
          </w:p>
        </w:tc>
        <w:tc>
          <w:tcPr>
            <w:tcW w:w="1250" w:type="dxa"/>
            <w:tcBorders>
              <w:top w:val="nil"/>
              <w:left w:val="nil"/>
              <w:bottom w:val="single" w:color="000000" w:sz="8" w:space="0"/>
              <w:right w:val="single" w:color="000000" w:sz="8" w:space="0"/>
            </w:tcBorders>
            <w:noWrap w:val="0"/>
            <w:vAlign w:val="center"/>
          </w:tcPr>
          <w:p w14:paraId="3B1310DB">
            <w:pPr>
              <w:widowControl/>
              <w:spacing w:line="380" w:lineRule="exact"/>
              <w:jc w:val="center"/>
              <w:textAlignment w:val="center"/>
              <w:rPr>
                <w:rFonts w:eastAsia="方正仿宋_GBK"/>
                <w:color w:val="000000"/>
                <w:sz w:val="24"/>
              </w:rPr>
            </w:pPr>
            <w:r>
              <w:rPr>
                <w:rFonts w:eastAsia="方正仿宋_GBK"/>
                <w:color w:val="000000"/>
                <w:kern w:val="0"/>
                <w:sz w:val="24"/>
                <w:lang w:bidi="ar"/>
              </w:rPr>
              <w:t>≥74</w:t>
            </w:r>
          </w:p>
        </w:tc>
      </w:tr>
    </w:tbl>
    <w:p w14:paraId="6B4F437B">
      <w:pPr>
        <w:pBdr>
          <w:top w:val="none" w:color="auto" w:sz="0" w:space="1"/>
          <w:left w:val="none" w:color="auto" w:sz="0" w:space="4"/>
          <w:bottom w:val="none" w:color="auto" w:sz="0" w:space="1"/>
          <w:right w:val="none" w:color="auto" w:sz="0" w:space="4"/>
        </w:pBdr>
        <w:adjustRightInd w:val="0"/>
        <w:snapToGrid w:val="0"/>
        <w:spacing w:line="600" w:lineRule="exact"/>
        <w:rPr>
          <w:rFonts w:hint="eastAsia"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附件3</w:t>
      </w:r>
    </w:p>
    <w:p w14:paraId="08ECA9D1">
      <w:pPr>
        <w:pStyle w:val="2"/>
        <w:spacing w:line="240" w:lineRule="exact"/>
        <w:rPr>
          <w:rFonts w:hint="eastAsia"/>
        </w:rPr>
      </w:pPr>
    </w:p>
    <w:p w14:paraId="2532E850">
      <w:pPr>
        <w:spacing w:line="594"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紧密型县域医共体建设监测指标体系（试行）</w:t>
      </w:r>
    </w:p>
    <w:p w14:paraId="3F689768">
      <w:pPr>
        <w:pStyle w:val="2"/>
        <w:rPr>
          <w:rFonts w:hint="eastAsia"/>
          <w:lang w:val="en-US" w:eastAsia="zh-CN"/>
        </w:rPr>
      </w:pPr>
    </w:p>
    <w:tbl>
      <w:tblPr>
        <w:tblStyle w:val="11"/>
        <w:tblpPr w:leftFromText="180" w:rightFromText="180" w:vertAnchor="text" w:horzAnchor="page" w:tblpXSpec="center" w:tblpY="269"/>
        <w:tblOverlap w:val="never"/>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725"/>
        <w:gridCol w:w="5998"/>
      </w:tblGrid>
      <w:tr w14:paraId="617F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blHeader/>
        </w:trPr>
        <w:tc>
          <w:tcPr>
            <w:tcW w:w="1200" w:type="dxa"/>
            <w:noWrap w:val="0"/>
            <w:vAlign w:val="center"/>
          </w:tcPr>
          <w:p w14:paraId="3D11D893">
            <w:pPr>
              <w:spacing w:line="320" w:lineRule="exact"/>
              <w:jc w:val="center"/>
              <w:rPr>
                <w:rFonts w:eastAsia="黑体"/>
                <w:bCs/>
                <w:color w:val="000000"/>
                <w:sz w:val="24"/>
                <w:szCs w:val="22"/>
              </w:rPr>
            </w:pPr>
            <w:r>
              <w:rPr>
                <w:rFonts w:eastAsia="黑体"/>
                <w:bCs/>
                <w:color w:val="000000"/>
                <w:sz w:val="24"/>
                <w:szCs w:val="22"/>
              </w:rPr>
              <w:t>一级指标</w:t>
            </w:r>
          </w:p>
        </w:tc>
        <w:tc>
          <w:tcPr>
            <w:tcW w:w="1725" w:type="dxa"/>
            <w:noWrap w:val="0"/>
            <w:vAlign w:val="center"/>
          </w:tcPr>
          <w:p w14:paraId="72D16203">
            <w:pPr>
              <w:widowControl/>
              <w:spacing w:line="320" w:lineRule="exact"/>
              <w:jc w:val="center"/>
              <w:rPr>
                <w:rFonts w:eastAsia="黑体"/>
                <w:bCs/>
                <w:color w:val="000000"/>
                <w:kern w:val="0"/>
                <w:sz w:val="24"/>
                <w:szCs w:val="22"/>
              </w:rPr>
            </w:pPr>
            <w:r>
              <w:rPr>
                <w:rFonts w:eastAsia="黑体"/>
                <w:bCs/>
                <w:color w:val="000000"/>
                <w:kern w:val="0"/>
                <w:sz w:val="24"/>
                <w:szCs w:val="22"/>
              </w:rPr>
              <w:t>二级指标</w:t>
            </w:r>
          </w:p>
        </w:tc>
        <w:tc>
          <w:tcPr>
            <w:tcW w:w="5998" w:type="dxa"/>
            <w:noWrap w:val="0"/>
            <w:vAlign w:val="center"/>
          </w:tcPr>
          <w:p w14:paraId="35B5A779">
            <w:pPr>
              <w:widowControl/>
              <w:spacing w:line="320" w:lineRule="exact"/>
              <w:jc w:val="center"/>
              <w:rPr>
                <w:rFonts w:eastAsia="黑体"/>
                <w:bCs/>
                <w:color w:val="000000"/>
                <w:kern w:val="0"/>
                <w:sz w:val="24"/>
                <w:szCs w:val="22"/>
              </w:rPr>
            </w:pPr>
            <w:r>
              <w:rPr>
                <w:rFonts w:eastAsia="黑体"/>
                <w:bCs/>
                <w:color w:val="000000"/>
                <w:kern w:val="0"/>
                <w:sz w:val="24"/>
                <w:szCs w:val="22"/>
              </w:rPr>
              <w:t>指标说明</w:t>
            </w:r>
          </w:p>
        </w:tc>
      </w:tr>
      <w:tr w14:paraId="2896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1200" w:type="dxa"/>
            <w:vMerge w:val="restart"/>
            <w:noWrap w:val="0"/>
            <w:vAlign w:val="center"/>
          </w:tcPr>
          <w:p w14:paraId="2C285222">
            <w:pPr>
              <w:widowControl/>
              <w:spacing w:line="320" w:lineRule="exact"/>
              <w:jc w:val="center"/>
              <w:rPr>
                <w:rFonts w:eastAsia="仿宋_GB2312"/>
                <w:color w:val="000000"/>
                <w:sz w:val="24"/>
              </w:rPr>
            </w:pPr>
            <w:r>
              <w:rPr>
                <w:rFonts w:eastAsia="方正黑体_GBK"/>
                <w:color w:val="000000"/>
                <w:sz w:val="24"/>
              </w:rPr>
              <w:t>一、有序就医格局基本形成</w:t>
            </w:r>
          </w:p>
        </w:tc>
        <w:tc>
          <w:tcPr>
            <w:tcW w:w="1725" w:type="dxa"/>
            <w:noWrap w:val="0"/>
            <w:vAlign w:val="center"/>
          </w:tcPr>
          <w:p w14:paraId="10402475">
            <w:pPr>
              <w:spacing w:line="320" w:lineRule="exact"/>
              <w:rPr>
                <w:rFonts w:eastAsia="方正仿宋_GBK"/>
                <w:color w:val="000000"/>
                <w:sz w:val="24"/>
              </w:rPr>
            </w:pPr>
            <w:r>
              <w:rPr>
                <w:rFonts w:eastAsia="方正仿宋_GBK"/>
                <w:color w:val="000000"/>
                <w:sz w:val="24"/>
              </w:rPr>
              <w:t>1.县域内住院人次占比（%）</w:t>
            </w:r>
          </w:p>
        </w:tc>
        <w:tc>
          <w:tcPr>
            <w:tcW w:w="5998" w:type="dxa"/>
            <w:noWrap w:val="0"/>
            <w:vAlign w:val="center"/>
          </w:tcPr>
          <w:p w14:paraId="0D2E3022">
            <w:pPr>
              <w:spacing w:line="300" w:lineRule="exact"/>
              <w:rPr>
                <w:rFonts w:eastAsia="方正仿宋_GBK"/>
                <w:color w:val="000000"/>
                <w:sz w:val="24"/>
              </w:rPr>
            </w:pPr>
            <w:r>
              <w:rPr>
                <w:rFonts w:eastAsia="方正仿宋_GBK"/>
                <w:color w:val="000000"/>
                <w:sz w:val="24"/>
              </w:rPr>
              <w:t>【计算方法】</w:t>
            </w:r>
          </w:p>
          <w:p w14:paraId="2088D482">
            <w:pPr>
              <w:spacing w:line="300" w:lineRule="exact"/>
              <w:rPr>
                <w:rFonts w:eastAsia="方正仿宋_GBK"/>
                <w:color w:val="000000"/>
                <w:sz w:val="24"/>
              </w:rPr>
            </w:pPr>
            <w:r>
              <w:rPr>
                <w:rFonts w:eastAsia="方正仿宋_GBK"/>
                <w:color w:val="000000"/>
                <w:sz w:val="24"/>
              </w:rPr>
              <w:t>县域内住院人次占比（%）=参保人员县域内住院人次/参保人员住院总人次×100%</w:t>
            </w:r>
          </w:p>
          <w:p w14:paraId="7E0279AA">
            <w:pPr>
              <w:spacing w:line="300" w:lineRule="exact"/>
              <w:rPr>
                <w:rFonts w:eastAsia="方正仿宋_GBK"/>
                <w:color w:val="000000"/>
                <w:sz w:val="24"/>
              </w:rPr>
            </w:pPr>
            <w:r>
              <w:rPr>
                <w:rFonts w:eastAsia="方正仿宋_GBK"/>
                <w:color w:val="000000"/>
                <w:sz w:val="24"/>
              </w:rPr>
              <w:t>【数据来源】卫生健康部门或医保信息系统。</w:t>
            </w:r>
          </w:p>
        </w:tc>
      </w:tr>
      <w:tr w14:paraId="1E74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1200" w:type="dxa"/>
            <w:vMerge w:val="continue"/>
            <w:noWrap w:val="0"/>
            <w:vAlign w:val="center"/>
          </w:tcPr>
          <w:p w14:paraId="1561FD37">
            <w:pPr>
              <w:widowControl/>
              <w:spacing w:line="320" w:lineRule="exact"/>
              <w:jc w:val="left"/>
              <w:rPr>
                <w:rFonts w:eastAsia="仿宋_GB2312"/>
                <w:color w:val="000000"/>
                <w:sz w:val="24"/>
              </w:rPr>
            </w:pPr>
          </w:p>
        </w:tc>
        <w:tc>
          <w:tcPr>
            <w:tcW w:w="1725" w:type="dxa"/>
            <w:noWrap w:val="0"/>
            <w:vAlign w:val="center"/>
          </w:tcPr>
          <w:p w14:paraId="1A53B07A">
            <w:pPr>
              <w:spacing w:line="300" w:lineRule="exact"/>
              <w:rPr>
                <w:rFonts w:eastAsia="方正仿宋_GBK"/>
                <w:color w:val="000000"/>
                <w:sz w:val="24"/>
              </w:rPr>
            </w:pPr>
            <w:r>
              <w:rPr>
                <w:rFonts w:eastAsia="方正仿宋_GBK"/>
                <w:color w:val="000000"/>
                <w:sz w:val="24"/>
              </w:rPr>
              <w:t>2.县域就诊率（%）</w:t>
            </w:r>
          </w:p>
        </w:tc>
        <w:tc>
          <w:tcPr>
            <w:tcW w:w="5998" w:type="dxa"/>
            <w:noWrap w:val="0"/>
            <w:vAlign w:val="center"/>
          </w:tcPr>
          <w:p w14:paraId="15B5E4D7">
            <w:pPr>
              <w:spacing w:line="300" w:lineRule="exact"/>
              <w:rPr>
                <w:rFonts w:eastAsia="方正仿宋_GBK"/>
                <w:color w:val="000000"/>
                <w:sz w:val="24"/>
              </w:rPr>
            </w:pPr>
            <w:r>
              <w:rPr>
                <w:rFonts w:eastAsia="方正仿宋_GBK"/>
                <w:color w:val="000000"/>
                <w:sz w:val="24"/>
              </w:rPr>
              <w:t>【计算方法】</w:t>
            </w:r>
          </w:p>
          <w:p w14:paraId="64DBE5D2">
            <w:pPr>
              <w:spacing w:line="300" w:lineRule="exact"/>
              <w:rPr>
                <w:rFonts w:eastAsia="方正仿宋_GBK"/>
                <w:color w:val="000000"/>
                <w:sz w:val="24"/>
              </w:rPr>
            </w:pPr>
            <w:r>
              <w:rPr>
                <w:rFonts w:eastAsia="方正仿宋_GBK"/>
                <w:color w:val="000000"/>
                <w:sz w:val="24"/>
              </w:rPr>
              <w:t>县域就诊率（%）=参保人员县域内门急诊人次/参保人员门急诊总人次×100%</w:t>
            </w:r>
          </w:p>
          <w:p w14:paraId="2392D37C">
            <w:pPr>
              <w:spacing w:line="300" w:lineRule="exact"/>
              <w:rPr>
                <w:rFonts w:eastAsia="方正仿宋_GBK"/>
                <w:color w:val="000000"/>
                <w:sz w:val="24"/>
              </w:rPr>
            </w:pPr>
            <w:r>
              <w:rPr>
                <w:rFonts w:eastAsia="方正仿宋_GBK"/>
                <w:color w:val="000000"/>
                <w:sz w:val="24"/>
              </w:rPr>
              <w:t>【数据来源】卫生健康部门或医保信息系统。</w:t>
            </w:r>
          </w:p>
        </w:tc>
      </w:tr>
      <w:tr w14:paraId="6789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1200" w:type="dxa"/>
            <w:vMerge w:val="continue"/>
            <w:noWrap w:val="0"/>
            <w:vAlign w:val="center"/>
          </w:tcPr>
          <w:p w14:paraId="6A45253B">
            <w:pPr>
              <w:widowControl/>
              <w:spacing w:line="320" w:lineRule="exact"/>
              <w:jc w:val="left"/>
              <w:rPr>
                <w:rFonts w:eastAsia="仿宋_GB2312"/>
                <w:color w:val="000000"/>
                <w:sz w:val="24"/>
              </w:rPr>
            </w:pPr>
          </w:p>
        </w:tc>
        <w:tc>
          <w:tcPr>
            <w:tcW w:w="1725" w:type="dxa"/>
            <w:noWrap w:val="0"/>
            <w:vAlign w:val="center"/>
          </w:tcPr>
          <w:p w14:paraId="75A04683">
            <w:pPr>
              <w:spacing w:line="300" w:lineRule="exact"/>
              <w:rPr>
                <w:rFonts w:eastAsia="方正仿宋_GBK"/>
                <w:color w:val="000000"/>
                <w:sz w:val="24"/>
              </w:rPr>
            </w:pPr>
            <w:r>
              <w:rPr>
                <w:rFonts w:eastAsia="方正仿宋_GBK"/>
                <w:color w:val="000000"/>
                <w:sz w:val="24"/>
              </w:rPr>
              <w:t>3.县域内基层医疗卫生机构门急诊占比（%）</w:t>
            </w:r>
          </w:p>
        </w:tc>
        <w:tc>
          <w:tcPr>
            <w:tcW w:w="5998" w:type="dxa"/>
            <w:noWrap w:val="0"/>
            <w:vAlign w:val="center"/>
          </w:tcPr>
          <w:p w14:paraId="3569F349">
            <w:pPr>
              <w:spacing w:line="300" w:lineRule="exact"/>
              <w:rPr>
                <w:rFonts w:eastAsia="方正仿宋_GBK"/>
                <w:color w:val="000000"/>
                <w:sz w:val="24"/>
              </w:rPr>
            </w:pPr>
            <w:r>
              <w:rPr>
                <w:rFonts w:eastAsia="方正仿宋_GBK"/>
                <w:color w:val="000000"/>
                <w:sz w:val="24"/>
              </w:rPr>
              <w:t>【计算方法】</w:t>
            </w:r>
          </w:p>
          <w:p w14:paraId="11F36CD9">
            <w:pPr>
              <w:spacing w:line="300" w:lineRule="exact"/>
              <w:rPr>
                <w:rFonts w:eastAsia="方正仿宋_GBK"/>
                <w:color w:val="000000"/>
                <w:sz w:val="24"/>
              </w:rPr>
            </w:pPr>
            <w:r>
              <w:rPr>
                <w:rFonts w:eastAsia="方正仿宋_GBK"/>
                <w:color w:val="000000"/>
                <w:sz w:val="24"/>
              </w:rPr>
              <w:t>县域内基层医疗卫生机构门急诊占比（%）=基层医疗卫生机构门急诊人次/县域内门急诊总人次×100%</w:t>
            </w:r>
          </w:p>
          <w:p w14:paraId="77D7D2EE">
            <w:pPr>
              <w:spacing w:line="300" w:lineRule="exact"/>
              <w:rPr>
                <w:rFonts w:eastAsia="方正仿宋_GBK"/>
                <w:color w:val="000000"/>
                <w:sz w:val="24"/>
              </w:rPr>
            </w:pPr>
            <w:r>
              <w:rPr>
                <w:rFonts w:eastAsia="方正仿宋_GBK"/>
                <w:color w:val="000000"/>
                <w:sz w:val="24"/>
              </w:rPr>
              <w:t>【数据来源】卫生财务年报。</w:t>
            </w:r>
          </w:p>
        </w:tc>
      </w:tr>
      <w:tr w14:paraId="0861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trPr>
        <w:tc>
          <w:tcPr>
            <w:tcW w:w="1200" w:type="dxa"/>
            <w:vMerge w:val="continue"/>
            <w:noWrap w:val="0"/>
            <w:vAlign w:val="center"/>
          </w:tcPr>
          <w:p w14:paraId="41E8E85B">
            <w:pPr>
              <w:widowControl/>
              <w:spacing w:line="320" w:lineRule="exact"/>
              <w:jc w:val="left"/>
              <w:rPr>
                <w:rFonts w:eastAsia="仿宋_GB2312"/>
                <w:color w:val="000000"/>
                <w:sz w:val="24"/>
              </w:rPr>
            </w:pPr>
          </w:p>
        </w:tc>
        <w:tc>
          <w:tcPr>
            <w:tcW w:w="1725" w:type="dxa"/>
            <w:noWrap w:val="0"/>
            <w:vAlign w:val="center"/>
          </w:tcPr>
          <w:p w14:paraId="10C2AF08">
            <w:pPr>
              <w:spacing w:line="300" w:lineRule="exact"/>
              <w:rPr>
                <w:rFonts w:eastAsia="方正仿宋_GBK"/>
                <w:color w:val="000000"/>
                <w:sz w:val="24"/>
              </w:rPr>
            </w:pPr>
            <w:r>
              <w:rPr>
                <w:rFonts w:eastAsia="方正仿宋_GBK"/>
                <w:color w:val="000000"/>
                <w:sz w:val="24"/>
              </w:rPr>
              <w:t>4.县域内基层医疗卫生机构中医药门急诊占比（%）</w:t>
            </w:r>
          </w:p>
        </w:tc>
        <w:tc>
          <w:tcPr>
            <w:tcW w:w="5998" w:type="dxa"/>
            <w:noWrap w:val="0"/>
            <w:vAlign w:val="center"/>
          </w:tcPr>
          <w:p w14:paraId="41811432">
            <w:pPr>
              <w:spacing w:line="300" w:lineRule="exact"/>
              <w:rPr>
                <w:rFonts w:eastAsia="方正仿宋_GBK"/>
                <w:color w:val="000000"/>
                <w:sz w:val="24"/>
              </w:rPr>
            </w:pPr>
            <w:r>
              <w:rPr>
                <w:rFonts w:eastAsia="方正仿宋_GBK"/>
                <w:color w:val="000000"/>
                <w:sz w:val="24"/>
              </w:rPr>
              <w:t>【计算方法】</w:t>
            </w:r>
          </w:p>
          <w:p w14:paraId="36BEBF5B">
            <w:pPr>
              <w:spacing w:line="300" w:lineRule="exact"/>
              <w:rPr>
                <w:rFonts w:eastAsia="方正仿宋_GBK"/>
                <w:color w:val="000000"/>
                <w:sz w:val="24"/>
              </w:rPr>
            </w:pPr>
            <w:r>
              <w:rPr>
                <w:rFonts w:eastAsia="方正仿宋_GBK"/>
                <w:color w:val="000000"/>
                <w:sz w:val="24"/>
              </w:rPr>
              <w:t>县域内基层医疗卫生机构中医药门急诊占比（%）=基层医疗卫生机构中医类临床科室门急诊人次/县域内门急诊总人次×100%</w:t>
            </w:r>
          </w:p>
          <w:p w14:paraId="6938E2F9">
            <w:pPr>
              <w:spacing w:line="300" w:lineRule="exact"/>
              <w:rPr>
                <w:rFonts w:eastAsia="方正仿宋_GBK"/>
                <w:color w:val="000000"/>
                <w:sz w:val="24"/>
              </w:rPr>
            </w:pPr>
            <w:r>
              <w:rPr>
                <w:rFonts w:eastAsia="方正仿宋_GBK"/>
                <w:color w:val="000000"/>
                <w:sz w:val="24"/>
              </w:rPr>
              <w:t>【数据来源】卫生健康统计年鉴。</w:t>
            </w:r>
          </w:p>
        </w:tc>
      </w:tr>
      <w:tr w14:paraId="7EBC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exact"/>
        </w:trPr>
        <w:tc>
          <w:tcPr>
            <w:tcW w:w="1200" w:type="dxa"/>
            <w:vMerge w:val="continue"/>
            <w:noWrap w:val="0"/>
            <w:vAlign w:val="center"/>
          </w:tcPr>
          <w:p w14:paraId="6E9F61C2">
            <w:pPr>
              <w:widowControl/>
              <w:spacing w:line="320" w:lineRule="exact"/>
              <w:jc w:val="left"/>
              <w:rPr>
                <w:rFonts w:eastAsia="仿宋_GB2312"/>
                <w:color w:val="000000"/>
                <w:sz w:val="24"/>
              </w:rPr>
            </w:pPr>
          </w:p>
        </w:tc>
        <w:tc>
          <w:tcPr>
            <w:tcW w:w="1725" w:type="dxa"/>
            <w:noWrap w:val="0"/>
            <w:vAlign w:val="center"/>
          </w:tcPr>
          <w:p w14:paraId="5F3F3E44">
            <w:pPr>
              <w:spacing w:line="300" w:lineRule="exact"/>
              <w:rPr>
                <w:rFonts w:eastAsia="方正仿宋_GBK"/>
                <w:color w:val="000000"/>
                <w:sz w:val="24"/>
              </w:rPr>
            </w:pPr>
            <w:r>
              <w:rPr>
                <w:rFonts w:eastAsia="方正仿宋_GBK"/>
                <w:color w:val="000000"/>
                <w:sz w:val="24"/>
              </w:rPr>
              <w:t>5.牵头医院下转患者数量占比（%）</w:t>
            </w:r>
          </w:p>
        </w:tc>
        <w:tc>
          <w:tcPr>
            <w:tcW w:w="5998" w:type="dxa"/>
            <w:noWrap w:val="0"/>
            <w:vAlign w:val="center"/>
          </w:tcPr>
          <w:p w14:paraId="46186610">
            <w:pPr>
              <w:spacing w:line="300" w:lineRule="exact"/>
              <w:rPr>
                <w:rFonts w:eastAsia="方正仿宋_GBK"/>
                <w:color w:val="000000"/>
                <w:sz w:val="24"/>
              </w:rPr>
            </w:pPr>
            <w:r>
              <w:rPr>
                <w:rFonts w:eastAsia="方正仿宋_GBK"/>
                <w:color w:val="000000"/>
                <w:sz w:val="24"/>
              </w:rPr>
              <w:t>【计算方法】</w:t>
            </w:r>
          </w:p>
          <w:p w14:paraId="45A37C5E">
            <w:pPr>
              <w:spacing w:line="300" w:lineRule="exact"/>
              <w:rPr>
                <w:rFonts w:eastAsia="方正仿宋_GBK"/>
                <w:color w:val="000000"/>
                <w:sz w:val="24"/>
              </w:rPr>
            </w:pPr>
            <w:r>
              <w:rPr>
                <w:rFonts w:eastAsia="方正仿宋_GBK"/>
                <w:color w:val="000000"/>
                <w:sz w:val="24"/>
              </w:rPr>
              <w:t>牵头医院下转患者数量占比（%）=牵头医院本年度向基层下转住院患者人次/牵头医院总出院患者人次×100%</w:t>
            </w:r>
          </w:p>
          <w:p w14:paraId="5EEE5F75">
            <w:pPr>
              <w:spacing w:line="300" w:lineRule="exact"/>
              <w:rPr>
                <w:rFonts w:eastAsia="方正仿宋_GBK"/>
                <w:color w:val="000000"/>
                <w:sz w:val="24"/>
              </w:rPr>
            </w:pPr>
            <w:r>
              <w:rPr>
                <w:rFonts w:eastAsia="方正仿宋_GBK"/>
                <w:color w:val="000000"/>
                <w:sz w:val="24"/>
              </w:rPr>
              <w:t>【数据来源】医联体监测平台。</w:t>
            </w:r>
          </w:p>
        </w:tc>
      </w:tr>
      <w:tr w14:paraId="0E3A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exact"/>
        </w:trPr>
        <w:tc>
          <w:tcPr>
            <w:tcW w:w="1200" w:type="dxa"/>
            <w:vMerge w:val="continue"/>
            <w:noWrap w:val="0"/>
            <w:vAlign w:val="center"/>
          </w:tcPr>
          <w:p w14:paraId="51C35531">
            <w:pPr>
              <w:widowControl/>
              <w:spacing w:line="320" w:lineRule="exact"/>
              <w:jc w:val="left"/>
              <w:rPr>
                <w:rFonts w:eastAsia="仿宋_GB2312"/>
                <w:color w:val="000000"/>
                <w:sz w:val="24"/>
              </w:rPr>
            </w:pPr>
          </w:p>
        </w:tc>
        <w:tc>
          <w:tcPr>
            <w:tcW w:w="1725" w:type="dxa"/>
            <w:noWrap w:val="0"/>
            <w:vAlign w:val="center"/>
          </w:tcPr>
          <w:p w14:paraId="21B89866">
            <w:pPr>
              <w:spacing w:line="300" w:lineRule="exact"/>
              <w:rPr>
                <w:rFonts w:eastAsia="方正仿宋_GBK"/>
                <w:color w:val="000000"/>
                <w:sz w:val="24"/>
              </w:rPr>
            </w:pPr>
            <w:r>
              <w:rPr>
                <w:rFonts w:eastAsia="方正仿宋_GBK"/>
                <w:color w:val="000000"/>
                <w:sz w:val="24"/>
              </w:rPr>
              <w:t>6.慢病患者基层医疗卫生机构管理率（%）</w:t>
            </w:r>
          </w:p>
        </w:tc>
        <w:tc>
          <w:tcPr>
            <w:tcW w:w="5998" w:type="dxa"/>
            <w:noWrap w:val="0"/>
            <w:vAlign w:val="center"/>
          </w:tcPr>
          <w:p w14:paraId="468C8386">
            <w:pPr>
              <w:spacing w:line="300" w:lineRule="exact"/>
              <w:rPr>
                <w:rFonts w:eastAsia="方正仿宋_GBK"/>
                <w:color w:val="000000"/>
                <w:sz w:val="24"/>
              </w:rPr>
            </w:pPr>
            <w:r>
              <w:rPr>
                <w:rFonts w:eastAsia="方正仿宋_GBK"/>
                <w:color w:val="000000"/>
                <w:sz w:val="24"/>
              </w:rPr>
              <w:t>【计算方法】</w:t>
            </w:r>
          </w:p>
          <w:p w14:paraId="6FC3B3E9">
            <w:pPr>
              <w:spacing w:line="300" w:lineRule="exact"/>
              <w:rPr>
                <w:rFonts w:eastAsia="方正仿宋_GBK"/>
                <w:color w:val="000000"/>
                <w:sz w:val="24"/>
              </w:rPr>
            </w:pPr>
            <w:r>
              <w:rPr>
                <w:rFonts w:eastAsia="方正仿宋_GBK"/>
                <w:color w:val="000000"/>
                <w:sz w:val="24"/>
              </w:rPr>
              <w:t>慢病患者基层医疗卫生机构管理率（%）=高血压、糖尿病患者管理人数/高血压、糖尿病患者确诊登记人数×100%</w:t>
            </w:r>
          </w:p>
          <w:p w14:paraId="6248FD4F">
            <w:pPr>
              <w:spacing w:line="300" w:lineRule="exact"/>
              <w:rPr>
                <w:rFonts w:eastAsia="方正仿宋_GBK"/>
                <w:color w:val="000000"/>
                <w:sz w:val="24"/>
              </w:rPr>
            </w:pPr>
            <w:r>
              <w:rPr>
                <w:rFonts w:eastAsia="方正仿宋_GBK"/>
                <w:color w:val="000000"/>
                <w:sz w:val="24"/>
              </w:rPr>
              <w:t>【数据来源】基层公共卫生信息系统、医疗服务年报。</w:t>
            </w:r>
          </w:p>
        </w:tc>
      </w:tr>
      <w:tr w14:paraId="70CF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exact"/>
        </w:trPr>
        <w:tc>
          <w:tcPr>
            <w:tcW w:w="1200" w:type="dxa"/>
            <w:vMerge w:val="continue"/>
            <w:noWrap w:val="0"/>
            <w:vAlign w:val="center"/>
          </w:tcPr>
          <w:p w14:paraId="151FFF6F">
            <w:pPr>
              <w:widowControl/>
              <w:spacing w:line="320" w:lineRule="exact"/>
              <w:jc w:val="left"/>
              <w:rPr>
                <w:rFonts w:eastAsia="仿宋_GB2312"/>
                <w:color w:val="000000"/>
                <w:sz w:val="24"/>
              </w:rPr>
            </w:pPr>
          </w:p>
        </w:tc>
        <w:tc>
          <w:tcPr>
            <w:tcW w:w="1725" w:type="dxa"/>
            <w:noWrap w:val="0"/>
            <w:vAlign w:val="center"/>
          </w:tcPr>
          <w:p w14:paraId="4D63F552">
            <w:pPr>
              <w:spacing w:line="300" w:lineRule="exact"/>
              <w:rPr>
                <w:rFonts w:eastAsia="方正仿宋_GBK"/>
                <w:color w:val="000000"/>
                <w:sz w:val="24"/>
              </w:rPr>
            </w:pPr>
            <w:r>
              <w:rPr>
                <w:rFonts w:eastAsia="方正仿宋_GBK"/>
                <w:color w:val="000000"/>
                <w:sz w:val="24"/>
              </w:rPr>
              <w:t>7.基层医疗卫生机构人均收入与牵头医院人均收入的比值</w:t>
            </w:r>
          </w:p>
        </w:tc>
        <w:tc>
          <w:tcPr>
            <w:tcW w:w="5998" w:type="dxa"/>
            <w:noWrap w:val="0"/>
            <w:vAlign w:val="center"/>
          </w:tcPr>
          <w:p w14:paraId="0C8EA767">
            <w:pPr>
              <w:spacing w:line="300" w:lineRule="exact"/>
              <w:rPr>
                <w:rFonts w:eastAsia="方正仿宋_GBK"/>
                <w:color w:val="000000"/>
                <w:sz w:val="24"/>
              </w:rPr>
            </w:pPr>
            <w:r>
              <w:rPr>
                <w:rFonts w:eastAsia="方正仿宋_GBK"/>
                <w:color w:val="000000"/>
                <w:sz w:val="24"/>
              </w:rPr>
              <w:t>【计算方法】</w:t>
            </w:r>
          </w:p>
          <w:p w14:paraId="6CB8D4B7">
            <w:pPr>
              <w:spacing w:line="300" w:lineRule="exact"/>
              <w:rPr>
                <w:rFonts w:eastAsia="方正仿宋_GBK"/>
                <w:color w:val="000000"/>
                <w:sz w:val="24"/>
              </w:rPr>
            </w:pPr>
            <w:r>
              <w:rPr>
                <w:rFonts w:eastAsia="方正仿宋_GBK"/>
                <w:color w:val="000000"/>
                <w:sz w:val="24"/>
              </w:rPr>
              <w:t>基层医疗卫生机构人均收入与牵头医院人均收入的比值=基层医疗卫生机构人均收入/牵头医院人均收入</w:t>
            </w:r>
          </w:p>
          <w:p w14:paraId="1C2D5AFF">
            <w:pPr>
              <w:spacing w:line="300" w:lineRule="exact"/>
              <w:rPr>
                <w:rFonts w:eastAsia="方正仿宋_GBK"/>
                <w:color w:val="000000"/>
                <w:sz w:val="24"/>
              </w:rPr>
            </w:pPr>
            <w:r>
              <w:rPr>
                <w:rFonts w:eastAsia="方正仿宋_GBK"/>
                <w:color w:val="000000"/>
                <w:sz w:val="24"/>
              </w:rPr>
              <w:t>【数据来源】卫生财务年报。</w:t>
            </w:r>
          </w:p>
        </w:tc>
      </w:tr>
      <w:tr w14:paraId="312B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exact"/>
        </w:trPr>
        <w:tc>
          <w:tcPr>
            <w:tcW w:w="1200" w:type="dxa"/>
            <w:vMerge w:val="restart"/>
            <w:noWrap w:val="0"/>
            <w:vAlign w:val="center"/>
          </w:tcPr>
          <w:p w14:paraId="2167BC27">
            <w:pPr>
              <w:widowControl/>
              <w:spacing w:line="320" w:lineRule="exact"/>
              <w:jc w:val="center"/>
              <w:rPr>
                <w:rFonts w:eastAsia="仿宋_GB2312"/>
                <w:color w:val="000000"/>
                <w:sz w:val="24"/>
              </w:rPr>
            </w:pPr>
            <w:r>
              <w:rPr>
                <w:rFonts w:eastAsia="方正黑体_GBK"/>
                <w:color w:val="000000"/>
                <w:sz w:val="24"/>
              </w:rPr>
              <w:t>二、县域医疗卫生服务能力提升</w:t>
            </w:r>
          </w:p>
        </w:tc>
        <w:tc>
          <w:tcPr>
            <w:tcW w:w="1725" w:type="dxa"/>
            <w:noWrap w:val="0"/>
            <w:vAlign w:val="center"/>
          </w:tcPr>
          <w:p w14:paraId="6977A318">
            <w:pPr>
              <w:spacing w:line="300" w:lineRule="exact"/>
              <w:rPr>
                <w:rFonts w:eastAsia="方正仿宋_GBK"/>
                <w:color w:val="000000"/>
                <w:sz w:val="24"/>
              </w:rPr>
            </w:pPr>
            <w:r>
              <w:rPr>
                <w:rFonts w:eastAsia="方正仿宋_GBK"/>
                <w:color w:val="000000"/>
                <w:sz w:val="24"/>
              </w:rPr>
              <w:t>8.牵头医院是否达到县级综合医院或中医医院综合能力推荐标准</w:t>
            </w:r>
          </w:p>
        </w:tc>
        <w:tc>
          <w:tcPr>
            <w:tcW w:w="5998" w:type="dxa"/>
            <w:noWrap w:val="0"/>
            <w:vAlign w:val="center"/>
          </w:tcPr>
          <w:p w14:paraId="043B4102">
            <w:pPr>
              <w:spacing w:line="300" w:lineRule="exact"/>
              <w:rPr>
                <w:rFonts w:eastAsia="方正仿宋_GBK"/>
                <w:color w:val="000000"/>
                <w:sz w:val="24"/>
              </w:rPr>
            </w:pPr>
            <w:r>
              <w:rPr>
                <w:rFonts w:eastAsia="方正仿宋_GBK"/>
                <w:color w:val="000000"/>
                <w:sz w:val="24"/>
              </w:rPr>
              <w:t>【计算方法】</w:t>
            </w:r>
          </w:p>
          <w:p w14:paraId="0A6615DA">
            <w:pPr>
              <w:spacing w:line="300" w:lineRule="exact"/>
              <w:rPr>
                <w:rFonts w:hint="eastAsia" w:eastAsia="方正仿宋_GBK"/>
                <w:color w:val="000000"/>
                <w:sz w:val="24"/>
              </w:rPr>
            </w:pPr>
            <w:r>
              <w:rPr>
                <w:rFonts w:eastAsia="方正仿宋_GBK"/>
                <w:color w:val="000000"/>
                <w:sz w:val="24"/>
              </w:rPr>
              <w:t>牵头医院是否达到国家卫生健康委、国家中医药管理局印发的县医院、县级中医医院医疗服务能力推荐标准</w:t>
            </w:r>
            <w:r>
              <w:rPr>
                <w:rFonts w:hint="eastAsia" w:eastAsia="方正仿宋_GBK"/>
                <w:color w:val="000000"/>
                <w:sz w:val="24"/>
              </w:rPr>
              <w:t>。</w:t>
            </w:r>
          </w:p>
          <w:p w14:paraId="56012D3B">
            <w:pPr>
              <w:spacing w:line="300" w:lineRule="exact"/>
              <w:rPr>
                <w:rFonts w:eastAsia="方正仿宋_GBK"/>
                <w:color w:val="000000"/>
                <w:sz w:val="24"/>
              </w:rPr>
            </w:pPr>
            <w:r>
              <w:rPr>
                <w:rFonts w:eastAsia="方正仿宋_GBK"/>
                <w:color w:val="000000"/>
                <w:sz w:val="24"/>
              </w:rPr>
              <w:t>【数据来源】牵头医院。</w:t>
            </w:r>
          </w:p>
        </w:tc>
      </w:tr>
      <w:tr w14:paraId="0634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exact"/>
        </w:trPr>
        <w:tc>
          <w:tcPr>
            <w:tcW w:w="1200" w:type="dxa"/>
            <w:vMerge w:val="continue"/>
            <w:noWrap w:val="0"/>
            <w:vAlign w:val="center"/>
          </w:tcPr>
          <w:p w14:paraId="0AAC00AB">
            <w:pPr>
              <w:widowControl/>
              <w:spacing w:line="320" w:lineRule="exact"/>
              <w:jc w:val="left"/>
              <w:rPr>
                <w:rFonts w:eastAsia="仿宋_GB2312"/>
                <w:color w:val="000000"/>
                <w:sz w:val="24"/>
              </w:rPr>
            </w:pPr>
          </w:p>
        </w:tc>
        <w:tc>
          <w:tcPr>
            <w:tcW w:w="1725" w:type="dxa"/>
            <w:noWrap w:val="0"/>
            <w:vAlign w:val="center"/>
          </w:tcPr>
          <w:p w14:paraId="1D4369FD">
            <w:pPr>
              <w:spacing w:line="300" w:lineRule="exact"/>
              <w:rPr>
                <w:rFonts w:eastAsia="方正仿宋_GBK"/>
                <w:color w:val="000000"/>
                <w:sz w:val="24"/>
              </w:rPr>
            </w:pPr>
            <w:r>
              <w:rPr>
                <w:rFonts w:eastAsia="方正仿宋_GBK"/>
                <w:color w:val="000000"/>
                <w:sz w:val="24"/>
              </w:rPr>
              <w:t>9.牵头医院出院患者三四级手术比例（%）</w:t>
            </w:r>
          </w:p>
        </w:tc>
        <w:tc>
          <w:tcPr>
            <w:tcW w:w="5998" w:type="dxa"/>
            <w:noWrap w:val="0"/>
            <w:vAlign w:val="center"/>
          </w:tcPr>
          <w:p w14:paraId="74954C2C">
            <w:pPr>
              <w:spacing w:line="300" w:lineRule="exact"/>
              <w:rPr>
                <w:rFonts w:eastAsia="方正仿宋_GBK"/>
                <w:color w:val="000000"/>
                <w:sz w:val="24"/>
              </w:rPr>
            </w:pPr>
            <w:r>
              <w:rPr>
                <w:rFonts w:eastAsia="方正仿宋_GBK"/>
                <w:color w:val="000000"/>
                <w:sz w:val="24"/>
              </w:rPr>
              <w:t>【计算方法】</w:t>
            </w:r>
          </w:p>
          <w:p w14:paraId="11D9C6C0">
            <w:pPr>
              <w:spacing w:line="300" w:lineRule="exact"/>
              <w:rPr>
                <w:rFonts w:eastAsia="方正仿宋_GBK"/>
                <w:color w:val="000000"/>
                <w:sz w:val="24"/>
              </w:rPr>
            </w:pPr>
            <w:r>
              <w:rPr>
                <w:rFonts w:eastAsia="方正仿宋_GBK"/>
                <w:color w:val="000000"/>
                <w:sz w:val="24"/>
              </w:rPr>
              <w:t>牵头医院出院患者三四级手术比例（%）=三四级手术台次数/同期出院患者手术台次数×100%</w:t>
            </w:r>
          </w:p>
          <w:p w14:paraId="5315FB78">
            <w:pPr>
              <w:spacing w:line="300" w:lineRule="exact"/>
              <w:rPr>
                <w:rFonts w:eastAsia="方正仿宋_GBK"/>
                <w:color w:val="000000"/>
                <w:sz w:val="24"/>
              </w:rPr>
            </w:pPr>
            <w:r>
              <w:rPr>
                <w:rFonts w:eastAsia="方正仿宋_GBK"/>
                <w:color w:val="000000"/>
                <w:sz w:val="24"/>
              </w:rPr>
              <w:t>【数据来源】牵头医院病案信息系统。</w:t>
            </w:r>
          </w:p>
        </w:tc>
      </w:tr>
      <w:tr w14:paraId="0F2D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trPr>
        <w:tc>
          <w:tcPr>
            <w:tcW w:w="1200" w:type="dxa"/>
            <w:vMerge w:val="continue"/>
            <w:noWrap w:val="0"/>
            <w:vAlign w:val="center"/>
          </w:tcPr>
          <w:p w14:paraId="1BC3B668">
            <w:pPr>
              <w:widowControl/>
              <w:spacing w:line="320" w:lineRule="exact"/>
              <w:jc w:val="left"/>
              <w:rPr>
                <w:rFonts w:eastAsia="仿宋_GB2312"/>
                <w:color w:val="000000"/>
                <w:sz w:val="24"/>
              </w:rPr>
            </w:pPr>
          </w:p>
        </w:tc>
        <w:tc>
          <w:tcPr>
            <w:tcW w:w="1725" w:type="dxa"/>
            <w:noWrap w:val="0"/>
            <w:vAlign w:val="center"/>
          </w:tcPr>
          <w:p w14:paraId="1C1AD9BC">
            <w:pPr>
              <w:spacing w:line="300" w:lineRule="exact"/>
              <w:rPr>
                <w:rFonts w:eastAsia="方正仿宋_GBK"/>
                <w:color w:val="000000"/>
                <w:sz w:val="24"/>
              </w:rPr>
            </w:pPr>
            <w:r>
              <w:rPr>
                <w:rFonts w:eastAsia="方正仿宋_GBK"/>
                <w:color w:val="000000"/>
                <w:sz w:val="24"/>
              </w:rPr>
              <w:t>10.区域内万人口全科医生数</w:t>
            </w:r>
          </w:p>
        </w:tc>
        <w:tc>
          <w:tcPr>
            <w:tcW w:w="5998" w:type="dxa"/>
            <w:noWrap w:val="0"/>
            <w:vAlign w:val="center"/>
          </w:tcPr>
          <w:p w14:paraId="1E4B4AD4">
            <w:pPr>
              <w:spacing w:line="300" w:lineRule="exact"/>
              <w:rPr>
                <w:rFonts w:eastAsia="方正仿宋_GBK"/>
                <w:color w:val="000000"/>
                <w:sz w:val="24"/>
              </w:rPr>
            </w:pPr>
            <w:r>
              <w:rPr>
                <w:rFonts w:eastAsia="方正仿宋_GBK"/>
                <w:color w:val="000000"/>
                <w:sz w:val="24"/>
              </w:rPr>
              <w:t>【计算方法】</w:t>
            </w:r>
          </w:p>
          <w:p w14:paraId="4E40287E">
            <w:pPr>
              <w:spacing w:line="300" w:lineRule="exact"/>
              <w:rPr>
                <w:rFonts w:eastAsia="方正仿宋_GBK"/>
                <w:color w:val="000000"/>
                <w:sz w:val="24"/>
              </w:rPr>
            </w:pPr>
            <w:r>
              <w:rPr>
                <w:rFonts w:eastAsia="方正仿宋_GBK"/>
                <w:color w:val="000000"/>
                <w:sz w:val="24"/>
              </w:rPr>
              <w:t>区域内万人口全科医生数=年末全科医生数/同年末常住人口数×10000</w:t>
            </w:r>
          </w:p>
          <w:p w14:paraId="48780F35">
            <w:pPr>
              <w:spacing w:line="300" w:lineRule="exact"/>
              <w:rPr>
                <w:rFonts w:eastAsia="方正仿宋_GBK"/>
                <w:color w:val="000000"/>
                <w:sz w:val="24"/>
              </w:rPr>
            </w:pPr>
            <w:r>
              <w:rPr>
                <w:rFonts w:eastAsia="方正仿宋_GBK"/>
                <w:color w:val="000000"/>
                <w:sz w:val="24"/>
              </w:rPr>
              <w:t>【数据来源】卫生健康统计年鉴。</w:t>
            </w:r>
          </w:p>
        </w:tc>
      </w:tr>
      <w:tr w14:paraId="35A1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trPr>
        <w:tc>
          <w:tcPr>
            <w:tcW w:w="1200" w:type="dxa"/>
            <w:vMerge w:val="continue"/>
            <w:noWrap w:val="0"/>
            <w:vAlign w:val="center"/>
          </w:tcPr>
          <w:p w14:paraId="747E9EC1">
            <w:pPr>
              <w:widowControl/>
              <w:spacing w:line="320" w:lineRule="exact"/>
              <w:jc w:val="left"/>
              <w:rPr>
                <w:rFonts w:eastAsia="仿宋_GB2312"/>
                <w:color w:val="000000"/>
                <w:sz w:val="24"/>
              </w:rPr>
            </w:pPr>
          </w:p>
        </w:tc>
        <w:tc>
          <w:tcPr>
            <w:tcW w:w="1725" w:type="dxa"/>
            <w:noWrap w:val="0"/>
            <w:vAlign w:val="center"/>
          </w:tcPr>
          <w:p w14:paraId="498D6FED">
            <w:pPr>
              <w:spacing w:line="300" w:lineRule="exact"/>
              <w:rPr>
                <w:rFonts w:eastAsia="方正仿宋_GBK"/>
                <w:color w:val="000000"/>
                <w:sz w:val="24"/>
              </w:rPr>
            </w:pPr>
            <w:r>
              <w:rPr>
                <w:rFonts w:eastAsia="方正仿宋_GBK"/>
                <w:color w:val="000000"/>
                <w:sz w:val="24"/>
              </w:rPr>
              <w:t>11.牵头医院帮助基层开展新技术、新项目的数量</w:t>
            </w:r>
          </w:p>
        </w:tc>
        <w:tc>
          <w:tcPr>
            <w:tcW w:w="5998" w:type="dxa"/>
            <w:noWrap w:val="0"/>
            <w:vAlign w:val="center"/>
          </w:tcPr>
          <w:p w14:paraId="3442DA41">
            <w:pPr>
              <w:spacing w:line="300" w:lineRule="exact"/>
              <w:rPr>
                <w:rFonts w:eastAsia="方正仿宋_GBK"/>
                <w:color w:val="000000"/>
                <w:sz w:val="24"/>
              </w:rPr>
            </w:pPr>
            <w:r>
              <w:rPr>
                <w:rFonts w:eastAsia="方正仿宋_GBK"/>
                <w:color w:val="000000"/>
                <w:sz w:val="24"/>
              </w:rPr>
              <w:t>【计算方法】</w:t>
            </w:r>
          </w:p>
          <w:p w14:paraId="2019922B">
            <w:pPr>
              <w:spacing w:line="300" w:lineRule="exact"/>
              <w:rPr>
                <w:rFonts w:eastAsia="方正仿宋_GBK"/>
                <w:color w:val="000000"/>
                <w:sz w:val="24"/>
              </w:rPr>
            </w:pPr>
            <w:r>
              <w:rPr>
                <w:rFonts w:eastAsia="方正仿宋_GBK"/>
                <w:color w:val="000000"/>
                <w:sz w:val="24"/>
              </w:rPr>
              <w:t>开展新技术、新项目名称、数量、进展情况等佐证支撑材料。</w:t>
            </w:r>
          </w:p>
          <w:p w14:paraId="0A4F882D">
            <w:pPr>
              <w:spacing w:line="300" w:lineRule="exact"/>
              <w:rPr>
                <w:rFonts w:eastAsia="方正仿宋_GBK"/>
                <w:color w:val="000000"/>
                <w:sz w:val="24"/>
              </w:rPr>
            </w:pPr>
            <w:r>
              <w:rPr>
                <w:rFonts w:eastAsia="方正仿宋_GBK"/>
                <w:color w:val="000000"/>
                <w:sz w:val="24"/>
              </w:rPr>
              <w:t>【数据来源】牵头医院。</w:t>
            </w:r>
          </w:p>
        </w:tc>
      </w:tr>
      <w:tr w14:paraId="2F14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exact"/>
        </w:trPr>
        <w:tc>
          <w:tcPr>
            <w:tcW w:w="1200" w:type="dxa"/>
            <w:vMerge w:val="continue"/>
            <w:noWrap w:val="0"/>
            <w:vAlign w:val="center"/>
          </w:tcPr>
          <w:p w14:paraId="404A6E42">
            <w:pPr>
              <w:widowControl/>
              <w:spacing w:line="320" w:lineRule="exact"/>
              <w:jc w:val="left"/>
              <w:rPr>
                <w:rFonts w:eastAsia="仿宋_GB2312"/>
                <w:color w:val="000000"/>
                <w:sz w:val="24"/>
              </w:rPr>
            </w:pPr>
          </w:p>
        </w:tc>
        <w:tc>
          <w:tcPr>
            <w:tcW w:w="1725" w:type="dxa"/>
            <w:noWrap w:val="0"/>
            <w:vAlign w:val="center"/>
          </w:tcPr>
          <w:p w14:paraId="2D7D5DC2">
            <w:pPr>
              <w:spacing w:line="300" w:lineRule="exact"/>
              <w:rPr>
                <w:rFonts w:eastAsia="方正仿宋_GBK"/>
                <w:color w:val="000000"/>
                <w:sz w:val="24"/>
              </w:rPr>
            </w:pPr>
            <w:r>
              <w:rPr>
                <w:rFonts w:eastAsia="方正仿宋_GBK"/>
                <w:color w:val="000000"/>
                <w:sz w:val="24"/>
              </w:rPr>
              <w:t>12.“优质服务基层行”活动达到基本标准和推荐标准的机构数量</w:t>
            </w:r>
          </w:p>
        </w:tc>
        <w:tc>
          <w:tcPr>
            <w:tcW w:w="5998" w:type="dxa"/>
            <w:noWrap w:val="0"/>
            <w:vAlign w:val="center"/>
          </w:tcPr>
          <w:p w14:paraId="4A856D8B">
            <w:pPr>
              <w:spacing w:line="300" w:lineRule="exact"/>
              <w:rPr>
                <w:rFonts w:eastAsia="方正仿宋_GBK"/>
                <w:color w:val="000000"/>
                <w:sz w:val="24"/>
              </w:rPr>
            </w:pPr>
            <w:r>
              <w:rPr>
                <w:rFonts w:eastAsia="方正仿宋_GBK"/>
                <w:color w:val="000000"/>
                <w:sz w:val="24"/>
              </w:rPr>
              <w:t>【计算方法】</w:t>
            </w:r>
          </w:p>
          <w:p w14:paraId="04E08527">
            <w:pPr>
              <w:spacing w:line="300" w:lineRule="exact"/>
              <w:rPr>
                <w:rFonts w:eastAsia="方正仿宋_GBK"/>
                <w:color w:val="000000"/>
                <w:sz w:val="24"/>
              </w:rPr>
            </w:pPr>
            <w:r>
              <w:rPr>
                <w:rFonts w:eastAsia="方正仿宋_GBK"/>
                <w:color w:val="000000"/>
                <w:sz w:val="24"/>
              </w:rPr>
              <w:t>达到国家卫生健康委、国家中医药局“优质服务基层行”活动《乡镇卫生院服务能力标准》《社区卫生服务中心服务能力标准》中基本标准和推荐标准的机构数量。</w:t>
            </w:r>
          </w:p>
          <w:p w14:paraId="4906B231">
            <w:pPr>
              <w:spacing w:line="300" w:lineRule="exact"/>
              <w:rPr>
                <w:rFonts w:eastAsia="方正仿宋_GBK"/>
                <w:color w:val="000000"/>
                <w:sz w:val="24"/>
              </w:rPr>
            </w:pPr>
            <w:r>
              <w:rPr>
                <w:rFonts w:eastAsia="方正仿宋_GBK"/>
                <w:color w:val="000000"/>
                <w:sz w:val="24"/>
              </w:rPr>
              <w:t>【数据来源】县级卫生健康行政部门。</w:t>
            </w:r>
          </w:p>
        </w:tc>
      </w:tr>
      <w:tr w14:paraId="497B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trPr>
        <w:tc>
          <w:tcPr>
            <w:tcW w:w="1200" w:type="dxa"/>
            <w:vMerge w:val="continue"/>
            <w:noWrap w:val="0"/>
            <w:vAlign w:val="center"/>
          </w:tcPr>
          <w:p w14:paraId="0B80C015">
            <w:pPr>
              <w:widowControl/>
              <w:spacing w:line="320" w:lineRule="exact"/>
              <w:jc w:val="left"/>
              <w:rPr>
                <w:rFonts w:eastAsia="仿宋_GB2312"/>
                <w:color w:val="000000"/>
                <w:sz w:val="24"/>
              </w:rPr>
            </w:pPr>
          </w:p>
        </w:tc>
        <w:tc>
          <w:tcPr>
            <w:tcW w:w="1725" w:type="dxa"/>
            <w:noWrap w:val="0"/>
            <w:vAlign w:val="center"/>
          </w:tcPr>
          <w:p w14:paraId="3C51074D">
            <w:pPr>
              <w:spacing w:line="300" w:lineRule="exact"/>
              <w:rPr>
                <w:rFonts w:eastAsia="方正仿宋_GBK"/>
                <w:color w:val="000000"/>
                <w:sz w:val="24"/>
              </w:rPr>
            </w:pPr>
            <w:r>
              <w:rPr>
                <w:rFonts w:eastAsia="方正仿宋_GBK"/>
                <w:color w:val="000000"/>
                <w:sz w:val="24"/>
              </w:rPr>
              <w:t>13.国家基本公共卫生服务项目实施情况</w:t>
            </w:r>
          </w:p>
        </w:tc>
        <w:tc>
          <w:tcPr>
            <w:tcW w:w="5998" w:type="dxa"/>
            <w:noWrap w:val="0"/>
            <w:vAlign w:val="center"/>
          </w:tcPr>
          <w:p w14:paraId="1F610DDB">
            <w:pPr>
              <w:spacing w:line="300" w:lineRule="exact"/>
              <w:rPr>
                <w:rFonts w:eastAsia="方正仿宋_GBK"/>
                <w:color w:val="000000"/>
                <w:sz w:val="24"/>
              </w:rPr>
            </w:pPr>
            <w:r>
              <w:rPr>
                <w:rFonts w:eastAsia="方正仿宋_GBK"/>
                <w:color w:val="000000"/>
                <w:sz w:val="24"/>
              </w:rPr>
              <w:t>【计算方法】</w:t>
            </w:r>
          </w:p>
          <w:p w14:paraId="11D4D025">
            <w:pPr>
              <w:spacing w:line="300" w:lineRule="exact"/>
              <w:rPr>
                <w:rFonts w:eastAsia="方正仿宋_GBK"/>
                <w:color w:val="000000"/>
                <w:sz w:val="24"/>
              </w:rPr>
            </w:pPr>
            <w:r>
              <w:rPr>
                <w:rFonts w:eastAsia="方正仿宋_GBK"/>
                <w:color w:val="000000"/>
                <w:sz w:val="24"/>
              </w:rPr>
              <w:t>国家基本公共卫生服务项目实施情况绩效评价得分。</w:t>
            </w:r>
          </w:p>
          <w:p w14:paraId="40715B51">
            <w:pPr>
              <w:spacing w:line="300" w:lineRule="exact"/>
              <w:rPr>
                <w:rFonts w:eastAsia="方正仿宋_GBK"/>
                <w:color w:val="000000"/>
                <w:sz w:val="24"/>
              </w:rPr>
            </w:pPr>
            <w:r>
              <w:rPr>
                <w:rFonts w:eastAsia="方正仿宋_GBK"/>
                <w:color w:val="000000"/>
                <w:sz w:val="24"/>
              </w:rPr>
              <w:t>【数据来源】县级卫生健康行政部门。</w:t>
            </w:r>
          </w:p>
        </w:tc>
      </w:tr>
      <w:tr w14:paraId="2DBF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exact"/>
        </w:trPr>
        <w:tc>
          <w:tcPr>
            <w:tcW w:w="1200" w:type="dxa"/>
            <w:vMerge w:val="restart"/>
            <w:noWrap w:val="0"/>
            <w:vAlign w:val="center"/>
          </w:tcPr>
          <w:p w14:paraId="7A56FFB1">
            <w:pPr>
              <w:widowControl/>
              <w:spacing w:line="320" w:lineRule="exact"/>
              <w:jc w:val="center"/>
              <w:rPr>
                <w:rFonts w:eastAsia="仿宋_GB2312"/>
                <w:color w:val="000000"/>
                <w:sz w:val="24"/>
              </w:rPr>
            </w:pPr>
            <w:r>
              <w:rPr>
                <w:rFonts w:eastAsia="方正黑体_GBK"/>
                <w:color w:val="000000"/>
                <w:sz w:val="24"/>
              </w:rPr>
              <w:t>三、医疗卫生资源有效利用</w:t>
            </w:r>
          </w:p>
        </w:tc>
        <w:tc>
          <w:tcPr>
            <w:tcW w:w="1725" w:type="dxa"/>
            <w:noWrap w:val="0"/>
            <w:vAlign w:val="center"/>
          </w:tcPr>
          <w:p w14:paraId="34819F7F">
            <w:pPr>
              <w:spacing w:line="300" w:lineRule="exact"/>
              <w:rPr>
                <w:rFonts w:eastAsia="方正仿宋_GBK"/>
                <w:color w:val="000000"/>
                <w:sz w:val="24"/>
              </w:rPr>
            </w:pPr>
            <w:r>
              <w:rPr>
                <w:rFonts w:eastAsia="方正仿宋_GBK"/>
                <w:color w:val="000000"/>
                <w:sz w:val="24"/>
              </w:rPr>
              <w:t>14.牵头医院医疗服务收入占医疗收入的比例（%）</w:t>
            </w:r>
          </w:p>
        </w:tc>
        <w:tc>
          <w:tcPr>
            <w:tcW w:w="5998" w:type="dxa"/>
            <w:noWrap w:val="0"/>
            <w:vAlign w:val="center"/>
          </w:tcPr>
          <w:p w14:paraId="55264A65">
            <w:pPr>
              <w:spacing w:line="300" w:lineRule="exact"/>
              <w:rPr>
                <w:rFonts w:eastAsia="方正仿宋_GBK"/>
                <w:color w:val="000000"/>
                <w:sz w:val="24"/>
              </w:rPr>
            </w:pPr>
            <w:r>
              <w:rPr>
                <w:rFonts w:eastAsia="方正仿宋_GBK"/>
                <w:color w:val="000000"/>
                <w:sz w:val="24"/>
              </w:rPr>
              <w:t>【计算方法】</w:t>
            </w:r>
          </w:p>
          <w:p w14:paraId="17A3A63C">
            <w:pPr>
              <w:spacing w:line="300" w:lineRule="exact"/>
              <w:rPr>
                <w:rFonts w:eastAsia="方正仿宋_GBK"/>
                <w:color w:val="000000"/>
                <w:sz w:val="24"/>
              </w:rPr>
            </w:pPr>
            <w:r>
              <w:rPr>
                <w:rFonts w:eastAsia="方正仿宋_GBK"/>
                <w:color w:val="000000"/>
                <w:sz w:val="24"/>
              </w:rPr>
              <w:t>牵头医院医疗服务收入占医疗收入的比例（%）=（医疗收入－药品、耗材、检查和化验收入）/总医疗收入×100%</w:t>
            </w:r>
          </w:p>
          <w:p w14:paraId="7BC61B05">
            <w:pPr>
              <w:spacing w:line="300" w:lineRule="exact"/>
              <w:rPr>
                <w:rFonts w:eastAsia="方正仿宋_GBK"/>
                <w:color w:val="000000"/>
                <w:sz w:val="24"/>
              </w:rPr>
            </w:pPr>
            <w:r>
              <w:rPr>
                <w:rFonts w:eastAsia="方正仿宋_GBK"/>
                <w:color w:val="000000"/>
                <w:sz w:val="24"/>
              </w:rPr>
              <w:t>【数据来源】卫生财务年报。</w:t>
            </w:r>
          </w:p>
        </w:tc>
      </w:tr>
      <w:tr w14:paraId="712C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1200" w:type="dxa"/>
            <w:vMerge w:val="continue"/>
            <w:noWrap w:val="0"/>
            <w:vAlign w:val="center"/>
          </w:tcPr>
          <w:p w14:paraId="527EACCC">
            <w:pPr>
              <w:widowControl/>
              <w:spacing w:line="320" w:lineRule="exact"/>
              <w:jc w:val="left"/>
              <w:rPr>
                <w:rFonts w:eastAsia="仿宋_GB2312"/>
                <w:b/>
                <w:bCs/>
                <w:color w:val="000000"/>
                <w:sz w:val="24"/>
              </w:rPr>
            </w:pPr>
          </w:p>
        </w:tc>
        <w:tc>
          <w:tcPr>
            <w:tcW w:w="1725" w:type="dxa"/>
            <w:noWrap w:val="0"/>
            <w:vAlign w:val="center"/>
          </w:tcPr>
          <w:p w14:paraId="093D10E6">
            <w:pPr>
              <w:spacing w:line="300" w:lineRule="exact"/>
              <w:rPr>
                <w:rFonts w:eastAsia="方正仿宋_GBK"/>
                <w:color w:val="000000"/>
                <w:sz w:val="24"/>
              </w:rPr>
            </w:pPr>
            <w:r>
              <w:rPr>
                <w:rFonts w:eastAsia="方正仿宋_GBK"/>
                <w:color w:val="000000"/>
                <w:sz w:val="24"/>
              </w:rPr>
              <w:t>15.基层医疗卫生机构医疗服务收入占医疗收入的比例（%）</w:t>
            </w:r>
          </w:p>
        </w:tc>
        <w:tc>
          <w:tcPr>
            <w:tcW w:w="5998" w:type="dxa"/>
            <w:noWrap w:val="0"/>
            <w:vAlign w:val="center"/>
          </w:tcPr>
          <w:p w14:paraId="369FA858">
            <w:pPr>
              <w:spacing w:line="300" w:lineRule="exact"/>
              <w:rPr>
                <w:rFonts w:eastAsia="方正仿宋_GBK"/>
                <w:color w:val="000000"/>
                <w:sz w:val="24"/>
              </w:rPr>
            </w:pPr>
            <w:r>
              <w:rPr>
                <w:rFonts w:eastAsia="方正仿宋_GBK"/>
                <w:color w:val="000000"/>
                <w:sz w:val="24"/>
              </w:rPr>
              <w:t>【计算方法】</w:t>
            </w:r>
          </w:p>
          <w:p w14:paraId="5D6572B8">
            <w:pPr>
              <w:spacing w:line="300" w:lineRule="exact"/>
              <w:rPr>
                <w:rFonts w:eastAsia="方正仿宋_GBK"/>
                <w:color w:val="000000"/>
                <w:sz w:val="24"/>
              </w:rPr>
            </w:pPr>
            <w:r>
              <w:rPr>
                <w:rFonts w:eastAsia="方正仿宋_GBK"/>
                <w:color w:val="000000"/>
                <w:sz w:val="24"/>
              </w:rPr>
              <w:t>基层医疗卫生机构医疗服务收入占医疗收入的比例（%）=（医疗收入－药品、耗材、检查和化验收入）/总医疗收入×100%</w:t>
            </w:r>
          </w:p>
          <w:p w14:paraId="5F95C10F">
            <w:pPr>
              <w:spacing w:line="300" w:lineRule="exact"/>
              <w:rPr>
                <w:rFonts w:eastAsia="方正仿宋_GBK"/>
                <w:color w:val="000000"/>
                <w:sz w:val="24"/>
              </w:rPr>
            </w:pPr>
            <w:r>
              <w:rPr>
                <w:rFonts w:eastAsia="方正仿宋_GBK"/>
                <w:color w:val="000000"/>
                <w:sz w:val="24"/>
              </w:rPr>
              <w:t>【数据来源】卫生财务年报。</w:t>
            </w:r>
          </w:p>
        </w:tc>
      </w:tr>
      <w:tr w14:paraId="5A932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trPr>
        <w:tc>
          <w:tcPr>
            <w:tcW w:w="1200" w:type="dxa"/>
            <w:vMerge w:val="continue"/>
            <w:noWrap w:val="0"/>
            <w:vAlign w:val="center"/>
          </w:tcPr>
          <w:p w14:paraId="299C357C">
            <w:pPr>
              <w:widowControl/>
              <w:spacing w:line="320" w:lineRule="exact"/>
              <w:jc w:val="left"/>
              <w:rPr>
                <w:rFonts w:eastAsia="仿宋_GB2312"/>
                <w:b/>
                <w:bCs/>
                <w:color w:val="000000"/>
                <w:sz w:val="24"/>
              </w:rPr>
            </w:pPr>
          </w:p>
        </w:tc>
        <w:tc>
          <w:tcPr>
            <w:tcW w:w="1725" w:type="dxa"/>
            <w:noWrap w:val="0"/>
            <w:vAlign w:val="center"/>
          </w:tcPr>
          <w:p w14:paraId="7C2ACD52">
            <w:pPr>
              <w:spacing w:line="300" w:lineRule="exact"/>
              <w:rPr>
                <w:rFonts w:eastAsia="方正仿宋_GBK"/>
                <w:color w:val="000000"/>
                <w:sz w:val="24"/>
              </w:rPr>
            </w:pPr>
            <w:r>
              <w:rPr>
                <w:rFonts w:eastAsia="方正仿宋_GBK"/>
                <w:color w:val="000000"/>
                <w:sz w:val="24"/>
              </w:rPr>
              <w:t>16.基层医疗卫生机构医师日均担负诊疗人次</w:t>
            </w:r>
          </w:p>
        </w:tc>
        <w:tc>
          <w:tcPr>
            <w:tcW w:w="5998" w:type="dxa"/>
            <w:noWrap w:val="0"/>
            <w:vAlign w:val="center"/>
          </w:tcPr>
          <w:p w14:paraId="69C1FC82">
            <w:pPr>
              <w:spacing w:line="300" w:lineRule="exact"/>
              <w:rPr>
                <w:rFonts w:eastAsia="方正仿宋_GBK"/>
                <w:color w:val="000000"/>
                <w:sz w:val="24"/>
              </w:rPr>
            </w:pPr>
            <w:r>
              <w:rPr>
                <w:rFonts w:eastAsia="方正仿宋_GBK"/>
                <w:color w:val="000000"/>
                <w:sz w:val="24"/>
              </w:rPr>
              <w:t>【计算方法】</w:t>
            </w:r>
          </w:p>
          <w:p w14:paraId="00AB9656">
            <w:pPr>
              <w:spacing w:line="300" w:lineRule="exact"/>
              <w:rPr>
                <w:rFonts w:eastAsia="方正仿宋_GBK"/>
                <w:color w:val="000000"/>
                <w:sz w:val="24"/>
              </w:rPr>
            </w:pPr>
            <w:r>
              <w:rPr>
                <w:rFonts w:eastAsia="方正仿宋_GBK"/>
                <w:color w:val="000000"/>
                <w:sz w:val="24"/>
              </w:rPr>
              <w:t>基层医疗卫生机构医师日均担负诊疗人次=诊疗人次数/同期平均执业（助理）医师数/同期工作日数</w:t>
            </w:r>
          </w:p>
          <w:p w14:paraId="2D2559F1">
            <w:pPr>
              <w:spacing w:line="300" w:lineRule="exact"/>
              <w:rPr>
                <w:rFonts w:eastAsia="方正仿宋_GBK"/>
                <w:color w:val="000000"/>
                <w:sz w:val="24"/>
              </w:rPr>
            </w:pPr>
            <w:r>
              <w:rPr>
                <w:rFonts w:eastAsia="方正仿宋_GBK"/>
                <w:color w:val="000000"/>
                <w:sz w:val="24"/>
              </w:rPr>
              <w:t>【数据来源】卫生健康统计年鉴。</w:t>
            </w:r>
          </w:p>
        </w:tc>
      </w:tr>
      <w:tr w14:paraId="5346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trPr>
        <w:tc>
          <w:tcPr>
            <w:tcW w:w="1200" w:type="dxa"/>
            <w:vMerge w:val="continue"/>
            <w:noWrap w:val="0"/>
            <w:vAlign w:val="center"/>
          </w:tcPr>
          <w:p w14:paraId="7C49B852">
            <w:pPr>
              <w:widowControl/>
              <w:spacing w:line="320" w:lineRule="exact"/>
              <w:jc w:val="left"/>
              <w:rPr>
                <w:rFonts w:eastAsia="仿宋_GB2312"/>
                <w:color w:val="000000"/>
                <w:sz w:val="24"/>
              </w:rPr>
            </w:pPr>
          </w:p>
        </w:tc>
        <w:tc>
          <w:tcPr>
            <w:tcW w:w="1725" w:type="dxa"/>
            <w:noWrap w:val="0"/>
            <w:vAlign w:val="center"/>
          </w:tcPr>
          <w:p w14:paraId="13EFE27F">
            <w:pPr>
              <w:spacing w:line="300" w:lineRule="exact"/>
              <w:rPr>
                <w:rFonts w:eastAsia="方正仿宋_GBK"/>
                <w:color w:val="000000"/>
                <w:sz w:val="24"/>
              </w:rPr>
            </w:pPr>
            <w:r>
              <w:rPr>
                <w:rFonts w:eastAsia="方正仿宋_GBK"/>
                <w:color w:val="000000"/>
                <w:sz w:val="24"/>
              </w:rPr>
              <w:t>17.基层医疗卫生机构床位使用率（%）</w:t>
            </w:r>
          </w:p>
        </w:tc>
        <w:tc>
          <w:tcPr>
            <w:tcW w:w="5998" w:type="dxa"/>
            <w:noWrap w:val="0"/>
            <w:vAlign w:val="center"/>
          </w:tcPr>
          <w:p w14:paraId="68E69671">
            <w:pPr>
              <w:spacing w:line="300" w:lineRule="exact"/>
              <w:rPr>
                <w:rFonts w:eastAsia="方正仿宋_GBK"/>
                <w:color w:val="000000"/>
                <w:sz w:val="24"/>
              </w:rPr>
            </w:pPr>
            <w:r>
              <w:rPr>
                <w:rFonts w:eastAsia="方正仿宋_GBK"/>
                <w:color w:val="000000"/>
                <w:sz w:val="24"/>
              </w:rPr>
              <w:t>【计算方法】</w:t>
            </w:r>
          </w:p>
          <w:p w14:paraId="72C8E7DA">
            <w:pPr>
              <w:spacing w:line="300" w:lineRule="exact"/>
              <w:rPr>
                <w:rFonts w:eastAsia="方正仿宋_GBK"/>
                <w:color w:val="000000"/>
                <w:sz w:val="24"/>
              </w:rPr>
            </w:pPr>
            <w:r>
              <w:rPr>
                <w:rFonts w:eastAsia="方正仿宋_GBK"/>
                <w:color w:val="000000"/>
                <w:sz w:val="24"/>
              </w:rPr>
              <w:t>基层医疗卫生机构床位使用率（%）=基层医疗卫生机构实际使用总床日数/实际开放总床日数（注：按编制床位测算）×100%</w:t>
            </w:r>
          </w:p>
          <w:p w14:paraId="3AB382A2">
            <w:pPr>
              <w:spacing w:line="300" w:lineRule="exact"/>
              <w:rPr>
                <w:rFonts w:eastAsia="方正仿宋_GBK"/>
                <w:color w:val="000000"/>
                <w:sz w:val="24"/>
              </w:rPr>
            </w:pPr>
            <w:r>
              <w:rPr>
                <w:rFonts w:eastAsia="方正仿宋_GBK"/>
                <w:color w:val="000000"/>
                <w:sz w:val="24"/>
              </w:rPr>
              <w:t>【数据来源】卫生健康统计年鉴。</w:t>
            </w:r>
          </w:p>
        </w:tc>
      </w:tr>
      <w:tr w14:paraId="70C8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1200" w:type="dxa"/>
            <w:vMerge w:val="continue"/>
            <w:noWrap w:val="0"/>
            <w:vAlign w:val="center"/>
          </w:tcPr>
          <w:p w14:paraId="36C3443D">
            <w:pPr>
              <w:widowControl/>
              <w:spacing w:line="320" w:lineRule="exact"/>
              <w:jc w:val="left"/>
              <w:rPr>
                <w:rFonts w:eastAsia="仿宋_GB2312"/>
                <w:color w:val="000000"/>
                <w:sz w:val="24"/>
              </w:rPr>
            </w:pPr>
          </w:p>
        </w:tc>
        <w:tc>
          <w:tcPr>
            <w:tcW w:w="1725" w:type="dxa"/>
            <w:noWrap w:val="0"/>
            <w:vAlign w:val="center"/>
          </w:tcPr>
          <w:p w14:paraId="52B9D805">
            <w:pPr>
              <w:spacing w:line="300" w:lineRule="exact"/>
              <w:rPr>
                <w:rFonts w:eastAsia="方正仿宋_GBK"/>
                <w:color w:val="000000"/>
                <w:sz w:val="24"/>
              </w:rPr>
            </w:pPr>
            <w:r>
              <w:rPr>
                <w:rFonts w:eastAsia="方正仿宋_GBK"/>
                <w:color w:val="000000"/>
                <w:sz w:val="24"/>
              </w:rPr>
              <w:t>18.牵头医院人员经费占业务支出比例（%）</w:t>
            </w:r>
          </w:p>
        </w:tc>
        <w:tc>
          <w:tcPr>
            <w:tcW w:w="5998" w:type="dxa"/>
            <w:noWrap w:val="0"/>
            <w:vAlign w:val="center"/>
          </w:tcPr>
          <w:p w14:paraId="36F7B249">
            <w:pPr>
              <w:spacing w:line="300" w:lineRule="exact"/>
              <w:rPr>
                <w:rFonts w:eastAsia="方正仿宋_GBK"/>
                <w:color w:val="000000"/>
                <w:sz w:val="24"/>
              </w:rPr>
            </w:pPr>
            <w:r>
              <w:rPr>
                <w:rFonts w:eastAsia="方正仿宋_GBK"/>
                <w:color w:val="000000"/>
                <w:sz w:val="24"/>
              </w:rPr>
              <w:t>【计算方法】</w:t>
            </w:r>
          </w:p>
          <w:p w14:paraId="1B69E18F">
            <w:pPr>
              <w:spacing w:line="300" w:lineRule="exact"/>
              <w:rPr>
                <w:rFonts w:eastAsia="方正仿宋_GBK"/>
                <w:color w:val="000000"/>
                <w:sz w:val="24"/>
              </w:rPr>
            </w:pPr>
            <w:r>
              <w:rPr>
                <w:rFonts w:eastAsia="方正仿宋_GBK"/>
                <w:color w:val="000000"/>
                <w:sz w:val="24"/>
              </w:rPr>
              <w:t>牵头医院人员经费占业务支出比例（%）=牵头医院人员经费/业务支出×100%</w:t>
            </w:r>
          </w:p>
          <w:p w14:paraId="1D7A16FD">
            <w:pPr>
              <w:spacing w:line="300" w:lineRule="exact"/>
              <w:rPr>
                <w:rFonts w:hint="eastAsia" w:eastAsia="方正仿宋_GBK"/>
                <w:color w:val="000000"/>
                <w:sz w:val="24"/>
              </w:rPr>
            </w:pPr>
            <w:r>
              <w:rPr>
                <w:rFonts w:eastAsia="方正仿宋_GBK"/>
                <w:color w:val="000000"/>
                <w:sz w:val="24"/>
              </w:rPr>
              <w:t>【数据来源】卫生财务年报</w:t>
            </w:r>
            <w:r>
              <w:rPr>
                <w:rFonts w:hint="eastAsia" w:eastAsia="方正仿宋_GBK"/>
                <w:color w:val="000000"/>
                <w:sz w:val="24"/>
              </w:rPr>
              <w:t>。</w:t>
            </w:r>
          </w:p>
        </w:tc>
      </w:tr>
      <w:tr w14:paraId="364D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trPr>
        <w:tc>
          <w:tcPr>
            <w:tcW w:w="1200" w:type="dxa"/>
            <w:vMerge w:val="continue"/>
            <w:noWrap w:val="0"/>
            <w:vAlign w:val="center"/>
          </w:tcPr>
          <w:p w14:paraId="28F12765">
            <w:pPr>
              <w:widowControl/>
              <w:spacing w:line="320" w:lineRule="exact"/>
              <w:jc w:val="left"/>
              <w:rPr>
                <w:rFonts w:eastAsia="仿宋_GB2312"/>
                <w:color w:val="000000"/>
                <w:sz w:val="24"/>
              </w:rPr>
            </w:pPr>
          </w:p>
        </w:tc>
        <w:tc>
          <w:tcPr>
            <w:tcW w:w="1725" w:type="dxa"/>
            <w:noWrap w:val="0"/>
            <w:vAlign w:val="center"/>
          </w:tcPr>
          <w:p w14:paraId="4008CFB4">
            <w:pPr>
              <w:spacing w:line="300" w:lineRule="exact"/>
              <w:rPr>
                <w:rFonts w:eastAsia="方正仿宋_GBK"/>
                <w:color w:val="000000"/>
                <w:sz w:val="24"/>
              </w:rPr>
            </w:pPr>
            <w:r>
              <w:rPr>
                <w:rFonts w:eastAsia="方正仿宋_GBK"/>
                <w:color w:val="000000"/>
                <w:sz w:val="24"/>
              </w:rPr>
              <w:t>19.基层医疗卫生机构财政补助收入占总收入的比例（%）</w:t>
            </w:r>
          </w:p>
        </w:tc>
        <w:tc>
          <w:tcPr>
            <w:tcW w:w="5998" w:type="dxa"/>
            <w:noWrap w:val="0"/>
            <w:vAlign w:val="center"/>
          </w:tcPr>
          <w:p w14:paraId="6DF9DE92">
            <w:pPr>
              <w:spacing w:line="300" w:lineRule="exact"/>
              <w:rPr>
                <w:rFonts w:eastAsia="方正仿宋_GBK"/>
                <w:color w:val="000000"/>
                <w:sz w:val="24"/>
              </w:rPr>
            </w:pPr>
            <w:r>
              <w:rPr>
                <w:rFonts w:eastAsia="方正仿宋_GBK"/>
                <w:color w:val="000000"/>
                <w:sz w:val="24"/>
              </w:rPr>
              <w:t>【计算方法】</w:t>
            </w:r>
          </w:p>
          <w:p w14:paraId="1D2C1FAA">
            <w:pPr>
              <w:spacing w:line="300" w:lineRule="exact"/>
              <w:rPr>
                <w:rFonts w:eastAsia="方正仿宋_GBK"/>
                <w:color w:val="000000"/>
                <w:sz w:val="24"/>
              </w:rPr>
            </w:pPr>
            <w:r>
              <w:rPr>
                <w:rFonts w:eastAsia="方正仿宋_GBK"/>
                <w:color w:val="000000"/>
                <w:sz w:val="24"/>
              </w:rPr>
              <w:t>基层医疗卫生机构财政补助收入占总收入的比例（%）=基层医疗卫生机构本年财政补助收入/总收入×100%</w:t>
            </w:r>
          </w:p>
          <w:p w14:paraId="2F3598EE">
            <w:pPr>
              <w:spacing w:line="300" w:lineRule="exact"/>
              <w:rPr>
                <w:rFonts w:eastAsia="方正仿宋_GBK"/>
                <w:color w:val="000000"/>
                <w:sz w:val="24"/>
              </w:rPr>
            </w:pPr>
            <w:r>
              <w:rPr>
                <w:rFonts w:eastAsia="方正仿宋_GBK"/>
                <w:color w:val="000000"/>
                <w:sz w:val="24"/>
              </w:rPr>
              <w:t>【数据来源】卫生财务年报。</w:t>
            </w:r>
          </w:p>
        </w:tc>
      </w:tr>
      <w:tr w14:paraId="79FF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trPr>
        <w:tc>
          <w:tcPr>
            <w:tcW w:w="1200" w:type="dxa"/>
            <w:vMerge w:val="restart"/>
            <w:noWrap w:val="0"/>
            <w:vAlign w:val="center"/>
          </w:tcPr>
          <w:p w14:paraId="2BD99083">
            <w:pPr>
              <w:widowControl/>
              <w:spacing w:line="320" w:lineRule="exact"/>
              <w:jc w:val="center"/>
              <w:rPr>
                <w:rFonts w:eastAsia="仿宋_GB2312"/>
                <w:color w:val="000000"/>
                <w:sz w:val="24"/>
              </w:rPr>
            </w:pPr>
            <w:r>
              <w:rPr>
                <w:rFonts w:eastAsia="方正黑体_GBK"/>
                <w:color w:val="000000"/>
                <w:sz w:val="24"/>
              </w:rPr>
              <w:t>四、医保基金使用效能提升</w:t>
            </w:r>
          </w:p>
        </w:tc>
        <w:tc>
          <w:tcPr>
            <w:tcW w:w="1725" w:type="dxa"/>
            <w:noWrap w:val="0"/>
            <w:vAlign w:val="center"/>
          </w:tcPr>
          <w:p w14:paraId="1382282C">
            <w:pPr>
              <w:spacing w:line="300" w:lineRule="exact"/>
              <w:rPr>
                <w:rFonts w:eastAsia="方正仿宋_GBK"/>
                <w:color w:val="000000"/>
                <w:sz w:val="24"/>
              </w:rPr>
            </w:pPr>
            <w:r>
              <w:rPr>
                <w:rFonts w:eastAsia="方正仿宋_GBK"/>
                <w:color w:val="000000"/>
                <w:sz w:val="24"/>
              </w:rPr>
              <w:t>20.医保基金县域内支出率（不含药店）（%）</w:t>
            </w:r>
          </w:p>
        </w:tc>
        <w:tc>
          <w:tcPr>
            <w:tcW w:w="5998" w:type="dxa"/>
            <w:noWrap w:val="0"/>
            <w:vAlign w:val="center"/>
          </w:tcPr>
          <w:p w14:paraId="6BA28CA9">
            <w:pPr>
              <w:spacing w:line="300" w:lineRule="exact"/>
              <w:rPr>
                <w:rFonts w:eastAsia="方正仿宋_GBK"/>
                <w:color w:val="000000"/>
                <w:sz w:val="24"/>
              </w:rPr>
            </w:pPr>
            <w:r>
              <w:rPr>
                <w:rFonts w:eastAsia="方正仿宋_GBK"/>
                <w:color w:val="000000"/>
                <w:sz w:val="24"/>
              </w:rPr>
              <w:t>【计算方法】</w:t>
            </w:r>
          </w:p>
          <w:p w14:paraId="3AE7F136">
            <w:pPr>
              <w:spacing w:line="300" w:lineRule="exact"/>
              <w:rPr>
                <w:rFonts w:eastAsia="方正仿宋_GBK"/>
                <w:color w:val="000000"/>
                <w:sz w:val="24"/>
              </w:rPr>
            </w:pPr>
            <w:r>
              <w:rPr>
                <w:rFonts w:eastAsia="方正仿宋_GBK"/>
                <w:color w:val="000000"/>
                <w:sz w:val="24"/>
              </w:rPr>
              <w:t>医保基金县域内支出率（不含药店）（%）=县域内医疗卫生机构医保基金支出/全县医保基金总支出×100%</w:t>
            </w:r>
          </w:p>
          <w:p w14:paraId="640D6D4F">
            <w:pPr>
              <w:spacing w:line="300" w:lineRule="exact"/>
              <w:rPr>
                <w:rFonts w:eastAsia="方正仿宋_GBK"/>
                <w:color w:val="000000"/>
                <w:sz w:val="24"/>
              </w:rPr>
            </w:pPr>
            <w:r>
              <w:rPr>
                <w:rFonts w:eastAsia="方正仿宋_GBK"/>
                <w:color w:val="000000"/>
                <w:sz w:val="24"/>
              </w:rPr>
              <w:t>【数据来源】医保信息系统。</w:t>
            </w:r>
          </w:p>
        </w:tc>
      </w:tr>
      <w:tr w14:paraId="61593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exact"/>
        </w:trPr>
        <w:tc>
          <w:tcPr>
            <w:tcW w:w="1200" w:type="dxa"/>
            <w:vMerge w:val="continue"/>
            <w:noWrap w:val="0"/>
            <w:vAlign w:val="center"/>
          </w:tcPr>
          <w:p w14:paraId="50232CBF">
            <w:pPr>
              <w:widowControl/>
              <w:spacing w:line="320" w:lineRule="exact"/>
              <w:jc w:val="left"/>
              <w:rPr>
                <w:rFonts w:eastAsia="仿宋_GB2312"/>
                <w:color w:val="000000"/>
                <w:sz w:val="24"/>
              </w:rPr>
            </w:pPr>
          </w:p>
        </w:tc>
        <w:tc>
          <w:tcPr>
            <w:tcW w:w="1725" w:type="dxa"/>
            <w:noWrap w:val="0"/>
            <w:vAlign w:val="center"/>
          </w:tcPr>
          <w:p w14:paraId="30C96139">
            <w:pPr>
              <w:spacing w:line="300" w:lineRule="exact"/>
              <w:rPr>
                <w:rFonts w:eastAsia="方正仿宋_GBK"/>
                <w:color w:val="000000"/>
                <w:sz w:val="24"/>
              </w:rPr>
            </w:pPr>
            <w:r>
              <w:rPr>
                <w:rFonts w:eastAsia="方正仿宋_GBK"/>
                <w:color w:val="000000"/>
                <w:sz w:val="24"/>
              </w:rPr>
              <w:t>21.县域内基层医疗卫生机构医保基金占比（%）</w:t>
            </w:r>
          </w:p>
        </w:tc>
        <w:tc>
          <w:tcPr>
            <w:tcW w:w="5998" w:type="dxa"/>
            <w:noWrap w:val="0"/>
            <w:vAlign w:val="center"/>
          </w:tcPr>
          <w:p w14:paraId="0DF9E941">
            <w:pPr>
              <w:spacing w:line="300" w:lineRule="exact"/>
              <w:rPr>
                <w:rFonts w:eastAsia="方正仿宋_GBK"/>
                <w:color w:val="000000"/>
                <w:sz w:val="24"/>
              </w:rPr>
            </w:pPr>
            <w:r>
              <w:rPr>
                <w:rFonts w:eastAsia="方正仿宋_GBK"/>
                <w:color w:val="000000"/>
                <w:sz w:val="24"/>
              </w:rPr>
              <w:t>【计算方法】</w:t>
            </w:r>
          </w:p>
          <w:p w14:paraId="056AD532">
            <w:pPr>
              <w:spacing w:line="300" w:lineRule="exact"/>
              <w:rPr>
                <w:rFonts w:eastAsia="方正仿宋_GBK"/>
                <w:color w:val="000000"/>
                <w:sz w:val="24"/>
              </w:rPr>
            </w:pPr>
            <w:r>
              <w:rPr>
                <w:rFonts w:eastAsia="方正仿宋_GBK"/>
                <w:color w:val="000000"/>
                <w:sz w:val="24"/>
              </w:rPr>
              <w:t>县域内基层医疗卫生机构医保基金占比（%）=基层医疗卫生机构医保基金支出/全县医保基金总支出×100%</w:t>
            </w:r>
          </w:p>
          <w:p w14:paraId="236E5074">
            <w:pPr>
              <w:spacing w:line="300" w:lineRule="exact"/>
              <w:rPr>
                <w:rFonts w:eastAsia="方正仿宋_GBK"/>
                <w:color w:val="000000"/>
                <w:sz w:val="24"/>
              </w:rPr>
            </w:pPr>
            <w:r>
              <w:rPr>
                <w:rFonts w:eastAsia="方正仿宋_GBK"/>
                <w:color w:val="000000"/>
                <w:sz w:val="24"/>
              </w:rPr>
              <w:t>【数据来源】医保信息系统。</w:t>
            </w:r>
          </w:p>
        </w:tc>
      </w:tr>
      <w:tr w14:paraId="4F4A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1200" w:type="dxa"/>
            <w:vMerge w:val="continue"/>
            <w:noWrap w:val="0"/>
            <w:vAlign w:val="center"/>
          </w:tcPr>
          <w:p w14:paraId="28102C88">
            <w:pPr>
              <w:widowControl/>
              <w:spacing w:line="320" w:lineRule="exact"/>
              <w:jc w:val="left"/>
              <w:rPr>
                <w:rFonts w:eastAsia="仿宋_GB2312"/>
                <w:color w:val="000000"/>
                <w:sz w:val="24"/>
              </w:rPr>
            </w:pPr>
          </w:p>
        </w:tc>
        <w:tc>
          <w:tcPr>
            <w:tcW w:w="1725" w:type="dxa"/>
            <w:noWrap w:val="0"/>
            <w:vAlign w:val="center"/>
          </w:tcPr>
          <w:p w14:paraId="6E6B1C56">
            <w:pPr>
              <w:spacing w:line="300" w:lineRule="exact"/>
              <w:rPr>
                <w:rFonts w:eastAsia="方正仿宋_GBK"/>
                <w:color w:val="000000"/>
                <w:sz w:val="24"/>
              </w:rPr>
            </w:pPr>
            <w:r>
              <w:rPr>
                <w:rFonts w:eastAsia="方正仿宋_GBK"/>
                <w:color w:val="000000"/>
                <w:sz w:val="24"/>
              </w:rPr>
              <w:t>22.医保考核结果</w:t>
            </w:r>
          </w:p>
        </w:tc>
        <w:tc>
          <w:tcPr>
            <w:tcW w:w="5998" w:type="dxa"/>
            <w:noWrap w:val="0"/>
            <w:vAlign w:val="center"/>
          </w:tcPr>
          <w:p w14:paraId="593D0DCC">
            <w:pPr>
              <w:spacing w:line="300" w:lineRule="exact"/>
              <w:rPr>
                <w:rFonts w:eastAsia="方正仿宋_GBK"/>
                <w:color w:val="000000"/>
                <w:sz w:val="24"/>
              </w:rPr>
            </w:pPr>
            <w:r>
              <w:rPr>
                <w:rFonts w:eastAsia="方正仿宋_GBK"/>
                <w:color w:val="000000"/>
                <w:sz w:val="24"/>
              </w:rPr>
              <w:t>【计算方法】</w:t>
            </w:r>
          </w:p>
          <w:p w14:paraId="23D3ED34">
            <w:pPr>
              <w:spacing w:line="300" w:lineRule="exact"/>
              <w:rPr>
                <w:rFonts w:eastAsia="方正仿宋_GBK"/>
                <w:color w:val="000000"/>
                <w:sz w:val="24"/>
              </w:rPr>
            </w:pPr>
            <w:r>
              <w:rPr>
                <w:rFonts w:eastAsia="方正仿宋_GBK"/>
                <w:color w:val="000000"/>
                <w:sz w:val="24"/>
              </w:rPr>
              <w:t>医保经办机构按照协议规定，对县域医共体或定点医疗卫生机构的考核结果。</w:t>
            </w:r>
          </w:p>
          <w:p w14:paraId="26766D2C">
            <w:pPr>
              <w:spacing w:line="300" w:lineRule="exact"/>
              <w:rPr>
                <w:rFonts w:eastAsia="方正仿宋_GBK"/>
                <w:color w:val="000000"/>
                <w:sz w:val="24"/>
              </w:rPr>
            </w:pPr>
            <w:r>
              <w:rPr>
                <w:rFonts w:eastAsia="方正仿宋_GBK"/>
                <w:color w:val="000000"/>
                <w:sz w:val="24"/>
              </w:rPr>
              <w:t>【数据来源】医保经办机构。</w:t>
            </w:r>
          </w:p>
        </w:tc>
      </w:tr>
      <w:tr w14:paraId="256C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trPr>
        <w:tc>
          <w:tcPr>
            <w:tcW w:w="1200" w:type="dxa"/>
            <w:vMerge w:val="continue"/>
            <w:noWrap w:val="0"/>
            <w:vAlign w:val="center"/>
          </w:tcPr>
          <w:p w14:paraId="6DAF5342">
            <w:pPr>
              <w:widowControl/>
              <w:spacing w:line="320" w:lineRule="exact"/>
              <w:jc w:val="left"/>
              <w:rPr>
                <w:rFonts w:eastAsia="仿宋_GB2312"/>
                <w:color w:val="000000"/>
                <w:sz w:val="24"/>
              </w:rPr>
            </w:pPr>
          </w:p>
        </w:tc>
        <w:tc>
          <w:tcPr>
            <w:tcW w:w="1725" w:type="dxa"/>
            <w:noWrap w:val="0"/>
            <w:vAlign w:val="center"/>
          </w:tcPr>
          <w:p w14:paraId="7CB59FD2">
            <w:pPr>
              <w:spacing w:line="300" w:lineRule="exact"/>
              <w:rPr>
                <w:rFonts w:eastAsia="方正仿宋_GBK"/>
                <w:color w:val="000000"/>
                <w:sz w:val="24"/>
              </w:rPr>
            </w:pPr>
            <w:r>
              <w:rPr>
                <w:rFonts w:eastAsia="方正仿宋_GBK"/>
                <w:color w:val="000000"/>
                <w:sz w:val="24"/>
              </w:rPr>
              <w:t>23.县域门诊次均费用</w:t>
            </w:r>
          </w:p>
        </w:tc>
        <w:tc>
          <w:tcPr>
            <w:tcW w:w="5998" w:type="dxa"/>
            <w:noWrap w:val="0"/>
            <w:vAlign w:val="center"/>
          </w:tcPr>
          <w:p w14:paraId="70CC80E3">
            <w:pPr>
              <w:spacing w:line="300" w:lineRule="exact"/>
              <w:rPr>
                <w:rFonts w:eastAsia="方正仿宋_GBK"/>
                <w:color w:val="000000"/>
                <w:sz w:val="24"/>
              </w:rPr>
            </w:pPr>
            <w:r>
              <w:rPr>
                <w:rFonts w:eastAsia="方正仿宋_GBK"/>
                <w:color w:val="000000"/>
                <w:sz w:val="24"/>
              </w:rPr>
              <w:t>【计算方法】</w:t>
            </w:r>
          </w:p>
          <w:p w14:paraId="4A471949">
            <w:pPr>
              <w:spacing w:line="300" w:lineRule="exact"/>
              <w:rPr>
                <w:rFonts w:eastAsia="方正仿宋_GBK"/>
                <w:color w:val="000000"/>
                <w:sz w:val="24"/>
              </w:rPr>
            </w:pPr>
            <w:r>
              <w:rPr>
                <w:rFonts w:eastAsia="方正仿宋_GBK"/>
                <w:color w:val="000000"/>
                <w:sz w:val="24"/>
              </w:rPr>
              <w:t>县域门诊次均费用=县域医疗卫生机构门诊收入/县域医疗卫生机构门诊人次</w:t>
            </w:r>
          </w:p>
          <w:p w14:paraId="541C2606">
            <w:pPr>
              <w:spacing w:line="300" w:lineRule="exact"/>
              <w:rPr>
                <w:rFonts w:eastAsia="方正仿宋_GBK"/>
                <w:color w:val="000000"/>
                <w:sz w:val="24"/>
              </w:rPr>
            </w:pPr>
            <w:r>
              <w:rPr>
                <w:rFonts w:eastAsia="方正仿宋_GBK"/>
                <w:color w:val="000000"/>
                <w:sz w:val="24"/>
              </w:rPr>
              <w:t>【数据来源】卫生财务年报。</w:t>
            </w:r>
          </w:p>
        </w:tc>
      </w:tr>
      <w:tr w14:paraId="6592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exact"/>
        </w:trPr>
        <w:tc>
          <w:tcPr>
            <w:tcW w:w="1200" w:type="dxa"/>
            <w:vMerge w:val="continue"/>
            <w:noWrap w:val="0"/>
            <w:vAlign w:val="center"/>
          </w:tcPr>
          <w:p w14:paraId="02406723">
            <w:pPr>
              <w:widowControl/>
              <w:spacing w:line="320" w:lineRule="exact"/>
              <w:jc w:val="left"/>
              <w:rPr>
                <w:rFonts w:eastAsia="仿宋_GB2312"/>
                <w:color w:val="000000"/>
                <w:sz w:val="24"/>
              </w:rPr>
            </w:pPr>
          </w:p>
        </w:tc>
        <w:tc>
          <w:tcPr>
            <w:tcW w:w="1725" w:type="dxa"/>
            <w:noWrap w:val="0"/>
            <w:vAlign w:val="center"/>
          </w:tcPr>
          <w:p w14:paraId="676A121B">
            <w:pPr>
              <w:spacing w:line="300" w:lineRule="exact"/>
              <w:rPr>
                <w:rFonts w:eastAsia="方正仿宋_GBK"/>
                <w:color w:val="000000"/>
                <w:sz w:val="24"/>
              </w:rPr>
            </w:pPr>
            <w:r>
              <w:rPr>
                <w:rFonts w:eastAsia="方正仿宋_GBK"/>
                <w:color w:val="000000"/>
                <w:sz w:val="24"/>
              </w:rPr>
              <w:t>24.参保人员住院次均费用</w:t>
            </w:r>
          </w:p>
        </w:tc>
        <w:tc>
          <w:tcPr>
            <w:tcW w:w="5998" w:type="dxa"/>
            <w:noWrap w:val="0"/>
            <w:vAlign w:val="center"/>
          </w:tcPr>
          <w:p w14:paraId="05F48A2E">
            <w:pPr>
              <w:spacing w:line="300" w:lineRule="exact"/>
              <w:rPr>
                <w:rFonts w:eastAsia="方正仿宋_GBK"/>
                <w:color w:val="000000"/>
                <w:sz w:val="24"/>
              </w:rPr>
            </w:pPr>
            <w:r>
              <w:rPr>
                <w:rFonts w:eastAsia="方正仿宋_GBK"/>
                <w:color w:val="000000"/>
                <w:sz w:val="24"/>
              </w:rPr>
              <w:t>【计算方法】</w:t>
            </w:r>
          </w:p>
          <w:p w14:paraId="4DE23E71">
            <w:pPr>
              <w:spacing w:line="300" w:lineRule="exact"/>
              <w:rPr>
                <w:rFonts w:eastAsia="方正仿宋_GBK"/>
                <w:color w:val="000000"/>
                <w:sz w:val="24"/>
              </w:rPr>
            </w:pPr>
            <w:r>
              <w:rPr>
                <w:rFonts w:eastAsia="方正仿宋_GBK"/>
                <w:color w:val="000000"/>
                <w:sz w:val="24"/>
              </w:rPr>
              <w:t>参保人员住院次均费用=参保人员住院总费用/参保人员住院次数</w:t>
            </w:r>
          </w:p>
          <w:p w14:paraId="51643547">
            <w:pPr>
              <w:spacing w:line="300" w:lineRule="exact"/>
              <w:rPr>
                <w:rFonts w:eastAsia="方正仿宋_GBK"/>
                <w:color w:val="000000"/>
                <w:sz w:val="24"/>
              </w:rPr>
            </w:pPr>
            <w:r>
              <w:rPr>
                <w:rFonts w:eastAsia="方正仿宋_GBK"/>
                <w:color w:val="000000"/>
                <w:sz w:val="24"/>
              </w:rPr>
              <w:t>【数据来源】医保信息系统。</w:t>
            </w:r>
          </w:p>
        </w:tc>
      </w:tr>
      <w:tr w14:paraId="3407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exact"/>
        </w:trPr>
        <w:tc>
          <w:tcPr>
            <w:tcW w:w="1200" w:type="dxa"/>
            <w:vMerge w:val="continue"/>
            <w:noWrap w:val="0"/>
            <w:vAlign w:val="center"/>
          </w:tcPr>
          <w:p w14:paraId="089FF7B1">
            <w:pPr>
              <w:widowControl/>
              <w:spacing w:line="320" w:lineRule="exact"/>
              <w:jc w:val="left"/>
              <w:rPr>
                <w:rFonts w:eastAsia="仿宋_GB2312"/>
                <w:color w:val="000000"/>
                <w:sz w:val="24"/>
              </w:rPr>
            </w:pPr>
          </w:p>
        </w:tc>
        <w:tc>
          <w:tcPr>
            <w:tcW w:w="1725" w:type="dxa"/>
            <w:noWrap w:val="0"/>
            <w:vAlign w:val="center"/>
          </w:tcPr>
          <w:p w14:paraId="4FE44B76">
            <w:pPr>
              <w:spacing w:line="300" w:lineRule="exact"/>
              <w:rPr>
                <w:rFonts w:eastAsia="方正仿宋_GBK"/>
                <w:color w:val="000000"/>
                <w:sz w:val="24"/>
              </w:rPr>
            </w:pPr>
            <w:r>
              <w:rPr>
                <w:rFonts w:eastAsia="方正仿宋_GBK"/>
                <w:color w:val="000000"/>
                <w:sz w:val="24"/>
              </w:rPr>
              <w:t>25.住院费用实际报销比（%）</w:t>
            </w:r>
          </w:p>
        </w:tc>
        <w:tc>
          <w:tcPr>
            <w:tcW w:w="5998" w:type="dxa"/>
            <w:noWrap w:val="0"/>
            <w:vAlign w:val="center"/>
          </w:tcPr>
          <w:p w14:paraId="27F9FF4E">
            <w:pPr>
              <w:spacing w:line="300" w:lineRule="exact"/>
              <w:rPr>
                <w:rFonts w:eastAsia="方正仿宋_GBK"/>
                <w:color w:val="000000"/>
                <w:sz w:val="24"/>
              </w:rPr>
            </w:pPr>
            <w:r>
              <w:rPr>
                <w:rFonts w:eastAsia="方正仿宋_GBK"/>
                <w:color w:val="000000"/>
                <w:sz w:val="24"/>
              </w:rPr>
              <w:t>【计算方法】</w:t>
            </w:r>
          </w:p>
          <w:p w14:paraId="27E2BD26">
            <w:pPr>
              <w:spacing w:line="300" w:lineRule="exact"/>
              <w:rPr>
                <w:rFonts w:eastAsia="方正仿宋_GBK"/>
                <w:color w:val="000000"/>
                <w:sz w:val="24"/>
              </w:rPr>
            </w:pPr>
            <w:r>
              <w:rPr>
                <w:rFonts w:eastAsia="方正仿宋_GBK"/>
                <w:color w:val="000000"/>
                <w:sz w:val="24"/>
              </w:rPr>
              <w:t>住院费用实际报销比（%）=参保人员住院实际报销总额/参保人员住院费用总额×100%</w:t>
            </w:r>
          </w:p>
          <w:p w14:paraId="18E6515D">
            <w:pPr>
              <w:spacing w:line="300" w:lineRule="exact"/>
              <w:rPr>
                <w:rFonts w:hint="eastAsia" w:eastAsia="方正仿宋_GBK"/>
                <w:color w:val="000000"/>
                <w:sz w:val="24"/>
              </w:rPr>
            </w:pPr>
            <w:r>
              <w:rPr>
                <w:rFonts w:eastAsia="方正仿宋_GBK"/>
                <w:color w:val="000000"/>
                <w:sz w:val="24"/>
              </w:rPr>
              <w:t>【数据来源】医保信息系统</w:t>
            </w:r>
            <w:r>
              <w:rPr>
                <w:rFonts w:hint="eastAsia" w:eastAsia="方正仿宋_GBK"/>
                <w:color w:val="000000"/>
                <w:sz w:val="24"/>
              </w:rPr>
              <w:t>。</w:t>
            </w:r>
          </w:p>
        </w:tc>
      </w:tr>
      <w:tr w14:paraId="419D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exact"/>
        </w:trPr>
        <w:tc>
          <w:tcPr>
            <w:tcW w:w="1200" w:type="dxa"/>
            <w:vMerge w:val="continue"/>
            <w:noWrap w:val="0"/>
            <w:vAlign w:val="center"/>
          </w:tcPr>
          <w:p w14:paraId="188D565F">
            <w:pPr>
              <w:widowControl/>
              <w:spacing w:line="320" w:lineRule="exact"/>
              <w:jc w:val="left"/>
              <w:rPr>
                <w:rFonts w:eastAsia="仿宋_GB2312"/>
                <w:color w:val="000000"/>
                <w:sz w:val="24"/>
              </w:rPr>
            </w:pPr>
          </w:p>
        </w:tc>
        <w:tc>
          <w:tcPr>
            <w:tcW w:w="1725" w:type="dxa"/>
            <w:noWrap w:val="0"/>
            <w:vAlign w:val="center"/>
          </w:tcPr>
          <w:p w14:paraId="3229F07D">
            <w:pPr>
              <w:spacing w:line="300" w:lineRule="exact"/>
              <w:rPr>
                <w:rFonts w:eastAsia="方正仿宋_GBK"/>
                <w:color w:val="000000"/>
                <w:sz w:val="24"/>
              </w:rPr>
            </w:pPr>
            <w:r>
              <w:rPr>
                <w:rFonts w:eastAsia="方正仿宋_GBK"/>
                <w:color w:val="000000"/>
                <w:sz w:val="24"/>
              </w:rPr>
              <w:t>26.参保人员年住院率（%）</w:t>
            </w:r>
          </w:p>
        </w:tc>
        <w:tc>
          <w:tcPr>
            <w:tcW w:w="5998" w:type="dxa"/>
            <w:noWrap w:val="0"/>
            <w:vAlign w:val="center"/>
          </w:tcPr>
          <w:p w14:paraId="0117335D">
            <w:pPr>
              <w:spacing w:line="300" w:lineRule="exact"/>
              <w:rPr>
                <w:rFonts w:eastAsia="方正仿宋_GBK"/>
                <w:color w:val="000000"/>
                <w:sz w:val="24"/>
              </w:rPr>
            </w:pPr>
            <w:r>
              <w:rPr>
                <w:rFonts w:eastAsia="方正仿宋_GBK"/>
                <w:color w:val="000000"/>
                <w:sz w:val="24"/>
              </w:rPr>
              <w:t>【计算方法】</w:t>
            </w:r>
          </w:p>
          <w:p w14:paraId="62D8B389">
            <w:pPr>
              <w:spacing w:line="300" w:lineRule="exact"/>
              <w:rPr>
                <w:rFonts w:eastAsia="方正仿宋_GBK"/>
                <w:color w:val="000000"/>
                <w:sz w:val="24"/>
              </w:rPr>
            </w:pPr>
            <w:r>
              <w:rPr>
                <w:rFonts w:eastAsia="方正仿宋_GBK"/>
                <w:color w:val="000000"/>
                <w:sz w:val="24"/>
              </w:rPr>
              <w:t>参保人员年住院率（%）=参保人员年住院人次/参保人数×100%</w:t>
            </w:r>
          </w:p>
          <w:p w14:paraId="197E5E34">
            <w:pPr>
              <w:spacing w:line="300" w:lineRule="exact"/>
              <w:rPr>
                <w:rFonts w:eastAsia="方正仿宋_GBK"/>
                <w:color w:val="000000"/>
                <w:sz w:val="24"/>
              </w:rPr>
            </w:pPr>
            <w:r>
              <w:rPr>
                <w:rFonts w:eastAsia="方正仿宋_GBK"/>
                <w:color w:val="000000"/>
                <w:sz w:val="24"/>
              </w:rPr>
              <w:t>【数据来源】医保信息系统。</w:t>
            </w:r>
          </w:p>
        </w:tc>
      </w:tr>
    </w:tbl>
    <w:p w14:paraId="08AE4FFA">
      <w:pPr>
        <w:rPr>
          <w:rFonts w:hint="eastAsia"/>
          <w:lang w:val="en-US" w:eastAsia="zh-CN"/>
        </w:rPr>
      </w:pPr>
    </w:p>
    <w:p w14:paraId="3A1BF5F6">
      <w:pPr>
        <w:pStyle w:val="2"/>
        <w:rPr>
          <w:rFonts w:hint="eastAsia"/>
          <w:lang w:val="en-US" w:eastAsia="zh-CN"/>
        </w:rPr>
      </w:pPr>
    </w:p>
    <w:p w14:paraId="2DA5BDE6">
      <w:pPr>
        <w:rPr>
          <w:rFonts w:hint="eastAsia"/>
          <w:lang w:val="en-US" w:eastAsia="zh-CN"/>
        </w:rPr>
      </w:pPr>
    </w:p>
    <w:p w14:paraId="39E621FA">
      <w:pPr>
        <w:pStyle w:val="2"/>
        <w:rPr>
          <w:rFonts w:hint="eastAsia"/>
          <w:lang w:val="en-US" w:eastAsia="zh-CN"/>
        </w:rPr>
      </w:pPr>
    </w:p>
    <w:p w14:paraId="5A05E45D">
      <w:pPr>
        <w:rPr>
          <w:rFonts w:hint="eastAsia"/>
          <w:lang w:val="en-US" w:eastAsia="zh-CN"/>
        </w:rPr>
      </w:pPr>
    </w:p>
    <w:p w14:paraId="6CD56E59">
      <w:pPr>
        <w:pStyle w:val="2"/>
        <w:rPr>
          <w:rFonts w:hint="eastAsia"/>
          <w:lang w:val="en-US" w:eastAsia="zh-CN"/>
        </w:rPr>
      </w:pPr>
    </w:p>
    <w:p w14:paraId="0F1A2125">
      <w:pPr>
        <w:rPr>
          <w:rFonts w:hint="eastAsia"/>
          <w:lang w:val="en-US" w:eastAsia="zh-CN"/>
        </w:rPr>
      </w:pPr>
    </w:p>
    <w:p w14:paraId="4D3A7351">
      <w:pPr>
        <w:pStyle w:val="2"/>
        <w:rPr>
          <w:rFonts w:hint="eastAsia"/>
          <w:lang w:val="en-US" w:eastAsia="zh-CN"/>
        </w:rPr>
      </w:pPr>
    </w:p>
    <w:p w14:paraId="32FFF65D">
      <w:pPr>
        <w:rPr>
          <w:rFonts w:hint="eastAsia"/>
          <w:lang w:val="en-US" w:eastAsia="zh-CN"/>
        </w:rPr>
      </w:pPr>
    </w:p>
    <w:p w14:paraId="7B2F9D6A">
      <w:pPr>
        <w:pStyle w:val="2"/>
        <w:rPr>
          <w:rFonts w:hint="eastAsia"/>
          <w:lang w:val="en-US" w:eastAsia="zh-CN"/>
        </w:rPr>
      </w:pPr>
    </w:p>
    <w:p w14:paraId="044206B4">
      <w:pPr>
        <w:rPr>
          <w:rFonts w:hint="eastAsia"/>
          <w:lang w:val="en-US" w:eastAsia="zh-CN"/>
        </w:rPr>
      </w:pPr>
    </w:p>
    <w:p w14:paraId="4887C997">
      <w:pPr>
        <w:pStyle w:val="2"/>
        <w:rPr>
          <w:rFonts w:hint="eastAsia"/>
          <w:lang w:val="en-US" w:eastAsia="zh-CN"/>
        </w:rPr>
      </w:pPr>
    </w:p>
    <w:p w14:paraId="2770FB29">
      <w:pPr>
        <w:rPr>
          <w:rFonts w:hint="eastAsia"/>
          <w:lang w:val="en-US" w:eastAsia="zh-CN"/>
        </w:rPr>
      </w:pPr>
    </w:p>
    <w:p w14:paraId="43C2E37F">
      <w:pPr>
        <w:pStyle w:val="2"/>
        <w:rPr>
          <w:rFonts w:hint="eastAsia"/>
          <w:lang w:val="en-US" w:eastAsia="zh-CN"/>
        </w:rPr>
      </w:pPr>
    </w:p>
    <w:p w14:paraId="1DA09ED8">
      <w:pPr>
        <w:rPr>
          <w:rFonts w:hint="eastAsia"/>
          <w:lang w:val="en-US" w:eastAsia="zh-CN"/>
        </w:rPr>
      </w:pPr>
    </w:p>
    <w:p w14:paraId="76783EAE">
      <w:pPr>
        <w:pStyle w:val="2"/>
        <w:rPr>
          <w:rFonts w:hint="eastAsia"/>
          <w:lang w:val="en-US" w:eastAsia="zh-CN"/>
        </w:rPr>
      </w:pPr>
    </w:p>
    <w:p w14:paraId="19B22E37">
      <w:pPr>
        <w:rPr>
          <w:rFonts w:hint="eastAsia"/>
          <w:lang w:val="en-US" w:eastAsia="zh-CN"/>
        </w:rPr>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14:paraId="6094D680">
      <w:pPr>
        <w:spacing w:line="594"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附件4</w:t>
      </w:r>
    </w:p>
    <w:p w14:paraId="25DDB3C1">
      <w:pPr>
        <w:spacing w:after="120"/>
        <w:jc w:val="center"/>
        <w:rPr>
          <w:rFonts w:hint="eastAsia" w:ascii="方正小标宋_GBK" w:eastAsia="方正小标宋_GBK"/>
          <w:color w:val="000000"/>
          <w:sz w:val="44"/>
          <w:szCs w:val="44"/>
        </w:rPr>
      </w:pPr>
      <w:r>
        <w:rPr>
          <w:rFonts w:hint="eastAsia" w:ascii="方正小标宋_GBK" w:eastAsia="方正小标宋_GBK"/>
          <w:szCs w:val="20"/>
        </w:rPr>
        <w:drawing>
          <wp:anchor distT="0" distB="0" distL="114300" distR="114300" simplePos="0" relativeHeight="251659264" behindDoc="0" locked="0" layoutInCell="1" allowOverlap="1">
            <wp:simplePos x="0" y="0"/>
            <wp:positionH relativeFrom="page">
              <wp:posOffset>1213485</wp:posOffset>
            </wp:positionH>
            <wp:positionV relativeFrom="page">
              <wp:posOffset>2122170</wp:posOffset>
            </wp:positionV>
            <wp:extent cx="8264525" cy="3839210"/>
            <wp:effectExtent l="0" t="0" r="3175" b="8890"/>
            <wp:wrapNone/>
            <wp:docPr id="1" name="图片 2" descr="1fb4acdaa648d30e2c05298eff2b5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fb4acdaa648d30e2c05298eff2b5f6"/>
                    <pic:cNvPicPr>
                      <a:picLocks noChangeAspect="1"/>
                    </pic:cNvPicPr>
                  </pic:nvPicPr>
                  <pic:blipFill>
                    <a:blip r:embed="rId8"/>
                    <a:stretch>
                      <a:fillRect/>
                    </a:stretch>
                  </pic:blipFill>
                  <pic:spPr>
                    <a:xfrm>
                      <a:off x="0" y="0"/>
                      <a:ext cx="8264525" cy="3839210"/>
                    </a:xfrm>
                    <a:prstGeom prst="rect">
                      <a:avLst/>
                    </a:prstGeom>
                    <a:noFill/>
                    <a:ln>
                      <a:noFill/>
                    </a:ln>
                  </pic:spPr>
                </pic:pic>
              </a:graphicData>
            </a:graphic>
          </wp:anchor>
        </w:drawing>
      </w:r>
      <w:r>
        <w:rPr>
          <w:rFonts w:hint="eastAsia" w:ascii="方正小标宋_GBK" w:eastAsia="方正小标宋_GBK"/>
          <w:color w:val="000000"/>
          <w:sz w:val="44"/>
          <w:szCs w:val="44"/>
        </w:rPr>
        <w:t>紧密型县域医共体核心业务架构图</w:t>
      </w:r>
    </w:p>
    <w:p w14:paraId="47291311">
      <w:pPr>
        <w:pStyle w:val="2"/>
        <w:rPr>
          <w:rFonts w:hint="eastAsia"/>
          <w:lang w:val="en-US" w:eastAsia="zh-CN"/>
        </w:rPr>
      </w:pPr>
    </w:p>
    <w:p w14:paraId="66DC8187">
      <w:pPr>
        <w:pStyle w:val="2"/>
        <w:rPr>
          <w:rFonts w:hint="eastAsia"/>
          <w:lang w:val="en-US" w:eastAsia="zh-CN"/>
        </w:rPr>
      </w:pPr>
    </w:p>
    <w:p w14:paraId="178B75B2">
      <w:pPr>
        <w:pStyle w:val="2"/>
        <w:rPr>
          <w:rFonts w:hint="eastAsia"/>
          <w:lang w:val="en-US" w:eastAsia="zh-CN"/>
        </w:rPr>
      </w:pPr>
      <w:bookmarkStart w:id="0" w:name="_GoBack"/>
      <w:bookmarkEnd w:id="0"/>
    </w:p>
    <w:sectPr>
      <w:headerReference r:id="rId5" w:type="default"/>
      <w:footerReference r:id="rId6" w:type="default"/>
      <w:pgSz w:w="16838" w:h="11906" w:orient="landscape"/>
      <w:pgMar w:top="1587" w:right="1962" w:bottom="1474" w:left="1962"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锐字温帅小可爱简">
    <w:panose1 w:val="02010604000000000000"/>
    <w:charset w:val="86"/>
    <w:family w:val="auto"/>
    <w:pitch w:val="default"/>
    <w:sig w:usb0="00000003" w:usb1="080E0000" w:usb2="00000000" w:usb3="00000000" w:csb0="00040001" w:csb1="00000000"/>
  </w:font>
  <w:font w:name="方正小标宋简体">
    <w:panose1 w:val="02000000000000000000"/>
    <w:charset w:val="86"/>
    <w:family w:val="auto"/>
    <w:pitch w:val="default"/>
    <w:sig w:usb0="00000001" w:usb1="08000000" w:usb2="00000000" w:usb3="00000000" w:csb0="00040000" w:csb1="00000000"/>
  </w:font>
  <w:font w:name="汉仪青云简">
    <w:panose1 w:val="00020600040101010101"/>
    <w:charset w:val="86"/>
    <w:family w:val="auto"/>
    <w:pitch w:val="default"/>
    <w:sig w:usb0="8000001F" w:usb1="1A0F781A" w:usb2="00000016" w:usb3="00000000" w:csb0="0004009F" w:csb1="DFD7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CordiaUPC">
    <w:panose1 w:val="020B0304020202020204"/>
    <w:charset w:val="00"/>
    <w:family w:val="auto"/>
    <w:pitch w:val="default"/>
    <w:sig w:usb0="81000003" w:usb1="00000000" w:usb2="00000000" w:usb3="00000000" w:csb0="00010001" w:csb1="00000000"/>
  </w:font>
  <w:font w:name="Ebrima">
    <w:panose1 w:val="02000000000000000000"/>
    <w:charset w:val="00"/>
    <w:family w:val="auto"/>
    <w:pitch w:val="default"/>
    <w:sig w:usb0="A000505F" w:usb1="02000041" w:usb2="00000000" w:usb3="00000404" w:csb0="00000093" w:csb1="00000000"/>
  </w:font>
  <w:font w:name="FreesiaUPC">
    <w:panose1 w:val="020B06040202020202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Lucida Sans Unicode">
    <w:panose1 w:val="020B0602030504020204"/>
    <w:charset w:val="00"/>
    <w:family w:val="auto"/>
    <w:pitch w:val="default"/>
    <w:sig w:usb0="80001AFF" w:usb1="0000396B" w:usb2="00000000" w:usb3="00000000" w:csb0="200000BF" w:csb1="D7F70000"/>
  </w:font>
  <w:font w:name="Miriam Fixed">
    <w:panose1 w:val="020B0509050101010101"/>
    <w:charset w:val="00"/>
    <w:family w:val="auto"/>
    <w:pitch w:val="default"/>
    <w:sig w:usb0="00000801" w:usb1="00000000" w:usb2="00000000" w:usb3="00000000" w:csb0="00000020" w:csb1="0020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68E3B">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8187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48187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23D454A">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奉节县人民政府办公室发布     </w:t>
    </w:r>
  </w:p>
  <w:p w14:paraId="31EE570D">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43A69">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7272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A7272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8A886E1">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154305</wp:posOffset>
              </wp:positionV>
              <wp:extent cx="8286750" cy="28575"/>
              <wp:effectExtent l="0" t="10795" r="0" b="17780"/>
              <wp:wrapNone/>
              <wp:docPr id="3" name="直接连接符 3"/>
              <wp:cNvGraphicFramePr/>
              <a:graphic xmlns:a="http://schemas.openxmlformats.org/drawingml/2006/main">
                <a:graphicData uri="http://schemas.microsoft.com/office/word/2010/wordprocessingShape">
                  <wps:wsp>
                    <wps:cNvCnPr/>
                    <wps:spPr>
                      <a:xfrm flipV="1">
                        <a:off x="0" y="0"/>
                        <a:ext cx="8286750" cy="285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pt;margin-top:12.15pt;height:2.25pt;width:652.5pt;z-index:251663360;mso-width-relative:page;mso-height-relative:page;" filled="f" stroked="t" coordsize="21600,21600" o:gfxdata="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WpY82gAAAAoBAAAPAAAAAAAAAAEAIAAAACIAAABkcnMvZG93bnJldi54bWxQSwEC&#10;FAAUAAAACACHTuJAgaGywfIBAADAAwAADgAAAAAAAAABACAAAAApAQAAZHJzL2Uyb0RvYy54bWxQ&#10;SwUGAAAAAAYABgBZAQAAjQ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奉节县人民政府办公室发布     </w:t>
    </w:r>
  </w:p>
  <w:p w14:paraId="126DAF20">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4E61">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B18EB6C">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奉节县人民政府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5FC7C">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671830</wp:posOffset>
              </wp:positionV>
              <wp:extent cx="8229600" cy="18415"/>
              <wp:effectExtent l="0" t="0" r="0" b="0"/>
              <wp:wrapNone/>
              <wp:docPr id="7" name="直接连接符 7"/>
              <wp:cNvGraphicFramePr/>
              <a:graphic xmlns:a="http://schemas.openxmlformats.org/drawingml/2006/main">
                <a:graphicData uri="http://schemas.microsoft.com/office/word/2010/wordprocessingShape">
                  <wps:wsp>
                    <wps:cNvCnPr/>
                    <wps:spPr>
                      <a:xfrm flipV="1">
                        <a:off x="4133850" y="864870"/>
                        <a:ext cx="8229600"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2.9pt;height:1.45pt;width:648pt;z-index:251665408;mso-width-relative:page;mso-height-relative:page;" filled="f" stroked="t" coordsize="21600,21600" o:gfxdata="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M9J97YAAAACQEAAA8AAAAAAAAAAQAgAAAAIgAAAGRycy9kb3du&#10;cmV2LnhtbFBLAQIUABQAAAAIAIdO4kCwpBnm/wEAAMsDAAAOAAAAAAAAAAEAIAAAACcBAABkcnMv&#10;ZTJvRG9jLnhtbFBLBQYAAAAABgAGAFkBAACYBQAAAAA=&#10;">
              <v:fill on="f" focussize="0,0"/>
              <v:stroke weight="1.75pt" color="#005192 [3204]" miterlimit="8" joinstyle="miter"/>
              <v:imagedata o:title=""/>
              <o:lock v:ext="edit" aspectratio="f"/>
            </v:line>
          </w:pict>
        </mc:Fallback>
      </mc:AlternateContent>
    </w:r>
  </w:p>
  <w:p w14:paraId="6BA7E826">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奉节县人民政府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19E71BD"/>
    <w:rsid w:val="041C42DA"/>
    <w:rsid w:val="04B679C3"/>
    <w:rsid w:val="05F07036"/>
    <w:rsid w:val="06E00104"/>
    <w:rsid w:val="07462294"/>
    <w:rsid w:val="080F63D8"/>
    <w:rsid w:val="09341458"/>
    <w:rsid w:val="098254C2"/>
    <w:rsid w:val="0A766EDE"/>
    <w:rsid w:val="0AD64BE8"/>
    <w:rsid w:val="0AE93662"/>
    <w:rsid w:val="0B0912D7"/>
    <w:rsid w:val="0E025194"/>
    <w:rsid w:val="0EA855E3"/>
    <w:rsid w:val="13023513"/>
    <w:rsid w:val="14067033"/>
    <w:rsid w:val="152D2DCA"/>
    <w:rsid w:val="17E256C1"/>
    <w:rsid w:val="187168EA"/>
    <w:rsid w:val="196673CA"/>
    <w:rsid w:val="1B2F4AEE"/>
    <w:rsid w:val="1BA84E74"/>
    <w:rsid w:val="1CF734C9"/>
    <w:rsid w:val="1DEC284C"/>
    <w:rsid w:val="1E6523AC"/>
    <w:rsid w:val="1F86727A"/>
    <w:rsid w:val="22440422"/>
    <w:rsid w:val="226C4D3D"/>
    <w:rsid w:val="22BB4BBB"/>
    <w:rsid w:val="28C8601C"/>
    <w:rsid w:val="2A44220C"/>
    <w:rsid w:val="2A996ED0"/>
    <w:rsid w:val="2AEB3417"/>
    <w:rsid w:val="2C0B2FE1"/>
    <w:rsid w:val="318E2C8A"/>
    <w:rsid w:val="31A15F24"/>
    <w:rsid w:val="31E56082"/>
    <w:rsid w:val="324A1681"/>
    <w:rsid w:val="36FB1DF0"/>
    <w:rsid w:val="37881A67"/>
    <w:rsid w:val="395347B5"/>
    <w:rsid w:val="39A232A0"/>
    <w:rsid w:val="39E745AA"/>
    <w:rsid w:val="3B5A6BBB"/>
    <w:rsid w:val="3E355853"/>
    <w:rsid w:val="3EDA13A6"/>
    <w:rsid w:val="3FEF631E"/>
    <w:rsid w:val="40097737"/>
    <w:rsid w:val="40573475"/>
    <w:rsid w:val="417B75E9"/>
    <w:rsid w:val="42F058B7"/>
    <w:rsid w:val="436109F6"/>
    <w:rsid w:val="439F4FCE"/>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3FC3304"/>
    <w:rsid w:val="648B0A32"/>
    <w:rsid w:val="665233C1"/>
    <w:rsid w:val="67465B50"/>
    <w:rsid w:val="68193CA1"/>
    <w:rsid w:val="69AC0D42"/>
    <w:rsid w:val="6AD9688B"/>
    <w:rsid w:val="6B8E2604"/>
    <w:rsid w:val="6D0E3F22"/>
    <w:rsid w:val="6DBE7110"/>
    <w:rsid w:val="704E165B"/>
    <w:rsid w:val="744E4660"/>
    <w:rsid w:val="753355A2"/>
    <w:rsid w:val="759F1C61"/>
    <w:rsid w:val="769F2DE8"/>
    <w:rsid w:val="76FDEB7C"/>
    <w:rsid w:val="79C65162"/>
    <w:rsid w:val="7BD04C7A"/>
    <w:rsid w:val="7BDC1277"/>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Autospacing="0" w:afterAutospacing="0" w:line="600" w:lineRule="exact"/>
      <w:jc w:val="left"/>
      <w:outlineLvl w:val="0"/>
    </w:pPr>
    <w:rPr>
      <w:rFonts w:ascii="宋体" w:hAnsi="宋体" w:eastAsia="方正仿宋_GBK" w:cs="宋体"/>
      <w:bCs/>
      <w:kern w:val="36"/>
      <w:sz w:val="32"/>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toc 5"/>
    <w:basedOn w:val="1"/>
    <w:next w:val="1"/>
    <w:semiHidden/>
    <w:qFormat/>
    <w:uiPriority w:val="0"/>
    <w:pPr>
      <w:ind w:left="1680" w:leftChars="800"/>
    </w:pPr>
    <w:rPr>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Table Text"/>
    <w:basedOn w:val="1"/>
    <w:semiHidden/>
    <w:qFormat/>
    <w:uiPriority w:val="0"/>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10270</Words>
  <Characters>10564</Characters>
  <Lines>1</Lines>
  <Paragraphs>1</Paragraphs>
  <TotalTime>12</TotalTime>
  <ScaleCrop>false</ScaleCrop>
  <LinksUpToDate>false</LinksUpToDate>
  <CharactersWithSpaces>10708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2022-05-12T00:46:00Z</cp:lastPrinted>
  <dcterms:modified xsi:type="dcterms:W3CDTF">2025-04-21T03:27:59Z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0E764B7EB58A4665B79656A3596A3558_13</vt:lpwstr>
  </property>
  <property fmtid="{D5CDD505-2E9C-101B-9397-08002B2CF9AE}" pid="4" name="KSOTemplateDocerSaveRecord">
    <vt:lpwstr>eyJoZGlkIjoiNWFhZDc4N2FjMjA4NGE4NzI0ODM4NDlmOTk2ZjBiZTkiLCJ1c2VySWQiOiI1MTYwODE0ODUifQ==</vt:lpwstr>
  </property>
</Properties>
</file>